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B1" w:rsidRPr="00D64AB1" w:rsidRDefault="00D64AB1" w:rsidP="00D64AB1">
      <w:pPr>
        <w:spacing w:after="0" w:line="360" w:lineRule="auto"/>
        <w:rPr>
          <w:rFonts w:asciiTheme="majorHAnsi" w:hAnsiTheme="majorHAnsi" w:cs="Times New Roman"/>
          <w:b/>
          <w:sz w:val="24"/>
          <w:szCs w:val="24"/>
        </w:rPr>
      </w:pPr>
      <w:r w:rsidRPr="00D64AB1">
        <w:rPr>
          <w:rFonts w:asciiTheme="majorHAnsi" w:hAnsiTheme="majorHAnsi" w:cs="Times New Roman"/>
          <w:b/>
          <w:sz w:val="24"/>
          <w:szCs w:val="24"/>
          <w:highlight w:val="lightGray"/>
        </w:rPr>
        <w:t>Original article:</w:t>
      </w:r>
    </w:p>
    <w:p w:rsidR="007736BF" w:rsidRPr="00D64AB1" w:rsidRDefault="00D64AB1" w:rsidP="00D64AB1">
      <w:pPr>
        <w:spacing w:after="0" w:line="360" w:lineRule="auto"/>
        <w:rPr>
          <w:rFonts w:asciiTheme="majorHAnsi" w:hAnsiTheme="majorHAnsi" w:cs="Times New Roman"/>
          <w:b/>
          <w:color w:val="0070C0"/>
          <w:sz w:val="28"/>
          <w:szCs w:val="28"/>
        </w:rPr>
      </w:pPr>
      <w:r>
        <w:rPr>
          <w:rFonts w:asciiTheme="majorHAnsi" w:hAnsiTheme="majorHAnsi" w:cs="Times New Roman"/>
          <w:b/>
          <w:color w:val="0070C0"/>
          <w:sz w:val="28"/>
          <w:szCs w:val="28"/>
        </w:rPr>
        <w:t>Association between c</w:t>
      </w:r>
      <w:r w:rsidR="007736BF" w:rsidRPr="00D64AB1">
        <w:rPr>
          <w:rFonts w:asciiTheme="majorHAnsi" w:hAnsiTheme="majorHAnsi" w:cs="Times New Roman"/>
          <w:b/>
          <w:color w:val="0070C0"/>
          <w:sz w:val="28"/>
          <w:szCs w:val="28"/>
        </w:rPr>
        <w:t xml:space="preserve">ardiovascular risk with </w:t>
      </w:r>
      <w:r>
        <w:rPr>
          <w:rFonts w:asciiTheme="majorHAnsi" w:hAnsiTheme="majorHAnsi" w:cs="Times New Roman"/>
          <w:b/>
          <w:color w:val="0070C0"/>
          <w:sz w:val="28"/>
          <w:szCs w:val="28"/>
        </w:rPr>
        <w:t>b</w:t>
      </w:r>
      <w:r w:rsidR="007736BF" w:rsidRPr="00D64AB1">
        <w:rPr>
          <w:rFonts w:asciiTheme="majorHAnsi" w:hAnsiTheme="majorHAnsi" w:cs="Times New Roman"/>
          <w:b/>
          <w:color w:val="0070C0"/>
          <w:sz w:val="28"/>
          <w:szCs w:val="28"/>
        </w:rPr>
        <w:t>aroreceptor sensitivity in normal and high BMI postmenopausal women</w:t>
      </w:r>
    </w:p>
    <w:p w:rsidR="007736BF" w:rsidRPr="00D64AB1" w:rsidRDefault="007736BF" w:rsidP="00D64AB1">
      <w:pPr>
        <w:spacing w:after="0" w:line="360" w:lineRule="auto"/>
        <w:jc w:val="both"/>
        <w:rPr>
          <w:rFonts w:asciiTheme="majorHAnsi" w:hAnsiTheme="majorHAnsi" w:cs="Times New Roman"/>
          <w:b/>
          <w:sz w:val="20"/>
          <w:szCs w:val="20"/>
          <w:vertAlign w:val="superscript"/>
        </w:rPr>
      </w:pPr>
      <w:r w:rsidRPr="00D64AB1">
        <w:rPr>
          <w:rFonts w:asciiTheme="majorHAnsi" w:hAnsiTheme="majorHAnsi" w:cs="Times New Roman"/>
          <w:b/>
          <w:sz w:val="20"/>
          <w:szCs w:val="20"/>
        </w:rPr>
        <w:t>Dr R Meena</w:t>
      </w:r>
      <w:r w:rsidRPr="00D64AB1">
        <w:rPr>
          <w:rFonts w:asciiTheme="majorHAnsi" w:hAnsiTheme="majorHAnsi" w:cs="Times New Roman"/>
          <w:b/>
          <w:sz w:val="20"/>
          <w:szCs w:val="20"/>
          <w:vertAlign w:val="superscript"/>
        </w:rPr>
        <w:t>1</w:t>
      </w:r>
      <w:r w:rsidRPr="00D64AB1">
        <w:rPr>
          <w:rFonts w:asciiTheme="majorHAnsi" w:hAnsiTheme="majorHAnsi" w:cs="Times New Roman"/>
          <w:b/>
          <w:sz w:val="20"/>
          <w:szCs w:val="20"/>
        </w:rPr>
        <w:t xml:space="preserve">, Dr </w:t>
      </w:r>
      <w:proofErr w:type="spellStart"/>
      <w:r w:rsidRPr="00D64AB1">
        <w:rPr>
          <w:rFonts w:asciiTheme="majorHAnsi" w:hAnsiTheme="majorHAnsi" w:cs="Times New Roman"/>
          <w:b/>
          <w:sz w:val="20"/>
          <w:szCs w:val="20"/>
        </w:rPr>
        <w:t>Pravati</w:t>
      </w:r>
      <w:proofErr w:type="spellEnd"/>
      <w:r w:rsidRPr="00D64AB1">
        <w:rPr>
          <w:rFonts w:asciiTheme="majorHAnsi" w:hAnsiTheme="majorHAnsi" w:cs="Times New Roman"/>
          <w:b/>
          <w:sz w:val="20"/>
          <w:szCs w:val="20"/>
        </w:rPr>
        <w:t xml:space="preserve"> Pal</w:t>
      </w:r>
      <w:r w:rsidRPr="00D64AB1">
        <w:rPr>
          <w:rFonts w:asciiTheme="majorHAnsi" w:hAnsiTheme="majorHAnsi" w:cs="Times New Roman"/>
          <w:b/>
          <w:sz w:val="20"/>
          <w:szCs w:val="20"/>
          <w:vertAlign w:val="superscript"/>
        </w:rPr>
        <w:t>2</w:t>
      </w:r>
      <w:r w:rsidRPr="00D64AB1">
        <w:rPr>
          <w:rFonts w:asciiTheme="majorHAnsi" w:hAnsiTheme="majorHAnsi" w:cs="Times New Roman"/>
          <w:b/>
          <w:sz w:val="20"/>
          <w:szCs w:val="20"/>
        </w:rPr>
        <w:t xml:space="preserve">, Dr </w:t>
      </w:r>
      <w:proofErr w:type="spellStart"/>
      <w:r w:rsidRPr="00D64AB1">
        <w:rPr>
          <w:rFonts w:asciiTheme="majorHAnsi" w:hAnsiTheme="majorHAnsi" w:cs="Times New Roman"/>
          <w:b/>
          <w:sz w:val="20"/>
          <w:szCs w:val="20"/>
        </w:rPr>
        <w:t>Dasari</w:t>
      </w:r>
      <w:proofErr w:type="spellEnd"/>
      <w:r w:rsidRPr="00D64AB1">
        <w:rPr>
          <w:rFonts w:asciiTheme="majorHAnsi" w:hAnsiTheme="majorHAnsi" w:cs="Times New Roman"/>
          <w:b/>
          <w:sz w:val="20"/>
          <w:szCs w:val="20"/>
        </w:rPr>
        <w:t xml:space="preserve"> Papa</w:t>
      </w:r>
      <w:r w:rsidRPr="00D64AB1">
        <w:rPr>
          <w:rFonts w:asciiTheme="majorHAnsi" w:hAnsiTheme="majorHAnsi" w:cs="Times New Roman"/>
          <w:b/>
          <w:sz w:val="20"/>
          <w:szCs w:val="20"/>
          <w:vertAlign w:val="superscript"/>
        </w:rPr>
        <w:t>3</w:t>
      </w:r>
    </w:p>
    <w:p w:rsidR="00D64AB1" w:rsidRPr="00D64AB1" w:rsidRDefault="00D64AB1" w:rsidP="00D64AB1">
      <w:pPr>
        <w:spacing w:after="0" w:line="360" w:lineRule="auto"/>
        <w:jc w:val="both"/>
        <w:rPr>
          <w:rFonts w:asciiTheme="majorHAnsi" w:hAnsiTheme="majorHAnsi" w:cs="Times New Roman"/>
          <w:b/>
          <w:sz w:val="20"/>
          <w:szCs w:val="20"/>
          <w:vertAlign w:val="superscript"/>
        </w:rPr>
      </w:pPr>
    </w:p>
    <w:p w:rsidR="007736BF" w:rsidRPr="00D64AB1" w:rsidRDefault="007736BF" w:rsidP="00D64AB1">
      <w:pPr>
        <w:spacing w:after="0" w:line="360" w:lineRule="auto"/>
        <w:jc w:val="both"/>
        <w:rPr>
          <w:rFonts w:asciiTheme="majorHAnsi" w:hAnsiTheme="majorHAnsi" w:cs="Times New Roman"/>
          <w:sz w:val="18"/>
          <w:szCs w:val="18"/>
        </w:rPr>
      </w:pPr>
      <w:r w:rsidRPr="00D64AB1">
        <w:rPr>
          <w:rFonts w:asciiTheme="majorHAnsi" w:hAnsiTheme="majorHAnsi" w:cs="Times New Roman"/>
          <w:sz w:val="18"/>
          <w:szCs w:val="18"/>
        </w:rPr>
        <w:t xml:space="preserve">1. Department </w:t>
      </w:r>
      <w:proofErr w:type="gramStart"/>
      <w:r w:rsidRPr="00D64AB1">
        <w:rPr>
          <w:rFonts w:asciiTheme="majorHAnsi" w:hAnsiTheme="majorHAnsi" w:cs="Times New Roman"/>
          <w:sz w:val="18"/>
          <w:szCs w:val="18"/>
        </w:rPr>
        <w:t>of  Physiology</w:t>
      </w:r>
      <w:proofErr w:type="gramEnd"/>
      <w:r w:rsidRPr="00D64AB1">
        <w:rPr>
          <w:rFonts w:asciiTheme="majorHAnsi" w:hAnsiTheme="majorHAnsi" w:cs="Times New Roman"/>
          <w:sz w:val="18"/>
          <w:szCs w:val="18"/>
        </w:rPr>
        <w:t xml:space="preserve">, </w:t>
      </w:r>
      <w:proofErr w:type="spellStart"/>
      <w:r w:rsidRPr="00D64AB1">
        <w:rPr>
          <w:rFonts w:asciiTheme="majorHAnsi" w:hAnsiTheme="majorHAnsi" w:cs="Times New Roman"/>
          <w:sz w:val="18"/>
          <w:szCs w:val="18"/>
        </w:rPr>
        <w:t>Sree</w:t>
      </w:r>
      <w:proofErr w:type="spellEnd"/>
      <w:r w:rsidRPr="00D64AB1">
        <w:rPr>
          <w:rFonts w:asciiTheme="majorHAnsi" w:hAnsiTheme="majorHAnsi" w:cs="Times New Roman"/>
          <w:sz w:val="18"/>
          <w:szCs w:val="18"/>
        </w:rPr>
        <w:t xml:space="preserve"> </w:t>
      </w:r>
      <w:proofErr w:type="spellStart"/>
      <w:r w:rsidRPr="00D64AB1">
        <w:rPr>
          <w:rFonts w:asciiTheme="majorHAnsi" w:hAnsiTheme="majorHAnsi" w:cs="Times New Roman"/>
          <w:sz w:val="18"/>
          <w:szCs w:val="18"/>
        </w:rPr>
        <w:t>Balaji</w:t>
      </w:r>
      <w:proofErr w:type="spellEnd"/>
      <w:r w:rsidRPr="00D64AB1">
        <w:rPr>
          <w:rFonts w:asciiTheme="majorHAnsi" w:hAnsiTheme="majorHAnsi" w:cs="Times New Roman"/>
          <w:sz w:val="18"/>
          <w:szCs w:val="18"/>
        </w:rPr>
        <w:t xml:space="preserve"> Medical college and Hospital, </w:t>
      </w:r>
      <w:proofErr w:type="spellStart"/>
      <w:r w:rsidRPr="00D64AB1">
        <w:rPr>
          <w:rFonts w:asciiTheme="majorHAnsi" w:hAnsiTheme="majorHAnsi" w:cs="Times New Roman"/>
          <w:sz w:val="18"/>
          <w:szCs w:val="18"/>
        </w:rPr>
        <w:t>Chrompet</w:t>
      </w:r>
      <w:proofErr w:type="spellEnd"/>
      <w:r w:rsidRPr="00D64AB1">
        <w:rPr>
          <w:rFonts w:asciiTheme="majorHAnsi" w:hAnsiTheme="majorHAnsi" w:cs="Times New Roman"/>
          <w:sz w:val="18"/>
          <w:szCs w:val="18"/>
        </w:rPr>
        <w:t>, Chennai- 600044</w:t>
      </w:r>
    </w:p>
    <w:p w:rsidR="007736BF" w:rsidRPr="00D64AB1" w:rsidRDefault="007736BF" w:rsidP="00D64AB1">
      <w:pPr>
        <w:spacing w:after="0" w:line="360" w:lineRule="auto"/>
        <w:jc w:val="both"/>
        <w:rPr>
          <w:rFonts w:asciiTheme="majorHAnsi" w:hAnsiTheme="majorHAnsi" w:cs="Times New Roman"/>
          <w:sz w:val="18"/>
          <w:szCs w:val="18"/>
        </w:rPr>
      </w:pPr>
      <w:r w:rsidRPr="00D64AB1">
        <w:rPr>
          <w:rFonts w:asciiTheme="majorHAnsi" w:hAnsiTheme="majorHAnsi" w:cs="Times New Roman"/>
          <w:sz w:val="18"/>
          <w:szCs w:val="18"/>
        </w:rPr>
        <w:t xml:space="preserve">2. Department of Physiology, JIPMER, </w:t>
      </w:r>
      <w:proofErr w:type="spellStart"/>
      <w:r w:rsidRPr="00D64AB1">
        <w:rPr>
          <w:rFonts w:asciiTheme="majorHAnsi" w:hAnsiTheme="majorHAnsi" w:cs="Times New Roman"/>
          <w:sz w:val="18"/>
          <w:szCs w:val="18"/>
        </w:rPr>
        <w:t>Puducherry</w:t>
      </w:r>
      <w:proofErr w:type="spellEnd"/>
      <w:r w:rsidRPr="00D64AB1">
        <w:rPr>
          <w:rFonts w:asciiTheme="majorHAnsi" w:hAnsiTheme="majorHAnsi" w:cs="Times New Roman"/>
          <w:sz w:val="18"/>
          <w:szCs w:val="18"/>
        </w:rPr>
        <w:t>- 605006</w:t>
      </w:r>
    </w:p>
    <w:p w:rsidR="007736BF" w:rsidRPr="00D64AB1" w:rsidRDefault="007736BF" w:rsidP="00D64AB1">
      <w:pPr>
        <w:spacing w:after="0" w:line="360" w:lineRule="auto"/>
        <w:jc w:val="both"/>
        <w:rPr>
          <w:rFonts w:asciiTheme="majorHAnsi" w:hAnsiTheme="majorHAnsi" w:cs="Times New Roman"/>
          <w:sz w:val="18"/>
          <w:szCs w:val="18"/>
        </w:rPr>
      </w:pPr>
      <w:r w:rsidRPr="00D64AB1">
        <w:rPr>
          <w:rFonts w:asciiTheme="majorHAnsi" w:hAnsiTheme="majorHAnsi" w:cs="Times New Roman"/>
          <w:sz w:val="18"/>
          <w:szCs w:val="18"/>
        </w:rPr>
        <w:t xml:space="preserve">3. Department of Obstetrics and Gynaecology, JIPMER, </w:t>
      </w:r>
      <w:proofErr w:type="spellStart"/>
      <w:r w:rsidRPr="00D64AB1">
        <w:rPr>
          <w:rFonts w:asciiTheme="majorHAnsi" w:hAnsiTheme="majorHAnsi" w:cs="Times New Roman"/>
          <w:sz w:val="18"/>
          <w:szCs w:val="18"/>
        </w:rPr>
        <w:t>Puducherry</w:t>
      </w:r>
      <w:proofErr w:type="spellEnd"/>
      <w:r w:rsidRPr="00D64AB1">
        <w:rPr>
          <w:rFonts w:asciiTheme="majorHAnsi" w:hAnsiTheme="majorHAnsi" w:cs="Times New Roman"/>
          <w:sz w:val="18"/>
          <w:szCs w:val="18"/>
        </w:rPr>
        <w:t>- 605006</w:t>
      </w:r>
    </w:p>
    <w:p w:rsidR="007736BF" w:rsidRPr="00D64AB1" w:rsidRDefault="007736BF" w:rsidP="00D64AB1">
      <w:pPr>
        <w:spacing w:after="0" w:line="360" w:lineRule="auto"/>
        <w:jc w:val="both"/>
        <w:rPr>
          <w:rFonts w:asciiTheme="majorHAnsi" w:hAnsiTheme="majorHAnsi" w:cs="Times New Roman"/>
          <w:sz w:val="18"/>
          <w:szCs w:val="18"/>
        </w:rPr>
      </w:pPr>
      <w:r w:rsidRPr="00D64AB1">
        <w:rPr>
          <w:rFonts w:asciiTheme="majorHAnsi" w:hAnsiTheme="majorHAnsi" w:cs="Times New Roman"/>
          <w:sz w:val="18"/>
          <w:szCs w:val="18"/>
        </w:rPr>
        <w:t xml:space="preserve">Corresponding author: Dr R </w:t>
      </w:r>
      <w:proofErr w:type="spellStart"/>
      <w:r w:rsidRPr="00D64AB1">
        <w:rPr>
          <w:rFonts w:asciiTheme="majorHAnsi" w:hAnsiTheme="majorHAnsi" w:cs="Times New Roman"/>
          <w:sz w:val="18"/>
          <w:szCs w:val="18"/>
        </w:rPr>
        <w:t>Meena</w:t>
      </w:r>
      <w:proofErr w:type="spellEnd"/>
      <w:r w:rsidRPr="00D64AB1">
        <w:rPr>
          <w:rFonts w:asciiTheme="majorHAnsi" w:hAnsiTheme="majorHAnsi" w:cs="Times New Roman"/>
          <w:sz w:val="18"/>
          <w:szCs w:val="18"/>
        </w:rPr>
        <w:t xml:space="preserve">, Senior Resident, Department </w:t>
      </w:r>
      <w:proofErr w:type="gramStart"/>
      <w:r w:rsidRPr="00D64AB1">
        <w:rPr>
          <w:rFonts w:asciiTheme="majorHAnsi" w:hAnsiTheme="majorHAnsi" w:cs="Times New Roman"/>
          <w:sz w:val="18"/>
          <w:szCs w:val="18"/>
        </w:rPr>
        <w:t>of  Physiology</w:t>
      </w:r>
      <w:proofErr w:type="gramEnd"/>
      <w:r w:rsidRPr="00D64AB1">
        <w:rPr>
          <w:rFonts w:asciiTheme="majorHAnsi" w:hAnsiTheme="majorHAnsi" w:cs="Times New Roman"/>
          <w:sz w:val="18"/>
          <w:szCs w:val="18"/>
        </w:rPr>
        <w:t xml:space="preserve">, </w:t>
      </w:r>
      <w:proofErr w:type="spellStart"/>
      <w:r w:rsidRPr="00D64AB1">
        <w:rPr>
          <w:rFonts w:asciiTheme="majorHAnsi" w:hAnsiTheme="majorHAnsi" w:cs="Times New Roman"/>
          <w:sz w:val="18"/>
          <w:szCs w:val="18"/>
        </w:rPr>
        <w:t>Sree</w:t>
      </w:r>
      <w:proofErr w:type="spellEnd"/>
      <w:r w:rsidRPr="00D64AB1">
        <w:rPr>
          <w:rFonts w:asciiTheme="majorHAnsi" w:hAnsiTheme="majorHAnsi" w:cs="Times New Roman"/>
          <w:sz w:val="18"/>
          <w:szCs w:val="18"/>
        </w:rPr>
        <w:t xml:space="preserve"> </w:t>
      </w:r>
      <w:proofErr w:type="spellStart"/>
      <w:r w:rsidRPr="00D64AB1">
        <w:rPr>
          <w:rFonts w:asciiTheme="majorHAnsi" w:hAnsiTheme="majorHAnsi" w:cs="Times New Roman"/>
          <w:sz w:val="18"/>
          <w:szCs w:val="18"/>
        </w:rPr>
        <w:t>Balaji</w:t>
      </w:r>
      <w:proofErr w:type="spellEnd"/>
      <w:r w:rsidRPr="00D64AB1">
        <w:rPr>
          <w:rFonts w:asciiTheme="majorHAnsi" w:hAnsiTheme="majorHAnsi" w:cs="Times New Roman"/>
          <w:sz w:val="18"/>
          <w:szCs w:val="18"/>
        </w:rPr>
        <w:t xml:space="preserve"> Medical college and Hospital, </w:t>
      </w:r>
      <w:proofErr w:type="spellStart"/>
      <w:r w:rsidRPr="00D64AB1">
        <w:rPr>
          <w:rFonts w:asciiTheme="majorHAnsi" w:hAnsiTheme="majorHAnsi" w:cs="Times New Roman"/>
          <w:sz w:val="18"/>
          <w:szCs w:val="18"/>
        </w:rPr>
        <w:t>Chrompet</w:t>
      </w:r>
      <w:proofErr w:type="spellEnd"/>
      <w:r w:rsidRPr="00D64AB1">
        <w:rPr>
          <w:rFonts w:asciiTheme="majorHAnsi" w:hAnsiTheme="majorHAnsi" w:cs="Times New Roman"/>
          <w:sz w:val="18"/>
          <w:szCs w:val="18"/>
        </w:rPr>
        <w:t>, Chennai- 600044</w:t>
      </w:r>
    </w:p>
    <w:p w:rsidR="00D64AB1" w:rsidRDefault="00D64AB1" w:rsidP="00D64AB1">
      <w:pPr>
        <w:spacing w:after="0" w:line="360" w:lineRule="auto"/>
        <w:jc w:val="both"/>
        <w:rPr>
          <w:rFonts w:ascii="Times New Roman" w:hAnsi="Times New Roman" w:cs="Times New Roman"/>
          <w:b/>
          <w:sz w:val="20"/>
          <w:szCs w:val="20"/>
        </w:rPr>
      </w:pP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 xml:space="preserve">Abstract: </w:t>
      </w:r>
    </w:p>
    <w:p w:rsidR="00D64AB1" w:rsidRPr="00D64AB1" w:rsidRDefault="007736BF" w:rsidP="00D64AB1">
      <w:pPr>
        <w:spacing w:after="0" w:line="360" w:lineRule="auto"/>
        <w:jc w:val="both"/>
        <w:rPr>
          <w:rFonts w:ascii="Times New Roman" w:hAnsi="Times New Roman" w:cs="Times New Roman"/>
          <w:sz w:val="18"/>
          <w:szCs w:val="18"/>
        </w:rPr>
      </w:pPr>
      <w:r w:rsidRPr="00D64AB1">
        <w:rPr>
          <w:rFonts w:ascii="Times New Roman" w:hAnsi="Times New Roman" w:cs="Times New Roman"/>
          <w:b/>
          <w:sz w:val="18"/>
          <w:szCs w:val="18"/>
        </w:rPr>
        <w:t xml:space="preserve">Introduction: </w:t>
      </w:r>
      <w:r w:rsidRPr="00D64AB1">
        <w:rPr>
          <w:rFonts w:ascii="Times New Roman" w:hAnsi="Times New Roman" w:cs="Times New Roman"/>
          <w:sz w:val="18"/>
          <w:szCs w:val="18"/>
        </w:rPr>
        <w:t xml:space="preserve">The world health organization defines menopause as permanent stoppage of menstruation that occurs due to decreased level of female sex hormones mainly </w:t>
      </w:r>
      <w:proofErr w:type="spellStart"/>
      <w:r w:rsidRPr="00D64AB1">
        <w:rPr>
          <w:rFonts w:ascii="Times New Roman" w:hAnsi="Times New Roman" w:cs="Times New Roman"/>
          <w:sz w:val="18"/>
          <w:szCs w:val="18"/>
        </w:rPr>
        <w:t>estrogen</w:t>
      </w:r>
      <w:proofErr w:type="spellEnd"/>
      <w:r w:rsidRPr="00D64AB1">
        <w:rPr>
          <w:rFonts w:ascii="Times New Roman" w:hAnsi="Times New Roman" w:cs="Times New Roman"/>
          <w:sz w:val="18"/>
          <w:szCs w:val="18"/>
        </w:rPr>
        <w:t xml:space="preserve"> and progesterone in the blood and this can be confirmed after twelve months of amenorrhea. The </w:t>
      </w:r>
      <w:proofErr w:type="spellStart"/>
      <w:r w:rsidRPr="00D64AB1">
        <w:rPr>
          <w:rFonts w:ascii="Times New Roman" w:hAnsi="Times New Roman" w:cs="Times New Roman"/>
          <w:sz w:val="18"/>
          <w:szCs w:val="18"/>
        </w:rPr>
        <w:t>postmenopause</w:t>
      </w:r>
      <w:proofErr w:type="spellEnd"/>
      <w:r w:rsidRPr="00D64AB1">
        <w:rPr>
          <w:rFonts w:ascii="Times New Roman" w:hAnsi="Times New Roman" w:cs="Times New Roman"/>
          <w:sz w:val="18"/>
          <w:szCs w:val="18"/>
        </w:rPr>
        <w:t xml:space="preserve"> describes years that follows the menopause. Throughout the world, the commonness of being overweight was found to be 38% and India ranks third. According to National Institutes of Health, weight more than normal is considered one of the preventable causes of death. </w:t>
      </w:r>
      <w:proofErr w:type="spellStart"/>
      <w:r w:rsidRPr="00D64AB1">
        <w:rPr>
          <w:rFonts w:ascii="Times New Roman" w:hAnsi="Times New Roman" w:cs="Times New Roman"/>
          <w:sz w:val="18"/>
          <w:szCs w:val="18"/>
        </w:rPr>
        <w:t>Baroreflex</w:t>
      </w:r>
      <w:proofErr w:type="spellEnd"/>
      <w:r w:rsidRPr="00D64AB1">
        <w:rPr>
          <w:rFonts w:ascii="Times New Roman" w:hAnsi="Times New Roman" w:cs="Times New Roman"/>
          <w:sz w:val="18"/>
          <w:szCs w:val="18"/>
        </w:rPr>
        <w:t xml:space="preserve"> sensitivity (BRS) is a sensitive indicator of cardiac autonomic function and a measure of cardiovascular (CV) risk including morbidity and mortality. There are conflicting reports available on activity of autonomic nervous system in postmenopausal obese women. There is no report available on </w:t>
      </w:r>
      <w:proofErr w:type="spellStart"/>
      <w:r w:rsidRPr="00D64AB1">
        <w:rPr>
          <w:rFonts w:ascii="Times New Roman" w:hAnsi="Times New Roman" w:cs="Times New Roman"/>
          <w:sz w:val="18"/>
          <w:szCs w:val="18"/>
        </w:rPr>
        <w:t>baroreflex</w:t>
      </w:r>
      <w:proofErr w:type="spellEnd"/>
      <w:r w:rsidRPr="00D64AB1">
        <w:rPr>
          <w:rFonts w:ascii="Times New Roman" w:hAnsi="Times New Roman" w:cs="Times New Roman"/>
          <w:sz w:val="18"/>
          <w:szCs w:val="18"/>
        </w:rPr>
        <w:t xml:space="preserve"> sensitivity in postmenopausal obese women. </w:t>
      </w:r>
    </w:p>
    <w:p w:rsidR="00D64AB1" w:rsidRPr="00D64AB1" w:rsidRDefault="007736BF" w:rsidP="00D64AB1">
      <w:pPr>
        <w:spacing w:after="0" w:line="360" w:lineRule="auto"/>
        <w:jc w:val="both"/>
        <w:rPr>
          <w:rFonts w:ascii="Times New Roman" w:hAnsi="Times New Roman" w:cs="Times New Roman"/>
          <w:sz w:val="18"/>
          <w:szCs w:val="18"/>
        </w:rPr>
      </w:pPr>
      <w:r w:rsidRPr="00D64AB1">
        <w:rPr>
          <w:rFonts w:ascii="Times New Roman" w:hAnsi="Times New Roman" w:cs="Times New Roman"/>
          <w:b/>
          <w:sz w:val="18"/>
          <w:szCs w:val="18"/>
        </w:rPr>
        <w:t>Materials and methods:</w:t>
      </w:r>
      <w:r w:rsidRPr="00D64AB1">
        <w:rPr>
          <w:rFonts w:ascii="Times New Roman" w:hAnsi="Times New Roman" w:cs="Times New Roman"/>
          <w:sz w:val="18"/>
          <w:szCs w:val="18"/>
        </w:rPr>
        <w:t xml:space="preserve"> The study was conducted on 104 postmenopausal women grouped them into 2 with group 1 having normal BMI (18.50- 24.99) and group 2 having high BMI &gt;25.00 based on Asian’s classification for BMI. Subjects were evenly matched for age and menopausal duration. </w:t>
      </w:r>
      <w:proofErr w:type="spellStart"/>
      <w:r w:rsidRPr="00D64AB1">
        <w:rPr>
          <w:rFonts w:ascii="Times New Roman" w:hAnsi="Times New Roman" w:cs="Times New Roman"/>
          <w:sz w:val="18"/>
          <w:szCs w:val="18"/>
        </w:rPr>
        <w:t>Anthrometric</w:t>
      </w:r>
      <w:proofErr w:type="spellEnd"/>
      <w:r w:rsidRPr="00D64AB1">
        <w:rPr>
          <w:rFonts w:ascii="Times New Roman" w:hAnsi="Times New Roman" w:cs="Times New Roman"/>
          <w:sz w:val="18"/>
          <w:szCs w:val="18"/>
        </w:rPr>
        <w:t xml:space="preserve"> indices were calculated. The continuous beat to beat blood pressure variability is measured using a </w:t>
      </w:r>
      <w:proofErr w:type="spellStart"/>
      <w:r w:rsidRPr="00D64AB1">
        <w:rPr>
          <w:rFonts w:ascii="Times New Roman" w:hAnsi="Times New Roman" w:cs="Times New Roman"/>
          <w:sz w:val="18"/>
          <w:szCs w:val="18"/>
        </w:rPr>
        <w:t>noninvasive</w:t>
      </w:r>
      <w:proofErr w:type="spellEnd"/>
      <w:r w:rsidRPr="00D64AB1">
        <w:rPr>
          <w:rFonts w:ascii="Times New Roman" w:hAnsi="Times New Roman" w:cs="Times New Roman"/>
          <w:sz w:val="18"/>
          <w:szCs w:val="18"/>
        </w:rPr>
        <w:t xml:space="preserve"> continuous hemodynamic monitor </w:t>
      </w:r>
      <w:proofErr w:type="spellStart"/>
      <w:r w:rsidRPr="00D64AB1">
        <w:rPr>
          <w:rFonts w:ascii="Times New Roman" w:hAnsi="Times New Roman" w:cs="Times New Roman"/>
          <w:sz w:val="18"/>
          <w:szCs w:val="18"/>
        </w:rPr>
        <w:t>Finapres</w:t>
      </w:r>
      <w:proofErr w:type="spellEnd"/>
      <w:r w:rsidRPr="00D64AB1">
        <w:rPr>
          <w:rFonts w:ascii="Times New Roman" w:hAnsi="Times New Roman" w:cs="Times New Roman"/>
          <w:sz w:val="18"/>
          <w:szCs w:val="18"/>
        </w:rPr>
        <w:t xml:space="preserve">. </w:t>
      </w:r>
    </w:p>
    <w:p w:rsidR="00D64AB1" w:rsidRPr="00D64AB1" w:rsidRDefault="007736BF" w:rsidP="00D64AB1">
      <w:pPr>
        <w:spacing w:after="0" w:line="360" w:lineRule="auto"/>
        <w:jc w:val="both"/>
        <w:rPr>
          <w:rFonts w:ascii="Times New Roman" w:hAnsi="Times New Roman" w:cs="Times New Roman"/>
          <w:sz w:val="18"/>
          <w:szCs w:val="18"/>
        </w:rPr>
      </w:pPr>
      <w:r w:rsidRPr="00D64AB1">
        <w:rPr>
          <w:rFonts w:ascii="Times New Roman" w:hAnsi="Times New Roman" w:cs="Times New Roman"/>
          <w:b/>
          <w:sz w:val="18"/>
          <w:szCs w:val="18"/>
        </w:rPr>
        <w:t>Result</w:t>
      </w:r>
      <w:r w:rsidRPr="00D64AB1">
        <w:rPr>
          <w:rFonts w:ascii="Times New Roman" w:hAnsi="Times New Roman" w:cs="Times New Roman"/>
          <w:sz w:val="18"/>
          <w:szCs w:val="18"/>
        </w:rPr>
        <w:t>:</w:t>
      </w:r>
      <w:r w:rsidR="00D64AB1" w:rsidRPr="00D64AB1">
        <w:rPr>
          <w:rFonts w:ascii="Times New Roman" w:hAnsi="Times New Roman" w:cs="Times New Roman"/>
          <w:sz w:val="18"/>
          <w:szCs w:val="18"/>
        </w:rPr>
        <w:t xml:space="preserve"> </w:t>
      </w:r>
      <w:r w:rsidRPr="00D64AB1">
        <w:rPr>
          <w:rFonts w:ascii="Times New Roman" w:hAnsi="Times New Roman" w:cs="Times New Roman"/>
          <w:sz w:val="18"/>
          <w:szCs w:val="18"/>
        </w:rPr>
        <w:t xml:space="preserve">Basal Heart rate (BHR) (p= 0.009) and total peripheral </w:t>
      </w:r>
      <w:proofErr w:type="spellStart"/>
      <w:r w:rsidRPr="00D64AB1">
        <w:rPr>
          <w:rFonts w:ascii="Times New Roman" w:hAnsi="Times New Roman" w:cs="Times New Roman"/>
          <w:sz w:val="18"/>
          <w:szCs w:val="18"/>
        </w:rPr>
        <w:t>resisitance</w:t>
      </w:r>
      <w:proofErr w:type="spellEnd"/>
      <w:r w:rsidRPr="00D64AB1">
        <w:rPr>
          <w:rFonts w:ascii="Times New Roman" w:hAnsi="Times New Roman" w:cs="Times New Roman"/>
          <w:sz w:val="18"/>
          <w:szCs w:val="18"/>
        </w:rPr>
        <w:t xml:space="preserve"> (TPR) was increased (p&lt;0.000) in high BMI postmenopausal women highlighting increased sympathetic activity. This was supported by significant rise in Diastolic blood pressure (DBP) (p&lt;0.000) and Cardiac output (CO) (p&lt;0.000) in high BMI postmenopausal women when compared to controls. </w:t>
      </w:r>
    </w:p>
    <w:p w:rsidR="007736BF" w:rsidRPr="00D64AB1" w:rsidRDefault="007736BF" w:rsidP="00D64AB1">
      <w:pPr>
        <w:spacing w:after="0" w:line="360" w:lineRule="auto"/>
        <w:jc w:val="both"/>
        <w:rPr>
          <w:rFonts w:ascii="Times New Roman" w:hAnsi="Times New Roman" w:cs="Times New Roman"/>
          <w:sz w:val="18"/>
          <w:szCs w:val="18"/>
        </w:rPr>
      </w:pPr>
      <w:r w:rsidRPr="00D64AB1">
        <w:rPr>
          <w:rFonts w:ascii="Times New Roman" w:hAnsi="Times New Roman" w:cs="Times New Roman"/>
          <w:b/>
          <w:sz w:val="18"/>
          <w:szCs w:val="18"/>
        </w:rPr>
        <w:t xml:space="preserve">Conclusion: </w:t>
      </w:r>
      <w:r w:rsidRPr="00D64AB1">
        <w:rPr>
          <w:rFonts w:ascii="Times New Roman" w:hAnsi="Times New Roman" w:cs="Times New Roman"/>
          <w:sz w:val="18"/>
          <w:szCs w:val="18"/>
        </w:rPr>
        <w:t>BRS was reduced in high BMI postmenopausal women. Reduced BRS is known cardiovascular risk factors. So, high BMI postmenopausal women were more prone for CV risk when compared to normal BMI postmenopausal women.</w:t>
      </w:r>
    </w:p>
    <w:p w:rsidR="007736BF" w:rsidRPr="00D64AB1" w:rsidRDefault="007736BF" w:rsidP="00D64AB1">
      <w:pPr>
        <w:pStyle w:val="Default"/>
        <w:spacing w:line="360" w:lineRule="auto"/>
        <w:jc w:val="both"/>
        <w:rPr>
          <w:sz w:val="18"/>
          <w:szCs w:val="18"/>
        </w:rPr>
      </w:pPr>
      <w:r w:rsidRPr="00D64AB1">
        <w:rPr>
          <w:b/>
          <w:color w:val="auto"/>
          <w:sz w:val="18"/>
          <w:szCs w:val="18"/>
        </w:rPr>
        <w:t>Keywords:</w:t>
      </w:r>
      <w:r w:rsidRPr="00D64AB1">
        <w:rPr>
          <w:color w:val="auto"/>
          <w:sz w:val="18"/>
          <w:szCs w:val="18"/>
        </w:rPr>
        <w:t xml:space="preserve"> BMI, postmenopausal women, BRS.</w:t>
      </w:r>
    </w:p>
    <w:p w:rsidR="007736BF" w:rsidRPr="00D64AB1" w:rsidRDefault="007736BF" w:rsidP="00D64AB1">
      <w:pPr>
        <w:spacing w:after="0" w:line="360" w:lineRule="auto"/>
        <w:jc w:val="both"/>
        <w:rPr>
          <w:rFonts w:ascii="Times New Roman" w:hAnsi="Times New Roman" w:cs="Times New Roman"/>
          <w:sz w:val="28"/>
          <w:szCs w:val="28"/>
        </w:rPr>
      </w:pPr>
    </w:p>
    <w:p w:rsidR="007736BF" w:rsidRPr="00D64AB1" w:rsidRDefault="007736BF" w:rsidP="00D64AB1">
      <w:pPr>
        <w:spacing w:after="0" w:line="360" w:lineRule="auto"/>
        <w:jc w:val="both"/>
        <w:rPr>
          <w:rFonts w:ascii="Times New Roman" w:hAnsi="Times New Roman" w:cs="Times New Roman"/>
          <w:b/>
          <w:sz w:val="28"/>
          <w:szCs w:val="28"/>
          <w:vertAlign w:val="superscript"/>
        </w:rPr>
      </w:pPr>
      <w:r w:rsidRPr="00D64AB1">
        <w:rPr>
          <w:rFonts w:ascii="Times New Roman" w:hAnsi="Times New Roman" w:cs="Times New Roman"/>
          <w:b/>
          <w:sz w:val="28"/>
          <w:szCs w:val="28"/>
          <w:vertAlign w:val="superscript"/>
        </w:rPr>
        <w:t>Introduction:</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 xml:space="preserve">Menopause also known as </w:t>
      </w:r>
      <w:proofErr w:type="gramStart"/>
      <w:r w:rsidRPr="00D64AB1">
        <w:rPr>
          <w:rFonts w:ascii="Times New Roman" w:hAnsi="Times New Roman" w:cs="Times New Roman"/>
          <w:sz w:val="20"/>
          <w:szCs w:val="20"/>
        </w:rPr>
        <w:t>climacteric,</w:t>
      </w:r>
      <w:proofErr w:type="gramEnd"/>
      <w:r w:rsidRPr="00D64AB1">
        <w:rPr>
          <w:rFonts w:ascii="Times New Roman" w:hAnsi="Times New Roman" w:cs="Times New Roman"/>
          <w:sz w:val="20"/>
          <w:szCs w:val="20"/>
        </w:rPr>
        <w:t xml:space="preserve"> indicates to the period in the life of a woman when she does not get any more menstrual period and becomes capable of producing offspring </w:t>
      </w:r>
      <w:r w:rsidRPr="00D64AB1">
        <w:rPr>
          <w:rFonts w:ascii="Times New Roman" w:hAnsi="Times New Roman" w:cs="Times New Roman"/>
          <w:sz w:val="20"/>
          <w:szCs w:val="20"/>
          <w:vertAlign w:val="superscript"/>
        </w:rPr>
        <w:t>(1)</w:t>
      </w:r>
      <w:r w:rsidRPr="00D64AB1">
        <w:rPr>
          <w:rFonts w:ascii="Times New Roman" w:hAnsi="Times New Roman" w:cs="Times New Roman"/>
          <w:sz w:val="20"/>
          <w:szCs w:val="20"/>
        </w:rPr>
        <w:t xml:space="preserve">. The </w:t>
      </w:r>
      <w:proofErr w:type="spellStart"/>
      <w:r w:rsidRPr="00D64AB1">
        <w:rPr>
          <w:rFonts w:ascii="Times New Roman" w:hAnsi="Times New Roman" w:cs="Times New Roman"/>
          <w:sz w:val="20"/>
          <w:szCs w:val="20"/>
        </w:rPr>
        <w:t>postmenopause</w:t>
      </w:r>
      <w:proofErr w:type="spellEnd"/>
      <w:r w:rsidRPr="00D64AB1">
        <w:rPr>
          <w:rFonts w:ascii="Times New Roman" w:hAnsi="Times New Roman" w:cs="Times New Roman"/>
          <w:sz w:val="20"/>
          <w:szCs w:val="20"/>
        </w:rPr>
        <w:t xml:space="preserve"> describes years that follows the menopause. During menopause women suffer a lot symptomatically. Symptoms associated with menopausal transition are vasomotor symptoms like night sweats, hot flashes and flushes, psychological and mental disturbances, sexual dysfunctions, somatic symptoms and weight gain </w:t>
      </w:r>
      <w:r w:rsidRPr="00D64AB1">
        <w:rPr>
          <w:rFonts w:ascii="Times New Roman" w:hAnsi="Times New Roman" w:cs="Times New Roman"/>
          <w:sz w:val="20"/>
          <w:szCs w:val="20"/>
          <w:vertAlign w:val="superscript"/>
        </w:rPr>
        <w:t>(2)</w:t>
      </w:r>
      <w:r w:rsidRPr="00D64AB1">
        <w:rPr>
          <w:rFonts w:ascii="Times New Roman" w:hAnsi="Times New Roman" w:cs="Times New Roman"/>
          <w:sz w:val="20"/>
          <w:szCs w:val="20"/>
        </w:rPr>
        <w:t xml:space="preserve">.Throughout the world, the commonness of being overweight was found to be 38% (2.1 billion of world population) and India ranks third </w:t>
      </w:r>
      <w:r w:rsidRPr="00D64AB1">
        <w:rPr>
          <w:rFonts w:ascii="Times New Roman" w:hAnsi="Times New Roman" w:cs="Times New Roman"/>
          <w:sz w:val="20"/>
          <w:szCs w:val="20"/>
          <w:vertAlign w:val="superscript"/>
        </w:rPr>
        <w:t>(3).</w:t>
      </w:r>
      <w:r w:rsidRPr="00D64AB1">
        <w:rPr>
          <w:rFonts w:ascii="Times New Roman" w:hAnsi="Times New Roman" w:cs="Times New Roman"/>
          <w:sz w:val="20"/>
          <w:szCs w:val="20"/>
        </w:rPr>
        <w:t xml:space="preserve">According to National Institutes of Health, weight more than normal is considered one of the preventable </w:t>
      </w:r>
      <w:r w:rsidRPr="00D64AB1">
        <w:rPr>
          <w:rFonts w:ascii="Times New Roman" w:hAnsi="Times New Roman" w:cs="Times New Roman"/>
          <w:sz w:val="20"/>
          <w:szCs w:val="20"/>
        </w:rPr>
        <w:lastRenderedPageBreak/>
        <w:t xml:space="preserve">causes of death </w:t>
      </w:r>
      <w:r w:rsidRPr="00D64AB1">
        <w:rPr>
          <w:rFonts w:ascii="Times New Roman" w:hAnsi="Times New Roman" w:cs="Times New Roman"/>
          <w:sz w:val="20"/>
          <w:szCs w:val="20"/>
          <w:vertAlign w:val="superscript"/>
        </w:rPr>
        <w:t>(4)</w:t>
      </w:r>
      <w:r w:rsidRPr="00D64AB1">
        <w:rPr>
          <w:rFonts w:ascii="Times New Roman" w:hAnsi="Times New Roman" w:cs="Times New Roman"/>
          <w:sz w:val="20"/>
          <w:szCs w:val="20"/>
        </w:rPr>
        <w:t xml:space="preserve">, especially on the large scale accounting for 300,000 deaths per year in the united states </w:t>
      </w:r>
      <w:r w:rsidRPr="00D64AB1">
        <w:rPr>
          <w:rFonts w:ascii="Times New Roman" w:hAnsi="Times New Roman" w:cs="Times New Roman"/>
          <w:sz w:val="20"/>
          <w:szCs w:val="20"/>
          <w:vertAlign w:val="superscript"/>
        </w:rPr>
        <w:t xml:space="preserve">(5). </w:t>
      </w:r>
      <w:r w:rsidRPr="00D64AB1">
        <w:rPr>
          <w:rFonts w:ascii="Times New Roman" w:hAnsi="Times New Roman" w:cs="Times New Roman"/>
          <w:sz w:val="20"/>
          <w:szCs w:val="20"/>
        </w:rPr>
        <w:t xml:space="preserve">Cardiovascular disease is increasing throughout the world and is the most common leading cause of death in women after 65years </w:t>
      </w:r>
      <w:r w:rsidRPr="00D64AB1">
        <w:rPr>
          <w:rFonts w:ascii="Times New Roman" w:hAnsi="Times New Roman" w:cs="Times New Roman"/>
          <w:sz w:val="20"/>
          <w:szCs w:val="20"/>
          <w:vertAlign w:val="superscript"/>
        </w:rPr>
        <w:t xml:space="preserve">(6). </w:t>
      </w:r>
      <w:r w:rsidRPr="00D64AB1">
        <w:rPr>
          <w:rFonts w:ascii="Times New Roman" w:hAnsi="Times New Roman" w:cs="Times New Roman"/>
          <w:sz w:val="20"/>
          <w:szCs w:val="20"/>
        </w:rPr>
        <w:t xml:space="preserve">Autonomic imbalance has been linked to assess the cardiovascular disease risk factors </w:t>
      </w:r>
      <w:r w:rsidRPr="00D64AB1">
        <w:rPr>
          <w:rFonts w:ascii="Times New Roman" w:hAnsi="Times New Roman" w:cs="Times New Roman"/>
          <w:sz w:val="20"/>
          <w:szCs w:val="20"/>
          <w:vertAlign w:val="superscript"/>
        </w:rPr>
        <w:t>(7)</w:t>
      </w:r>
      <w:r w:rsidRPr="00D64AB1">
        <w:rPr>
          <w:rFonts w:ascii="Times New Roman" w:hAnsi="Times New Roman" w:cs="Times New Roman"/>
          <w:sz w:val="20"/>
          <w:szCs w:val="20"/>
        </w:rPr>
        <w:t xml:space="preserve">. Analysis of continuous blood pressure variability as recorded by </w:t>
      </w:r>
      <w:proofErr w:type="spellStart"/>
      <w:r w:rsidRPr="00D64AB1">
        <w:rPr>
          <w:rFonts w:ascii="Times New Roman" w:hAnsi="Times New Roman" w:cs="Times New Roman"/>
          <w:sz w:val="20"/>
          <w:szCs w:val="20"/>
        </w:rPr>
        <w:t>Finapress</w:t>
      </w:r>
      <w:proofErr w:type="spellEnd"/>
      <w:r w:rsidRPr="00D64AB1">
        <w:rPr>
          <w:rFonts w:ascii="Times New Roman" w:hAnsi="Times New Roman" w:cs="Times New Roman"/>
          <w:sz w:val="20"/>
          <w:szCs w:val="20"/>
        </w:rPr>
        <w:t xml:space="preserve"> is </w:t>
      </w:r>
      <w:proofErr w:type="spellStart"/>
      <w:r w:rsidRPr="00D64AB1">
        <w:rPr>
          <w:rFonts w:ascii="Times New Roman" w:hAnsi="Times New Roman" w:cs="Times New Roman"/>
          <w:sz w:val="20"/>
          <w:szCs w:val="20"/>
        </w:rPr>
        <w:t>noninvasive</w:t>
      </w:r>
      <w:proofErr w:type="spellEnd"/>
      <w:r w:rsidRPr="00D64AB1">
        <w:rPr>
          <w:rFonts w:ascii="Times New Roman" w:hAnsi="Times New Roman" w:cs="Times New Roman"/>
          <w:sz w:val="20"/>
          <w:szCs w:val="20"/>
        </w:rPr>
        <w:t xml:space="preserve"> and useful tool to assess cardiac autonomic activity and </w:t>
      </w:r>
      <w:proofErr w:type="spellStart"/>
      <w:r w:rsidRPr="00D64AB1">
        <w:rPr>
          <w:rFonts w:ascii="Times New Roman" w:hAnsi="Times New Roman" w:cs="Times New Roman"/>
          <w:sz w:val="20"/>
          <w:szCs w:val="20"/>
        </w:rPr>
        <w:t>sympathovagal</w:t>
      </w:r>
      <w:proofErr w:type="spellEnd"/>
      <w:r w:rsidRPr="00D64AB1">
        <w:rPr>
          <w:rFonts w:ascii="Times New Roman" w:hAnsi="Times New Roman" w:cs="Times New Roman"/>
          <w:sz w:val="20"/>
          <w:szCs w:val="20"/>
        </w:rPr>
        <w:t xml:space="preserve"> balance </w:t>
      </w:r>
      <w:r w:rsidRPr="00D64AB1">
        <w:rPr>
          <w:rFonts w:ascii="Times New Roman" w:hAnsi="Times New Roman" w:cs="Times New Roman"/>
          <w:sz w:val="20"/>
          <w:szCs w:val="20"/>
          <w:vertAlign w:val="superscript"/>
        </w:rPr>
        <w:t>(8</w:t>
      </w:r>
      <w:proofErr w:type="gramStart"/>
      <w:r w:rsidRPr="00D64AB1">
        <w:rPr>
          <w:rFonts w:ascii="Times New Roman" w:hAnsi="Times New Roman" w:cs="Times New Roman"/>
          <w:sz w:val="20"/>
          <w:szCs w:val="20"/>
          <w:vertAlign w:val="superscript"/>
        </w:rPr>
        <w:t>,9,10</w:t>
      </w:r>
      <w:proofErr w:type="gramEnd"/>
      <w:r w:rsidRPr="00D64AB1">
        <w:rPr>
          <w:rFonts w:ascii="Times New Roman" w:hAnsi="Times New Roman" w:cs="Times New Roman"/>
          <w:sz w:val="20"/>
          <w:szCs w:val="20"/>
          <w:vertAlign w:val="superscript"/>
        </w:rPr>
        <w:t>)</w:t>
      </w:r>
      <w:r w:rsidRPr="00D64AB1">
        <w:rPr>
          <w:rFonts w:ascii="Times New Roman" w:hAnsi="Times New Roman" w:cs="Times New Roman"/>
          <w:sz w:val="20"/>
          <w:szCs w:val="20"/>
        </w:rPr>
        <w:t xml:space="preserve">. </w:t>
      </w:r>
      <w:proofErr w:type="spellStart"/>
      <w:r w:rsidRPr="00D64AB1">
        <w:rPr>
          <w:rFonts w:ascii="Times New Roman" w:hAnsi="Times New Roman" w:cs="Times New Roman"/>
          <w:sz w:val="20"/>
          <w:szCs w:val="20"/>
        </w:rPr>
        <w:t>Baroreflex</w:t>
      </w:r>
      <w:proofErr w:type="spellEnd"/>
      <w:r w:rsidRPr="00D64AB1">
        <w:rPr>
          <w:rFonts w:ascii="Times New Roman" w:hAnsi="Times New Roman" w:cs="Times New Roman"/>
          <w:sz w:val="20"/>
          <w:szCs w:val="20"/>
        </w:rPr>
        <w:t xml:space="preserve"> sensitivity (BRS) is a sensitive indicator of cardiac autonomic function and a measure of cardiovascular (CV) risk including morbidity and mortality </w:t>
      </w:r>
      <w:r w:rsidRPr="00D64AB1">
        <w:rPr>
          <w:rFonts w:ascii="Times New Roman" w:hAnsi="Times New Roman" w:cs="Times New Roman"/>
          <w:sz w:val="20"/>
          <w:szCs w:val="20"/>
          <w:vertAlign w:val="superscript"/>
        </w:rPr>
        <w:t>(11)</w:t>
      </w:r>
      <w:r w:rsidRPr="00D64AB1">
        <w:rPr>
          <w:rFonts w:ascii="Times New Roman" w:hAnsi="Times New Roman" w:cs="Times New Roman"/>
          <w:sz w:val="20"/>
          <w:szCs w:val="20"/>
        </w:rPr>
        <w:t xml:space="preserve">. In India the women on an average live for 65 years, whereas it is much more in case of women in developed countries, which is about 80 years. This shows the poor health status of women in India, emphasizing the requirement of special health care for them especially in the postmenopausal phase </w:t>
      </w:r>
      <w:r w:rsidRPr="00D64AB1">
        <w:rPr>
          <w:rFonts w:ascii="Times New Roman" w:hAnsi="Times New Roman" w:cs="Times New Roman"/>
          <w:sz w:val="20"/>
          <w:szCs w:val="20"/>
          <w:vertAlign w:val="superscript"/>
        </w:rPr>
        <w:t>(12)</w:t>
      </w:r>
      <w:r w:rsidRPr="00D64AB1">
        <w:rPr>
          <w:rFonts w:ascii="Times New Roman" w:hAnsi="Times New Roman" w:cs="Times New Roman"/>
          <w:sz w:val="20"/>
          <w:szCs w:val="20"/>
        </w:rPr>
        <w:t>.</w:t>
      </w: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 xml:space="preserve">Aim and objectives: </w:t>
      </w:r>
    </w:p>
    <w:p w:rsidR="007736BF" w:rsidRPr="00D64AB1" w:rsidRDefault="007736BF" w:rsidP="00D64AB1">
      <w:pPr>
        <w:spacing w:after="0" w:line="360" w:lineRule="auto"/>
        <w:jc w:val="both"/>
        <w:rPr>
          <w:rFonts w:ascii="Times New Roman" w:hAnsi="Times New Roman" w:cs="Times New Roman"/>
          <w:sz w:val="20"/>
          <w:szCs w:val="20"/>
        </w:rPr>
      </w:pPr>
      <w:proofErr w:type="gramStart"/>
      <w:r w:rsidRPr="00D64AB1">
        <w:rPr>
          <w:rFonts w:ascii="Times New Roman" w:hAnsi="Times New Roman" w:cs="Times New Roman"/>
          <w:sz w:val="20"/>
          <w:szCs w:val="20"/>
        </w:rPr>
        <w:t xml:space="preserve">To study the association between cardiovascular risk with </w:t>
      </w:r>
      <w:proofErr w:type="spellStart"/>
      <w:r w:rsidRPr="00D64AB1">
        <w:rPr>
          <w:rFonts w:ascii="Times New Roman" w:hAnsi="Times New Roman" w:cs="Times New Roman"/>
          <w:sz w:val="20"/>
          <w:szCs w:val="20"/>
        </w:rPr>
        <w:t>Baroreflex</w:t>
      </w:r>
      <w:proofErr w:type="spellEnd"/>
      <w:r w:rsidRPr="00D64AB1">
        <w:rPr>
          <w:rFonts w:ascii="Times New Roman" w:hAnsi="Times New Roman" w:cs="Times New Roman"/>
          <w:sz w:val="20"/>
          <w:szCs w:val="20"/>
        </w:rPr>
        <w:t xml:space="preserve"> sensitivity in normal and high BMI postmenopausal women.</w:t>
      </w:r>
      <w:proofErr w:type="gramEnd"/>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Materials and methods:</w:t>
      </w:r>
    </w:p>
    <w:p w:rsidR="007736BF" w:rsidRPr="00D64AB1" w:rsidRDefault="007736BF" w:rsidP="00D64AB1">
      <w:pPr>
        <w:pStyle w:val="Default"/>
        <w:spacing w:line="360" w:lineRule="auto"/>
        <w:jc w:val="both"/>
        <w:rPr>
          <w:sz w:val="20"/>
          <w:szCs w:val="20"/>
        </w:rPr>
      </w:pPr>
      <w:r w:rsidRPr="00D64AB1">
        <w:rPr>
          <w:sz w:val="20"/>
          <w:szCs w:val="20"/>
        </w:rPr>
        <w:t>After obtaining the approval from the JIPMER Scientific Advisory Committee (JSAC) and the Institutional Ethics Committee for human studies, the study was conducted on 104 postmenopausal women grouped them into 2 with group 1 having normal BMI (18.50- 24.99) and group 2 having high BMI &gt;25.00 based on Asian’s classification for BMI.</w:t>
      </w:r>
    </w:p>
    <w:p w:rsidR="007736BF" w:rsidRPr="00D64AB1" w:rsidRDefault="007736BF" w:rsidP="00D64AB1">
      <w:pPr>
        <w:pStyle w:val="Default"/>
        <w:spacing w:line="360" w:lineRule="auto"/>
        <w:jc w:val="both"/>
        <w:rPr>
          <w:b/>
          <w:bCs/>
          <w:sz w:val="20"/>
          <w:szCs w:val="20"/>
        </w:rPr>
      </w:pPr>
      <w:r w:rsidRPr="00D64AB1">
        <w:rPr>
          <w:b/>
          <w:bCs/>
          <w:sz w:val="20"/>
          <w:szCs w:val="20"/>
        </w:rPr>
        <w:t xml:space="preserve">Inclusion criteria: </w:t>
      </w:r>
    </w:p>
    <w:p w:rsidR="007736BF" w:rsidRPr="00D64AB1" w:rsidRDefault="007736BF" w:rsidP="00D64AB1">
      <w:pPr>
        <w:pStyle w:val="Default"/>
        <w:spacing w:line="360" w:lineRule="auto"/>
        <w:jc w:val="both"/>
        <w:rPr>
          <w:sz w:val="20"/>
          <w:szCs w:val="20"/>
        </w:rPr>
      </w:pPr>
      <w:r w:rsidRPr="00D64AB1">
        <w:rPr>
          <w:sz w:val="20"/>
          <w:szCs w:val="20"/>
        </w:rPr>
        <w:t>Postmenopausal women of age group 45-60 years, who were normotensives, without any gross systemic disease and non-smoker and who could abstain from caffeine, caffeine-containing beverages, drugs, and alcohol were taken during the study period.</w:t>
      </w:r>
    </w:p>
    <w:p w:rsidR="007736BF" w:rsidRPr="00D64AB1" w:rsidRDefault="007736BF" w:rsidP="00D64AB1">
      <w:pPr>
        <w:pStyle w:val="Default"/>
        <w:spacing w:line="360" w:lineRule="auto"/>
        <w:jc w:val="both"/>
        <w:rPr>
          <w:sz w:val="20"/>
          <w:szCs w:val="20"/>
        </w:rPr>
      </w:pPr>
      <w:r w:rsidRPr="00D64AB1">
        <w:rPr>
          <w:b/>
          <w:bCs/>
          <w:sz w:val="20"/>
          <w:szCs w:val="20"/>
        </w:rPr>
        <w:t xml:space="preserve">Exclusion criteria: </w:t>
      </w:r>
    </w:p>
    <w:p w:rsidR="007736BF" w:rsidRPr="00D64AB1" w:rsidRDefault="007736BF" w:rsidP="00D64AB1">
      <w:pPr>
        <w:pStyle w:val="Default"/>
        <w:spacing w:line="360" w:lineRule="auto"/>
        <w:jc w:val="both"/>
        <w:rPr>
          <w:sz w:val="20"/>
          <w:szCs w:val="20"/>
        </w:rPr>
      </w:pPr>
      <w:r w:rsidRPr="00D64AB1">
        <w:rPr>
          <w:sz w:val="20"/>
          <w:szCs w:val="20"/>
        </w:rPr>
        <w:t>Postmenopausal women of less than 45 and above 60 yrs, Tachycardia , Cardiac arrhythmias,  Hypertension,  Diabetes, Ischemic heart disease, Retinopathy , Neuropathy,  Any chronic disease or associated factors that may affect the autonomic reflexes,  Neurological disease,  Psychiatric diseases,  Chronic alcoholics,  Women receiving hormone replacement therapy and  taking any medication that have been reported to affect BRS (like for instance autonomic blockers).</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 xml:space="preserve"> Subjects were evenly matched for age and menopausal duration. The physical and physiological parameters were recorded using weighting machine, height strands. BMI was calculated using </w:t>
      </w:r>
      <w:proofErr w:type="spellStart"/>
      <w:r w:rsidRPr="00D64AB1">
        <w:rPr>
          <w:rFonts w:ascii="Times New Roman" w:hAnsi="Times New Roman" w:cs="Times New Roman"/>
          <w:sz w:val="20"/>
          <w:szCs w:val="20"/>
        </w:rPr>
        <w:t>Quetlet</w:t>
      </w:r>
      <w:proofErr w:type="spellEnd"/>
      <w:r w:rsidRPr="00D64AB1">
        <w:rPr>
          <w:rFonts w:ascii="Times New Roman" w:hAnsi="Times New Roman" w:cs="Times New Roman"/>
          <w:sz w:val="20"/>
          <w:szCs w:val="20"/>
        </w:rPr>
        <w:t xml:space="preserve"> index that uses body weight and height of the individual. Circumferences were measured using non- elastic steel tape (CESCORF, Brazil, </w:t>
      </w:r>
      <w:proofErr w:type="gramStart"/>
      <w:r w:rsidRPr="00D64AB1">
        <w:rPr>
          <w:rFonts w:ascii="Times New Roman" w:hAnsi="Times New Roman" w:cs="Times New Roman"/>
          <w:sz w:val="20"/>
          <w:szCs w:val="20"/>
        </w:rPr>
        <w:t>South</w:t>
      </w:r>
      <w:proofErr w:type="gramEnd"/>
      <w:r w:rsidRPr="00D64AB1">
        <w:rPr>
          <w:rFonts w:ascii="Times New Roman" w:hAnsi="Times New Roman" w:cs="Times New Roman"/>
          <w:sz w:val="20"/>
          <w:szCs w:val="20"/>
        </w:rPr>
        <w:t xml:space="preserve"> America). Waist circumference was measured (WC) which lies between lower costal border and top of the iliac </w:t>
      </w:r>
      <w:proofErr w:type="gramStart"/>
      <w:r w:rsidRPr="00D64AB1">
        <w:rPr>
          <w:rFonts w:ascii="Times New Roman" w:hAnsi="Times New Roman" w:cs="Times New Roman"/>
          <w:sz w:val="20"/>
          <w:szCs w:val="20"/>
        </w:rPr>
        <w:t>crest ,</w:t>
      </w:r>
      <w:proofErr w:type="gramEnd"/>
      <w:r w:rsidRPr="00D64AB1">
        <w:rPr>
          <w:rFonts w:ascii="Times New Roman" w:hAnsi="Times New Roman" w:cs="Times New Roman"/>
          <w:sz w:val="20"/>
          <w:szCs w:val="20"/>
        </w:rPr>
        <w:t xml:space="preserve"> hip circumference at the level of greatest posterior protuberance of the buttocks. The continuous beat to beat blood pressure variability is measured using a </w:t>
      </w:r>
      <w:proofErr w:type="spellStart"/>
      <w:r w:rsidRPr="00D64AB1">
        <w:rPr>
          <w:rFonts w:ascii="Times New Roman" w:hAnsi="Times New Roman" w:cs="Times New Roman"/>
          <w:sz w:val="20"/>
          <w:szCs w:val="20"/>
        </w:rPr>
        <w:t>noninvasive</w:t>
      </w:r>
      <w:proofErr w:type="spellEnd"/>
      <w:r w:rsidRPr="00D64AB1">
        <w:rPr>
          <w:rFonts w:ascii="Times New Roman" w:hAnsi="Times New Roman" w:cs="Times New Roman"/>
          <w:sz w:val="20"/>
          <w:szCs w:val="20"/>
        </w:rPr>
        <w:t xml:space="preserve"> continuous hemodynamic monitor </w:t>
      </w:r>
      <w:proofErr w:type="spellStart"/>
      <w:r w:rsidRPr="00D64AB1">
        <w:rPr>
          <w:rFonts w:ascii="Times New Roman" w:hAnsi="Times New Roman" w:cs="Times New Roman"/>
          <w:sz w:val="20"/>
          <w:szCs w:val="20"/>
        </w:rPr>
        <w:t>Finapres</w:t>
      </w:r>
      <w:proofErr w:type="spellEnd"/>
      <w:r w:rsidRPr="00D64AB1">
        <w:rPr>
          <w:rFonts w:ascii="Times New Roman" w:hAnsi="Times New Roman" w:cs="Times New Roman"/>
          <w:sz w:val="20"/>
          <w:szCs w:val="20"/>
        </w:rPr>
        <w:t xml:space="preserve"> (</w:t>
      </w:r>
      <w:proofErr w:type="spellStart"/>
      <w:r w:rsidRPr="00D64AB1">
        <w:rPr>
          <w:rFonts w:ascii="Times New Roman" w:hAnsi="Times New Roman" w:cs="Times New Roman"/>
          <w:sz w:val="20"/>
          <w:szCs w:val="20"/>
        </w:rPr>
        <w:t>Finometer</w:t>
      </w:r>
      <w:proofErr w:type="spellEnd"/>
      <w:r w:rsidRPr="00D64AB1">
        <w:rPr>
          <w:rFonts w:ascii="Times New Roman" w:hAnsi="Times New Roman" w:cs="Times New Roman"/>
          <w:sz w:val="20"/>
          <w:szCs w:val="20"/>
        </w:rPr>
        <w:t xml:space="preserve"> version1.22a, </w:t>
      </w:r>
      <w:proofErr w:type="spellStart"/>
      <w:r w:rsidRPr="00D64AB1">
        <w:rPr>
          <w:rFonts w:ascii="Times New Roman" w:hAnsi="Times New Roman" w:cs="Times New Roman"/>
          <w:sz w:val="20"/>
          <w:szCs w:val="20"/>
        </w:rPr>
        <w:t>Finapres</w:t>
      </w:r>
      <w:proofErr w:type="spellEnd"/>
      <w:r w:rsidRPr="00D64AB1">
        <w:rPr>
          <w:rFonts w:ascii="Times New Roman" w:hAnsi="Times New Roman" w:cs="Times New Roman"/>
          <w:sz w:val="20"/>
          <w:szCs w:val="20"/>
        </w:rPr>
        <w:t xml:space="preserve"> Medical Systems BV, Amsterdam, The Netherlands). The subjects were made comfortable in supine posture for 10 minutes in quiet room with ambient temperature of 25 C. Based on the finger </w:t>
      </w:r>
      <w:proofErr w:type="gramStart"/>
      <w:r w:rsidRPr="00D64AB1">
        <w:rPr>
          <w:rFonts w:ascii="Times New Roman" w:hAnsi="Times New Roman" w:cs="Times New Roman"/>
          <w:sz w:val="20"/>
          <w:szCs w:val="20"/>
        </w:rPr>
        <w:t>size,</w:t>
      </w:r>
      <w:proofErr w:type="gramEnd"/>
      <w:r w:rsidRPr="00D64AB1">
        <w:rPr>
          <w:rFonts w:ascii="Times New Roman" w:hAnsi="Times New Roman" w:cs="Times New Roman"/>
          <w:sz w:val="20"/>
          <w:szCs w:val="20"/>
        </w:rPr>
        <w:t xml:space="preserve"> cuff was selected and tied tightly around middle phalanx of the middle finger. Brachial cuff was tied around the </w:t>
      </w:r>
      <w:proofErr w:type="spellStart"/>
      <w:r w:rsidRPr="00D64AB1">
        <w:rPr>
          <w:rFonts w:ascii="Times New Roman" w:hAnsi="Times New Roman" w:cs="Times New Roman"/>
          <w:sz w:val="20"/>
          <w:szCs w:val="20"/>
        </w:rPr>
        <w:t>midarm</w:t>
      </w:r>
      <w:proofErr w:type="spellEnd"/>
      <w:r w:rsidRPr="00D64AB1">
        <w:rPr>
          <w:rFonts w:ascii="Times New Roman" w:hAnsi="Times New Roman" w:cs="Times New Roman"/>
          <w:sz w:val="20"/>
          <w:szCs w:val="20"/>
        </w:rPr>
        <w:t xml:space="preserve"> above the </w:t>
      </w:r>
      <w:proofErr w:type="spellStart"/>
      <w:r w:rsidRPr="00D64AB1">
        <w:rPr>
          <w:rFonts w:ascii="Times New Roman" w:hAnsi="Times New Roman" w:cs="Times New Roman"/>
          <w:sz w:val="20"/>
          <w:szCs w:val="20"/>
        </w:rPr>
        <w:t>cubital</w:t>
      </w:r>
      <w:proofErr w:type="spellEnd"/>
      <w:r w:rsidRPr="00D64AB1">
        <w:rPr>
          <w:rFonts w:ascii="Times New Roman" w:hAnsi="Times New Roman" w:cs="Times New Roman"/>
          <w:sz w:val="20"/>
          <w:szCs w:val="20"/>
        </w:rPr>
        <w:t xml:space="preserve"> fossa for return to flow calibrations. In </w:t>
      </w:r>
      <w:proofErr w:type="spellStart"/>
      <w:r w:rsidRPr="00D64AB1">
        <w:rPr>
          <w:rFonts w:ascii="Times New Roman" w:hAnsi="Times New Roman" w:cs="Times New Roman"/>
          <w:sz w:val="20"/>
          <w:szCs w:val="20"/>
        </w:rPr>
        <w:t>Finapres</w:t>
      </w:r>
      <w:proofErr w:type="spellEnd"/>
      <w:r w:rsidRPr="00D64AB1">
        <w:rPr>
          <w:rFonts w:ascii="Times New Roman" w:hAnsi="Times New Roman" w:cs="Times New Roman"/>
          <w:sz w:val="20"/>
          <w:szCs w:val="20"/>
        </w:rPr>
        <w:t xml:space="preserve"> for level correction two sensors are used, which usually shift the finger pressure in upward direction to approach the nearest brachial artery pressure, one placed at the level of heart and the other at the level of finger. Later 5 </w:t>
      </w:r>
      <w:r w:rsidRPr="00D64AB1">
        <w:rPr>
          <w:rFonts w:ascii="Times New Roman" w:hAnsi="Times New Roman" w:cs="Times New Roman"/>
          <w:sz w:val="20"/>
          <w:szCs w:val="20"/>
        </w:rPr>
        <w:lastRenderedPageBreak/>
        <w:t xml:space="preserve">minutes of initial recording of return to flow calibration was done and </w:t>
      </w:r>
      <w:proofErr w:type="spellStart"/>
      <w:r w:rsidRPr="00D64AB1">
        <w:rPr>
          <w:rFonts w:ascii="Times New Roman" w:hAnsi="Times New Roman" w:cs="Times New Roman"/>
          <w:sz w:val="20"/>
          <w:szCs w:val="20"/>
        </w:rPr>
        <w:t>physiocal</w:t>
      </w:r>
      <w:proofErr w:type="spellEnd"/>
      <w:r w:rsidRPr="00D64AB1">
        <w:rPr>
          <w:rFonts w:ascii="Times New Roman" w:hAnsi="Times New Roman" w:cs="Times New Roman"/>
          <w:sz w:val="20"/>
          <w:szCs w:val="20"/>
        </w:rPr>
        <w:t xml:space="preserve"> was carried out for level correction following which 10 minutes of reconstructed finger arterial pressure was recorded.</w:t>
      </w: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Results:</w:t>
      </w:r>
    </w:p>
    <w:p w:rsidR="007736BF" w:rsidRPr="00D64AB1" w:rsidRDefault="007736BF" w:rsidP="00D64AB1">
      <w:pPr>
        <w:spacing w:after="0" w:line="360" w:lineRule="auto"/>
        <w:jc w:val="both"/>
        <w:rPr>
          <w:rFonts w:ascii="Times New Roman" w:hAnsi="Times New Roman" w:cs="Times New Roman"/>
          <w:b/>
          <w:bCs/>
          <w:sz w:val="20"/>
          <w:szCs w:val="20"/>
        </w:rPr>
      </w:pPr>
      <w:r w:rsidRPr="00D64AB1">
        <w:rPr>
          <w:rFonts w:ascii="Times New Roman" w:hAnsi="Times New Roman" w:cs="Times New Roman"/>
          <w:b/>
          <w:bCs/>
          <w:sz w:val="20"/>
          <w:szCs w:val="20"/>
        </w:rPr>
        <w:t>Comparison of normal BMI and high BMI postmenopausal women:</w:t>
      </w:r>
    </w:p>
    <w:p w:rsidR="007736BF" w:rsidRPr="00D64AB1" w:rsidRDefault="007736BF" w:rsidP="00D64AB1">
      <w:pPr>
        <w:pStyle w:val="Default"/>
        <w:spacing w:line="360" w:lineRule="auto"/>
        <w:jc w:val="both"/>
        <w:rPr>
          <w:sz w:val="20"/>
          <w:szCs w:val="20"/>
        </w:rPr>
      </w:pPr>
      <w:r w:rsidRPr="00D64AB1">
        <w:rPr>
          <w:b/>
          <w:bCs/>
          <w:sz w:val="20"/>
          <w:szCs w:val="20"/>
        </w:rPr>
        <w:t xml:space="preserve">Anthropometric indices: </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All the anthropometric indices such as weight, BMI, waist circumference and hip circumference</w:t>
      </w:r>
      <w:proofErr w:type="gramStart"/>
      <w:r w:rsidRPr="00D64AB1">
        <w:rPr>
          <w:rFonts w:ascii="Times New Roman" w:hAnsi="Times New Roman" w:cs="Times New Roman"/>
          <w:sz w:val="20"/>
          <w:szCs w:val="20"/>
        </w:rPr>
        <w:t>,  were</w:t>
      </w:r>
      <w:proofErr w:type="gramEnd"/>
      <w:r w:rsidRPr="00D64AB1">
        <w:rPr>
          <w:rFonts w:ascii="Times New Roman" w:hAnsi="Times New Roman" w:cs="Times New Roman"/>
          <w:sz w:val="20"/>
          <w:szCs w:val="20"/>
        </w:rPr>
        <w:t xml:space="preserve"> significantly high (Table-1) in high BMI postmenopausal women when compared to normal BMI postmenopausal women.</w:t>
      </w:r>
    </w:p>
    <w:p w:rsidR="007736BF" w:rsidRPr="00D64AB1" w:rsidRDefault="007736BF" w:rsidP="00D64AB1">
      <w:pPr>
        <w:pStyle w:val="Default"/>
        <w:spacing w:line="360" w:lineRule="auto"/>
        <w:jc w:val="both"/>
        <w:rPr>
          <w:sz w:val="20"/>
          <w:szCs w:val="20"/>
        </w:rPr>
      </w:pPr>
      <w:r w:rsidRPr="00D64AB1">
        <w:rPr>
          <w:b/>
          <w:bCs/>
          <w:sz w:val="20"/>
          <w:szCs w:val="20"/>
        </w:rPr>
        <w:t xml:space="preserve">Blood pressure variability parameters: </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Among the BPV parameters, BHR, SBP, DBP, RPP, SV, CO, LVET and TPR were significantly high (Table- 2) and the BRS was reduced significantly in high BMI postmenopausal women compared to normal BMI.</w:t>
      </w:r>
    </w:p>
    <w:p w:rsidR="00D64AB1" w:rsidRDefault="00D64AB1" w:rsidP="00D64AB1">
      <w:pPr>
        <w:spacing w:after="0" w:line="360" w:lineRule="auto"/>
        <w:jc w:val="both"/>
        <w:rPr>
          <w:rFonts w:ascii="Times New Roman" w:hAnsi="Times New Roman" w:cs="Times New Roman"/>
          <w:b/>
          <w:bCs/>
          <w:sz w:val="20"/>
          <w:szCs w:val="20"/>
        </w:rPr>
      </w:pPr>
    </w:p>
    <w:p w:rsidR="007736BF" w:rsidRPr="00D64AB1" w:rsidRDefault="007736BF" w:rsidP="00D64AB1">
      <w:pPr>
        <w:spacing w:after="0" w:line="360" w:lineRule="auto"/>
        <w:jc w:val="both"/>
        <w:rPr>
          <w:rFonts w:ascii="Times New Roman" w:hAnsi="Times New Roman" w:cs="Times New Roman"/>
          <w:b/>
          <w:bCs/>
          <w:sz w:val="20"/>
          <w:szCs w:val="20"/>
        </w:rPr>
      </w:pPr>
      <w:r w:rsidRPr="00D64AB1">
        <w:rPr>
          <w:rFonts w:ascii="Times New Roman" w:hAnsi="Times New Roman" w:cs="Times New Roman"/>
          <w:b/>
          <w:bCs/>
          <w:sz w:val="20"/>
          <w:szCs w:val="20"/>
        </w:rPr>
        <w:t>Table 1: Age and Anthropometric indices in normal and high BMI postmenopausal women</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7736BF" w:rsidRPr="00D64AB1" w:rsidTr="00D6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color w:val="FFFFFF" w:themeColor="background1"/>
                <w:sz w:val="20"/>
                <w:szCs w:val="20"/>
              </w:rPr>
            </w:pPr>
            <w:r w:rsidRPr="00D64AB1">
              <w:rPr>
                <w:color w:val="FFFFFF" w:themeColor="background1"/>
                <w:sz w:val="20"/>
                <w:szCs w:val="20"/>
              </w:rPr>
              <w:t xml:space="preserve">Parameters </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Normal BMI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4AB1">
              <w:rPr>
                <w:rFonts w:ascii="Times New Roman" w:hAnsi="Times New Roman" w:cs="Times New Roman"/>
                <w:sz w:val="20"/>
                <w:szCs w:val="20"/>
              </w:rPr>
              <w:t xml:space="preserve">(n=50) </w:t>
            </w:r>
          </w:p>
        </w:tc>
        <w:tc>
          <w:tcPr>
            <w:tcW w:w="2311"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High BMI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4AB1">
              <w:rPr>
                <w:rFonts w:ascii="Times New Roman" w:hAnsi="Times New Roman" w:cs="Times New Roman"/>
                <w:sz w:val="20"/>
                <w:szCs w:val="20"/>
              </w:rPr>
              <w:t xml:space="preserve">(n=54) </w:t>
            </w:r>
          </w:p>
        </w:tc>
        <w:tc>
          <w:tcPr>
            <w:tcW w:w="2311"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P value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Age </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51.68± 4.96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50.46±5.05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0.219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sz w:val="20"/>
                <w:szCs w:val="20"/>
              </w:rPr>
            </w:pPr>
            <w:r w:rsidRPr="00D64AB1">
              <w:rPr>
                <w:sz w:val="20"/>
                <w:szCs w:val="20"/>
              </w:rPr>
              <w:t xml:space="preserve">Weight (Kg) </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52.44± 7.29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67.17±8.469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Height (cm) </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153.56± 6.23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151.98±6.00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0.190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sz w:val="20"/>
                <w:szCs w:val="20"/>
              </w:rPr>
            </w:pPr>
            <w:r w:rsidRPr="00D64AB1">
              <w:rPr>
                <w:sz w:val="20"/>
                <w:szCs w:val="20"/>
              </w:rPr>
              <w:t xml:space="preserve">BMI </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22.16±2.08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29.06±3.18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Waist circumference(cm)</w:t>
            </w:r>
          </w:p>
          <w:p w:rsidR="007736BF" w:rsidRPr="00D64AB1" w:rsidRDefault="007736BF" w:rsidP="00D64AB1">
            <w:pPr>
              <w:spacing w:line="360" w:lineRule="auto"/>
              <w:jc w:val="both"/>
              <w:rPr>
                <w:rFonts w:ascii="Times New Roman" w:hAnsi="Times New Roman" w:cs="Times New Roman"/>
                <w:sz w:val="20"/>
                <w:szCs w:val="20"/>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81.19±7.91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87.94±9.35 </w:t>
            </w:r>
          </w:p>
          <w:p w:rsidR="007736BF" w:rsidRPr="00D64AB1" w:rsidRDefault="007736BF" w:rsidP="00D64AB1">
            <w:pPr>
              <w:spacing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7736BF" w:rsidRPr="00D64AB1" w:rsidRDefault="007736BF" w:rsidP="00D64AB1">
      <w:pPr>
        <w:spacing w:after="0" w:line="360" w:lineRule="auto"/>
        <w:jc w:val="both"/>
        <w:rPr>
          <w:rFonts w:ascii="Times New Roman" w:hAnsi="Times New Roman" w:cs="Times New Roman"/>
          <w:sz w:val="20"/>
          <w:szCs w:val="20"/>
        </w:rPr>
      </w:pPr>
    </w:p>
    <w:p w:rsidR="007736BF" w:rsidRPr="00D64AB1" w:rsidRDefault="007736BF" w:rsidP="00D64AB1">
      <w:pPr>
        <w:pStyle w:val="Default"/>
        <w:spacing w:line="360" w:lineRule="auto"/>
        <w:jc w:val="both"/>
        <w:rPr>
          <w:sz w:val="20"/>
          <w:szCs w:val="20"/>
        </w:rPr>
      </w:pPr>
      <w:r w:rsidRPr="00D64AB1">
        <w:rPr>
          <w:sz w:val="20"/>
          <w:szCs w:val="20"/>
        </w:rPr>
        <w:t xml:space="preserve">The values are expressed as </w:t>
      </w:r>
      <w:proofErr w:type="spellStart"/>
      <w:r w:rsidRPr="00D64AB1">
        <w:rPr>
          <w:sz w:val="20"/>
          <w:szCs w:val="20"/>
        </w:rPr>
        <w:t>Mean±SD</w:t>
      </w:r>
      <w:proofErr w:type="spellEnd"/>
      <w:r w:rsidRPr="00D64AB1">
        <w:rPr>
          <w:sz w:val="20"/>
          <w:szCs w:val="20"/>
        </w:rPr>
        <w:t xml:space="preserve">; Statistical analysis was done by student unpaired t-test. The P value &lt;0.05 was statistically considered significant. </w:t>
      </w:r>
    </w:p>
    <w:p w:rsidR="007736BF" w:rsidRPr="00D64AB1" w:rsidRDefault="007736BF" w:rsidP="00D64AB1">
      <w:pPr>
        <w:pStyle w:val="Default"/>
        <w:spacing w:line="360" w:lineRule="auto"/>
        <w:jc w:val="both"/>
        <w:rPr>
          <w:sz w:val="20"/>
          <w:szCs w:val="20"/>
        </w:rPr>
      </w:pPr>
      <w:r w:rsidRPr="00D64AB1">
        <w:rPr>
          <w:sz w:val="20"/>
          <w:szCs w:val="20"/>
        </w:rPr>
        <w:t xml:space="preserve">BMI: body mass index. </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*Mann-Whitney test was performed</w:t>
      </w: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D64AB1" w:rsidRDefault="00D64AB1" w:rsidP="00D64AB1">
      <w:pPr>
        <w:spacing w:after="0" w:line="360" w:lineRule="auto"/>
        <w:jc w:val="both"/>
        <w:rPr>
          <w:rFonts w:ascii="Times New Roman" w:hAnsi="Times New Roman" w:cs="Times New Roman"/>
          <w:b/>
          <w:bCs/>
          <w:sz w:val="20"/>
          <w:szCs w:val="20"/>
        </w:rPr>
      </w:pPr>
    </w:p>
    <w:p w:rsidR="007736BF" w:rsidRPr="00D64AB1" w:rsidRDefault="007736BF" w:rsidP="00D64AB1">
      <w:pPr>
        <w:spacing w:after="0" w:line="360" w:lineRule="auto"/>
        <w:jc w:val="both"/>
        <w:rPr>
          <w:rFonts w:ascii="Times New Roman" w:hAnsi="Times New Roman" w:cs="Times New Roman"/>
          <w:b/>
          <w:bCs/>
          <w:sz w:val="20"/>
          <w:szCs w:val="20"/>
        </w:rPr>
      </w:pPr>
      <w:r w:rsidRPr="00D64AB1">
        <w:rPr>
          <w:rFonts w:ascii="Times New Roman" w:hAnsi="Times New Roman" w:cs="Times New Roman"/>
          <w:b/>
          <w:bCs/>
          <w:sz w:val="20"/>
          <w:szCs w:val="20"/>
        </w:rPr>
        <w:t>Table 2: Comparison of Blood pressure variability parameters among normal and high BMI postmenopausal women</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7736BF" w:rsidRPr="00D64AB1" w:rsidTr="00D6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color w:val="FFFFFF" w:themeColor="background1"/>
                <w:sz w:val="20"/>
                <w:szCs w:val="20"/>
              </w:rPr>
            </w:pPr>
            <w:r w:rsidRPr="00D64AB1">
              <w:rPr>
                <w:color w:val="FFFFFF" w:themeColor="background1"/>
                <w:sz w:val="20"/>
                <w:szCs w:val="20"/>
              </w:rPr>
              <w:t xml:space="preserve">Parameters </w:t>
            </w:r>
          </w:p>
          <w:p w:rsidR="007736BF" w:rsidRPr="00D64AB1" w:rsidRDefault="007736BF" w:rsidP="00D64AB1">
            <w:pPr>
              <w:spacing w:line="360" w:lineRule="auto"/>
              <w:jc w:val="both"/>
              <w:rPr>
                <w:rFonts w:ascii="Times New Roman" w:hAnsi="Times New Roman" w:cs="Times New Roman"/>
                <w:sz w:val="20"/>
                <w:szCs w:val="20"/>
                <w:vertAlign w:val="superscript"/>
              </w:rPr>
            </w:pPr>
          </w:p>
        </w:tc>
        <w:tc>
          <w:tcPr>
            <w:tcW w:w="2310"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Normal BMI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D64AB1">
              <w:rPr>
                <w:rFonts w:ascii="Times New Roman" w:hAnsi="Times New Roman" w:cs="Times New Roman"/>
                <w:sz w:val="20"/>
                <w:szCs w:val="20"/>
              </w:rPr>
              <w:t xml:space="preserve">(n=50) </w:t>
            </w:r>
          </w:p>
        </w:tc>
        <w:tc>
          <w:tcPr>
            <w:tcW w:w="2311"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High BMI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D64AB1">
              <w:rPr>
                <w:rFonts w:ascii="Times New Roman" w:hAnsi="Times New Roman" w:cs="Times New Roman"/>
                <w:sz w:val="20"/>
                <w:szCs w:val="20"/>
              </w:rPr>
              <w:t xml:space="preserve">(n=54) </w:t>
            </w:r>
          </w:p>
        </w:tc>
        <w:tc>
          <w:tcPr>
            <w:tcW w:w="2311" w:type="dxa"/>
          </w:tcPr>
          <w:p w:rsidR="007736BF" w:rsidRPr="00D64AB1" w:rsidRDefault="007736BF" w:rsidP="00D64AB1">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64AB1">
              <w:rPr>
                <w:color w:val="FFFFFF" w:themeColor="background1"/>
                <w:sz w:val="20"/>
                <w:szCs w:val="20"/>
              </w:rPr>
              <w:t xml:space="preserve">P value </w:t>
            </w:r>
          </w:p>
          <w:p w:rsidR="007736BF" w:rsidRPr="00D64AB1" w:rsidRDefault="007736BF" w:rsidP="00D64AB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BHR (per min) </w:t>
            </w:r>
          </w:p>
          <w:p w:rsidR="007736BF" w:rsidRPr="00D64AB1" w:rsidRDefault="007736BF" w:rsidP="00D64AB1">
            <w:pPr>
              <w:spacing w:line="360" w:lineRule="auto"/>
              <w:jc w:val="both"/>
              <w:rPr>
                <w:rFonts w:ascii="Times New Roman" w:hAnsi="Times New Roman" w:cs="Times New Roman"/>
                <w:sz w:val="20"/>
                <w:szCs w:val="20"/>
                <w:vertAlign w:val="superscript"/>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75.72± 10.13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79.85± 4.84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0.009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tabs>
                <w:tab w:val="center" w:pos="1047"/>
                <w:tab w:val="right" w:pos="2094"/>
              </w:tabs>
              <w:spacing w:line="360" w:lineRule="auto"/>
              <w:rPr>
                <w:sz w:val="20"/>
                <w:szCs w:val="20"/>
              </w:rPr>
            </w:pPr>
            <w:r w:rsidRPr="00D64AB1">
              <w:rPr>
                <w:sz w:val="20"/>
                <w:szCs w:val="20"/>
              </w:rPr>
              <w:t xml:space="preserve">SBP (mmHg) </w:t>
            </w:r>
          </w:p>
          <w:p w:rsidR="007736BF" w:rsidRPr="00D64AB1" w:rsidRDefault="007736BF" w:rsidP="00D64AB1">
            <w:pPr>
              <w:spacing w:line="360" w:lineRule="auto"/>
              <w:jc w:val="right"/>
              <w:rPr>
                <w:rFonts w:ascii="Times New Roman" w:hAnsi="Times New Roman" w:cs="Times New Roman"/>
                <w:sz w:val="20"/>
                <w:szCs w:val="20"/>
                <w:vertAlign w:val="superscript"/>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116.37± 7.18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121.41± 9.07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&lt;0.002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DBP (mmHg)</w:t>
            </w:r>
          </w:p>
          <w:p w:rsidR="007736BF" w:rsidRPr="00D64AB1" w:rsidRDefault="007736BF" w:rsidP="00D64AB1">
            <w:pPr>
              <w:spacing w:line="360" w:lineRule="auto"/>
              <w:ind w:firstLine="720"/>
              <w:jc w:val="both"/>
              <w:rPr>
                <w:rFonts w:ascii="Times New Roman" w:hAnsi="Times New Roman" w:cs="Times New Roman"/>
                <w:sz w:val="20"/>
                <w:szCs w:val="20"/>
                <w:vertAlign w:val="superscript"/>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67.90± 7.40 </w:t>
            </w:r>
          </w:p>
          <w:p w:rsidR="007736BF" w:rsidRPr="00D64AB1" w:rsidRDefault="007736BF" w:rsidP="00D64AB1">
            <w:pPr>
              <w:spacing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76.60± 6.83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rPr>
                <w:sz w:val="20"/>
                <w:szCs w:val="20"/>
              </w:rPr>
            </w:pPr>
            <w:r w:rsidRPr="00D64AB1">
              <w:rPr>
                <w:sz w:val="20"/>
                <w:szCs w:val="20"/>
              </w:rPr>
              <w:t xml:space="preserve">MAP </w:t>
            </w:r>
          </w:p>
          <w:p w:rsidR="007736BF" w:rsidRPr="00D64AB1" w:rsidRDefault="007736BF" w:rsidP="00D64AB1">
            <w:pPr>
              <w:spacing w:line="360" w:lineRule="auto"/>
              <w:jc w:val="center"/>
              <w:rPr>
                <w:rFonts w:ascii="Times New Roman" w:hAnsi="Times New Roman" w:cs="Times New Roman"/>
                <w:sz w:val="20"/>
                <w:szCs w:val="20"/>
                <w:vertAlign w:val="superscript"/>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84.1± 7.84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91.5± 9.48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RPP (mmHg/min) </w:t>
            </w:r>
          </w:p>
          <w:p w:rsidR="007736BF" w:rsidRPr="00D64AB1" w:rsidRDefault="007736BF" w:rsidP="00D64AB1">
            <w:pPr>
              <w:spacing w:line="360" w:lineRule="auto"/>
              <w:jc w:val="both"/>
              <w:rPr>
                <w:rFonts w:ascii="Times New Roman" w:hAnsi="Times New Roman" w:cs="Times New Roman"/>
                <w:sz w:val="20"/>
                <w:szCs w:val="20"/>
                <w:vertAlign w:val="superscript"/>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88.11± 14.02 </w:t>
            </w:r>
          </w:p>
          <w:p w:rsidR="007736BF" w:rsidRPr="00D64AB1" w:rsidRDefault="007736BF" w:rsidP="00D64AB1">
            <w:pPr>
              <w:spacing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96.94±12.31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sz w:val="20"/>
                <w:szCs w:val="20"/>
              </w:rPr>
            </w:pPr>
            <w:r w:rsidRPr="00D64AB1">
              <w:rPr>
                <w:sz w:val="20"/>
                <w:szCs w:val="20"/>
              </w:rPr>
              <w:t xml:space="preserve">SV (ml) </w:t>
            </w:r>
          </w:p>
          <w:p w:rsidR="007736BF" w:rsidRPr="00D64AB1" w:rsidRDefault="007736BF" w:rsidP="00D64AB1">
            <w:pPr>
              <w:spacing w:line="360" w:lineRule="auto"/>
              <w:jc w:val="both"/>
              <w:rPr>
                <w:rFonts w:ascii="Times New Roman" w:hAnsi="Times New Roman" w:cs="Times New Roman"/>
                <w:sz w:val="20"/>
                <w:szCs w:val="20"/>
                <w:vertAlign w:val="superscript"/>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74.16± 20.18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85.90± 10.67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CO (L/min) </w:t>
            </w:r>
          </w:p>
          <w:p w:rsidR="007736BF" w:rsidRPr="00D64AB1" w:rsidRDefault="007736BF" w:rsidP="00D64AB1">
            <w:pPr>
              <w:spacing w:line="360" w:lineRule="auto"/>
              <w:jc w:val="both"/>
              <w:rPr>
                <w:rFonts w:ascii="Times New Roman" w:hAnsi="Times New Roman" w:cs="Times New Roman"/>
                <w:sz w:val="20"/>
                <w:szCs w:val="20"/>
                <w:vertAlign w:val="superscript"/>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5.61± 1.70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6.85± 1.00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sz w:val="20"/>
                <w:szCs w:val="20"/>
              </w:rPr>
            </w:pPr>
            <w:r w:rsidRPr="00D64AB1">
              <w:rPr>
                <w:sz w:val="20"/>
                <w:szCs w:val="20"/>
              </w:rPr>
              <w:t xml:space="preserve">TPR (mmHg.min/L) </w:t>
            </w:r>
          </w:p>
          <w:p w:rsidR="007736BF" w:rsidRPr="00D64AB1" w:rsidRDefault="007736BF" w:rsidP="00D64AB1">
            <w:pPr>
              <w:pStyle w:val="Default"/>
              <w:spacing w:line="360" w:lineRule="auto"/>
              <w:jc w:val="both"/>
              <w:rPr>
                <w:b w:val="0"/>
                <w:bCs w:val="0"/>
                <w:sz w:val="20"/>
                <w:szCs w:val="20"/>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0.70± 0.27 </w:t>
            </w:r>
          </w:p>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1.22± 0.55 </w:t>
            </w:r>
          </w:p>
          <w:p w:rsidR="007736BF" w:rsidRPr="00D64AB1" w:rsidRDefault="007736BF" w:rsidP="00D64AB1">
            <w:pPr>
              <w:pStyle w:val="Default"/>
              <w:spacing w:line="360" w:lineRule="auto"/>
              <w:ind w:firstLine="720"/>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&lt;0.000 </w:t>
            </w:r>
          </w:p>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7736BF" w:rsidRPr="00D64AB1" w:rsidTr="00D64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rsidR="007736BF" w:rsidRPr="00D64AB1" w:rsidRDefault="007736BF" w:rsidP="00D64AB1">
            <w:pPr>
              <w:pStyle w:val="Default"/>
              <w:spacing w:line="360" w:lineRule="auto"/>
              <w:jc w:val="both"/>
              <w:rPr>
                <w:sz w:val="20"/>
                <w:szCs w:val="20"/>
              </w:rPr>
            </w:pPr>
            <w:r w:rsidRPr="00D64AB1">
              <w:rPr>
                <w:sz w:val="20"/>
                <w:szCs w:val="20"/>
              </w:rPr>
              <w:t xml:space="preserve">LVET (ms) </w:t>
            </w:r>
          </w:p>
          <w:p w:rsidR="007736BF" w:rsidRPr="00D64AB1" w:rsidRDefault="007736BF" w:rsidP="00D64AB1">
            <w:pPr>
              <w:pStyle w:val="Default"/>
              <w:spacing w:line="360" w:lineRule="auto"/>
              <w:jc w:val="both"/>
              <w:rPr>
                <w:b w:val="0"/>
                <w:bCs w:val="0"/>
                <w:sz w:val="20"/>
                <w:szCs w:val="20"/>
              </w:rPr>
            </w:pPr>
          </w:p>
        </w:tc>
        <w:tc>
          <w:tcPr>
            <w:tcW w:w="2310"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255.43± 22.88 </w:t>
            </w:r>
          </w:p>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311" w:type="dxa"/>
            <w:tcBorders>
              <w:top w:val="none" w:sz="0" w:space="0" w:color="auto"/>
              <w:bottom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306.18± 16.37 </w:t>
            </w:r>
          </w:p>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311" w:type="dxa"/>
            <w:tcBorders>
              <w:top w:val="none" w:sz="0" w:space="0" w:color="auto"/>
              <w:bottom w:val="none" w:sz="0" w:space="0" w:color="auto"/>
              <w:right w:val="none" w:sz="0" w:space="0" w:color="auto"/>
            </w:tcBorders>
          </w:tcPr>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64AB1">
              <w:rPr>
                <w:sz w:val="20"/>
                <w:szCs w:val="20"/>
              </w:rPr>
              <w:t xml:space="preserve">0.000 </w:t>
            </w:r>
          </w:p>
          <w:p w:rsidR="007736BF" w:rsidRPr="00D64AB1" w:rsidRDefault="007736BF" w:rsidP="00D64AB1">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7736BF" w:rsidRPr="00D64AB1" w:rsidTr="00D64AB1">
        <w:tc>
          <w:tcPr>
            <w:cnfStyle w:val="001000000000" w:firstRow="0" w:lastRow="0" w:firstColumn="1" w:lastColumn="0" w:oddVBand="0" w:evenVBand="0" w:oddHBand="0" w:evenHBand="0" w:firstRowFirstColumn="0" w:firstRowLastColumn="0" w:lastRowFirstColumn="0" w:lastRowLastColumn="0"/>
            <w:tcW w:w="2310" w:type="dxa"/>
          </w:tcPr>
          <w:p w:rsidR="007736BF" w:rsidRPr="00D64AB1" w:rsidRDefault="007736BF" w:rsidP="00D64AB1">
            <w:pPr>
              <w:pStyle w:val="Default"/>
              <w:spacing w:line="360" w:lineRule="auto"/>
              <w:jc w:val="both"/>
              <w:rPr>
                <w:sz w:val="20"/>
                <w:szCs w:val="20"/>
              </w:rPr>
            </w:pPr>
            <w:r w:rsidRPr="00D64AB1">
              <w:rPr>
                <w:sz w:val="20"/>
                <w:szCs w:val="20"/>
              </w:rPr>
              <w:t xml:space="preserve">BRS (ms/mmHg) </w:t>
            </w:r>
          </w:p>
          <w:p w:rsidR="007736BF" w:rsidRPr="00D64AB1" w:rsidRDefault="007736BF" w:rsidP="00D64AB1">
            <w:pPr>
              <w:pStyle w:val="Default"/>
              <w:spacing w:line="360" w:lineRule="auto"/>
              <w:jc w:val="both"/>
              <w:rPr>
                <w:b w:val="0"/>
                <w:bCs w:val="0"/>
                <w:sz w:val="20"/>
                <w:szCs w:val="20"/>
              </w:rPr>
            </w:pPr>
          </w:p>
        </w:tc>
        <w:tc>
          <w:tcPr>
            <w:tcW w:w="2310"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11.82± 4.33 </w:t>
            </w:r>
          </w:p>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9.44± 3.83 </w:t>
            </w:r>
          </w:p>
          <w:p w:rsidR="007736BF" w:rsidRPr="00D64AB1" w:rsidRDefault="007736BF" w:rsidP="00D64AB1">
            <w:pPr>
              <w:pStyle w:val="Default"/>
              <w:spacing w:line="360" w:lineRule="auto"/>
              <w:ind w:firstLine="72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311" w:type="dxa"/>
          </w:tcPr>
          <w:p w:rsidR="007736BF" w:rsidRPr="00D64AB1" w:rsidRDefault="007736BF" w:rsidP="00D64AB1">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64AB1">
              <w:rPr>
                <w:sz w:val="20"/>
                <w:szCs w:val="20"/>
              </w:rPr>
              <w:t xml:space="preserve">0.003 </w:t>
            </w:r>
          </w:p>
          <w:p w:rsidR="007736BF" w:rsidRPr="00D64AB1" w:rsidRDefault="007736BF" w:rsidP="00D64AB1">
            <w:pPr>
              <w:pStyle w:val="Default"/>
              <w:spacing w:line="360" w:lineRule="auto"/>
              <w:ind w:firstLine="720"/>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D64AB1" w:rsidRDefault="00D64AB1" w:rsidP="00D64AB1">
      <w:pPr>
        <w:spacing w:after="0" w:line="360" w:lineRule="auto"/>
        <w:jc w:val="both"/>
        <w:rPr>
          <w:rFonts w:ascii="Times New Roman" w:hAnsi="Times New Roman" w:cs="Times New Roman"/>
          <w:sz w:val="20"/>
          <w:szCs w:val="20"/>
        </w:rPr>
      </w:pP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 xml:space="preserve">The values are expressed as </w:t>
      </w:r>
      <w:proofErr w:type="spellStart"/>
      <w:r w:rsidRPr="00D64AB1">
        <w:rPr>
          <w:rFonts w:ascii="Times New Roman" w:hAnsi="Times New Roman" w:cs="Times New Roman"/>
          <w:sz w:val="20"/>
          <w:szCs w:val="20"/>
        </w:rPr>
        <w:t>Mean±SD</w:t>
      </w:r>
      <w:proofErr w:type="spellEnd"/>
      <w:r w:rsidRPr="00D64AB1">
        <w:rPr>
          <w:rFonts w:ascii="Times New Roman" w:hAnsi="Times New Roman" w:cs="Times New Roman"/>
          <w:sz w:val="20"/>
          <w:szCs w:val="20"/>
        </w:rPr>
        <w:t>; Statistical analysis was done by student unpaired t-test. The p value &lt;0.05 was statistically considered significant. BPV: blood pressure variability; BHR: basal heart rate; SBP: systolic blood pressure; DBP: diastolic blood pressure; RPP: Rate pressure product; SV: stroke volume; CO: cardiac output; LVET; left ventricular ejection time; TPR: total peripheral resistance; BRS: Baroreceptor sensitivity.</w:t>
      </w:r>
    </w:p>
    <w:p w:rsidR="007736BF" w:rsidRPr="00D64AB1" w:rsidRDefault="007736BF" w:rsidP="00D64AB1">
      <w:pPr>
        <w:spacing w:after="0" w:line="360" w:lineRule="auto"/>
        <w:jc w:val="both"/>
        <w:rPr>
          <w:rFonts w:ascii="Times New Roman" w:hAnsi="Times New Roman" w:cs="Times New Roman"/>
          <w:b/>
          <w:sz w:val="20"/>
          <w:szCs w:val="20"/>
        </w:rPr>
      </w:pP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Discussion:</w:t>
      </w:r>
    </w:p>
    <w:p w:rsidR="007736BF" w:rsidRPr="00D64AB1" w:rsidRDefault="007736BF" w:rsidP="00D64AB1">
      <w:pPr>
        <w:pStyle w:val="Default"/>
        <w:spacing w:line="360" w:lineRule="auto"/>
        <w:jc w:val="both"/>
        <w:rPr>
          <w:sz w:val="20"/>
          <w:szCs w:val="20"/>
        </w:rPr>
      </w:pPr>
      <w:proofErr w:type="spellStart"/>
      <w:r w:rsidRPr="00D64AB1">
        <w:rPr>
          <w:sz w:val="20"/>
          <w:szCs w:val="20"/>
        </w:rPr>
        <w:t>Finapres</w:t>
      </w:r>
      <w:proofErr w:type="spellEnd"/>
      <w:r w:rsidRPr="00D64AB1">
        <w:rPr>
          <w:sz w:val="20"/>
          <w:szCs w:val="20"/>
        </w:rPr>
        <w:t xml:space="preserve"> stands for </w:t>
      </w:r>
      <w:proofErr w:type="spellStart"/>
      <w:r w:rsidRPr="00D64AB1">
        <w:rPr>
          <w:sz w:val="20"/>
          <w:szCs w:val="20"/>
        </w:rPr>
        <w:t>FINger</w:t>
      </w:r>
      <w:proofErr w:type="spellEnd"/>
      <w:r w:rsidRPr="00D64AB1">
        <w:rPr>
          <w:sz w:val="20"/>
          <w:szCs w:val="20"/>
        </w:rPr>
        <w:t xml:space="preserve"> Arterial </w:t>
      </w:r>
      <w:proofErr w:type="spellStart"/>
      <w:r w:rsidRPr="00D64AB1">
        <w:rPr>
          <w:sz w:val="20"/>
          <w:szCs w:val="20"/>
        </w:rPr>
        <w:t>PRESsure</w:t>
      </w:r>
      <w:proofErr w:type="spellEnd"/>
      <w:r w:rsidRPr="00D64AB1">
        <w:rPr>
          <w:sz w:val="20"/>
          <w:szCs w:val="20"/>
        </w:rPr>
        <w:t xml:space="preserve">, the instrument used to record the BP variability. An inflatable finger cuff tied around the finger is used obtain arterial waveform at the finger level. The diameter of the arterial wall is altered during each cardiac cycle as well as due to fluctuation in the physiological </w:t>
      </w:r>
      <w:proofErr w:type="spellStart"/>
      <w:r w:rsidRPr="00D64AB1">
        <w:rPr>
          <w:sz w:val="20"/>
          <w:szCs w:val="20"/>
        </w:rPr>
        <w:t>hemodynamics</w:t>
      </w:r>
      <w:proofErr w:type="spellEnd"/>
      <w:r w:rsidRPr="00D64AB1">
        <w:rPr>
          <w:sz w:val="20"/>
          <w:szCs w:val="20"/>
        </w:rPr>
        <w:t xml:space="preserve">. The fluctuation in the arterial volume is perceived by the sensor made of infrared rays in the finger cuff, and is calculated by the </w:t>
      </w:r>
      <w:proofErr w:type="spellStart"/>
      <w:r w:rsidRPr="00D64AB1">
        <w:rPr>
          <w:sz w:val="20"/>
          <w:szCs w:val="20"/>
        </w:rPr>
        <w:t>plethysmograph</w:t>
      </w:r>
      <w:proofErr w:type="spellEnd"/>
      <w:r w:rsidRPr="00D64AB1">
        <w:rPr>
          <w:sz w:val="20"/>
          <w:szCs w:val="20"/>
        </w:rPr>
        <w:t xml:space="preserve"> attached to it; thereby a counter pressure is applied by a pressure-servo-controller system </w:t>
      </w:r>
      <w:r w:rsidRPr="00D64AB1">
        <w:rPr>
          <w:sz w:val="20"/>
          <w:szCs w:val="20"/>
          <w:vertAlign w:val="superscript"/>
        </w:rPr>
        <w:t>(13)</w:t>
      </w:r>
      <w:r w:rsidRPr="00D64AB1">
        <w:rPr>
          <w:sz w:val="20"/>
          <w:szCs w:val="20"/>
        </w:rPr>
        <w:t xml:space="preserve">. As a result, the arterial diameter is kept constant throughout the cardiac cycle by clamping the artery, irrespective of the change in the volume </w:t>
      </w:r>
      <w:r w:rsidRPr="00D64AB1">
        <w:rPr>
          <w:sz w:val="20"/>
          <w:szCs w:val="20"/>
          <w:vertAlign w:val="superscript"/>
        </w:rPr>
        <w:t>(14)</w:t>
      </w:r>
      <w:r w:rsidRPr="00D64AB1">
        <w:rPr>
          <w:sz w:val="20"/>
          <w:szCs w:val="20"/>
        </w:rPr>
        <w:t xml:space="preserve">. Thus </w:t>
      </w:r>
      <w:proofErr w:type="spellStart"/>
      <w:r w:rsidRPr="00D64AB1">
        <w:rPr>
          <w:sz w:val="20"/>
          <w:szCs w:val="20"/>
        </w:rPr>
        <w:t>Finapres</w:t>
      </w:r>
      <w:proofErr w:type="spellEnd"/>
      <w:r w:rsidRPr="00D64AB1">
        <w:rPr>
          <w:sz w:val="20"/>
          <w:szCs w:val="20"/>
        </w:rPr>
        <w:t xml:space="preserve"> provides parameters that assess the </w:t>
      </w:r>
      <w:r w:rsidRPr="00D64AB1">
        <w:rPr>
          <w:sz w:val="20"/>
          <w:szCs w:val="20"/>
        </w:rPr>
        <w:lastRenderedPageBreak/>
        <w:t xml:space="preserve">functional abnormalities. However, it does not provide information regarding </w:t>
      </w:r>
      <w:proofErr w:type="spellStart"/>
      <w:r w:rsidRPr="00D64AB1">
        <w:rPr>
          <w:sz w:val="20"/>
          <w:szCs w:val="20"/>
        </w:rPr>
        <w:t>valvular</w:t>
      </w:r>
      <w:proofErr w:type="spellEnd"/>
      <w:r w:rsidRPr="00D64AB1">
        <w:rPr>
          <w:sz w:val="20"/>
          <w:szCs w:val="20"/>
        </w:rPr>
        <w:t xml:space="preserve"> and vascular dimensions and cardiac chambers. Among all the parameter, BRS is considered as one of the important tool to assess the CV functions and dysfunctions and also used to detect various clinical disorders </w:t>
      </w:r>
      <w:r w:rsidRPr="00D64AB1">
        <w:rPr>
          <w:sz w:val="20"/>
          <w:szCs w:val="20"/>
          <w:vertAlign w:val="superscript"/>
        </w:rPr>
        <w:t xml:space="preserve">(15). </w:t>
      </w:r>
      <w:r w:rsidRPr="00D64AB1">
        <w:rPr>
          <w:sz w:val="20"/>
          <w:szCs w:val="20"/>
        </w:rPr>
        <w:t xml:space="preserve">BRS is defined as the change in </w:t>
      </w:r>
      <w:proofErr w:type="spellStart"/>
      <w:r w:rsidRPr="00D64AB1">
        <w:rPr>
          <w:sz w:val="20"/>
          <w:szCs w:val="20"/>
        </w:rPr>
        <w:t>interbeat</w:t>
      </w:r>
      <w:proofErr w:type="spellEnd"/>
      <w:r w:rsidRPr="00D64AB1">
        <w:rPr>
          <w:sz w:val="20"/>
          <w:szCs w:val="20"/>
        </w:rPr>
        <w:t xml:space="preserve"> interval (IBI) in milliseconds per unit change in blood pressure. Decreased </w:t>
      </w:r>
      <w:proofErr w:type="spellStart"/>
      <w:r w:rsidRPr="00D64AB1">
        <w:rPr>
          <w:sz w:val="20"/>
          <w:szCs w:val="20"/>
        </w:rPr>
        <w:t>baroreflex</w:t>
      </w:r>
      <w:proofErr w:type="spellEnd"/>
      <w:r w:rsidRPr="00D64AB1">
        <w:rPr>
          <w:sz w:val="20"/>
          <w:szCs w:val="20"/>
        </w:rPr>
        <w:t xml:space="preserve"> sensitivity is reported as an index of CV risk </w:t>
      </w:r>
      <w:r w:rsidRPr="00D64AB1">
        <w:rPr>
          <w:sz w:val="20"/>
          <w:szCs w:val="20"/>
          <w:vertAlign w:val="superscript"/>
        </w:rPr>
        <w:t>(16)</w:t>
      </w:r>
      <w:r w:rsidRPr="00D64AB1">
        <w:rPr>
          <w:sz w:val="20"/>
          <w:szCs w:val="20"/>
        </w:rPr>
        <w:t xml:space="preserve">.Several studies have denoted that BRS is the broadcaster of the CV risk </w:t>
      </w:r>
      <w:r w:rsidRPr="00D64AB1">
        <w:rPr>
          <w:sz w:val="20"/>
          <w:szCs w:val="20"/>
          <w:vertAlign w:val="superscript"/>
        </w:rPr>
        <w:t>(17</w:t>
      </w:r>
      <w:proofErr w:type="gramStart"/>
      <w:r w:rsidRPr="00D64AB1">
        <w:rPr>
          <w:sz w:val="20"/>
          <w:szCs w:val="20"/>
          <w:vertAlign w:val="superscript"/>
        </w:rPr>
        <w:t>,18,19</w:t>
      </w:r>
      <w:proofErr w:type="gramEnd"/>
      <w:r w:rsidRPr="00D64AB1">
        <w:rPr>
          <w:sz w:val="20"/>
          <w:szCs w:val="20"/>
          <w:vertAlign w:val="superscript"/>
        </w:rPr>
        <w:t>)</w:t>
      </w:r>
      <w:r w:rsidRPr="00D64AB1">
        <w:rPr>
          <w:sz w:val="20"/>
          <w:szCs w:val="20"/>
        </w:rPr>
        <w:t xml:space="preserve">. White WB, 1999 stated that increased rate pressure product was an established risk of cardiovascular disease </w:t>
      </w:r>
      <w:r w:rsidRPr="00D64AB1">
        <w:rPr>
          <w:sz w:val="20"/>
          <w:szCs w:val="20"/>
          <w:vertAlign w:val="superscript"/>
        </w:rPr>
        <w:t>(20).</w:t>
      </w:r>
      <w:r w:rsidRPr="00D64AB1">
        <w:rPr>
          <w:sz w:val="20"/>
          <w:szCs w:val="20"/>
        </w:rPr>
        <w:t xml:space="preserve"> The tone of the vasculature in the systemic circulation tells about the total peripheral resistance (TPR) </w:t>
      </w:r>
      <w:r w:rsidRPr="00D64AB1">
        <w:rPr>
          <w:sz w:val="20"/>
          <w:szCs w:val="20"/>
          <w:vertAlign w:val="superscript"/>
        </w:rPr>
        <w:t>(21)</w:t>
      </w:r>
      <w:r w:rsidRPr="00D64AB1">
        <w:rPr>
          <w:sz w:val="20"/>
          <w:szCs w:val="20"/>
        </w:rPr>
        <w:t xml:space="preserve">. In the present study, TPR was increased in high BMI postmenopausal women highlighting increased sympathetic activity in these subjects. This was supported by significant rise in DBP in high BMI postmenopausal women because TPR is directly proportional to diastolic blood pressure. If TPR is more, then the pressure generated by the ventricles to eject the blood out of the arteries also goes up which can be appreciated by rise in DBP </w:t>
      </w:r>
      <w:r w:rsidRPr="00D64AB1">
        <w:rPr>
          <w:sz w:val="20"/>
          <w:szCs w:val="20"/>
          <w:vertAlign w:val="superscript"/>
        </w:rPr>
        <w:t>(22)</w:t>
      </w:r>
      <w:r w:rsidRPr="00D64AB1">
        <w:rPr>
          <w:sz w:val="20"/>
          <w:szCs w:val="20"/>
        </w:rPr>
        <w:t xml:space="preserve">.Cardiac output (CO) was increased in high BMI postmenopausal women when compared to controls. CO is the amount of blood pumped out of each ventricle per minute and it is measured as the product of heart rate (HR) and the stroke volume (SV). So, increase in any of these parameters will increase the CO. In high BMI postmenopausal women the heart rate was found to be increased when compared to controls and this could be due to the vagal withdrawal influencing the rise in HR. SV is the amount of blood pumped by each ventricle per beat. Increase in sympathetic activity increases SV as the ventricles are richly innervated by sympathetic fibbers, and sympathetic activity increases the force of contraction of cardiac muscle. This rise in CO is further confirmed by rise in the SBP in the high BMI postmenopausal women because CO and SBP are linearly related to each other. Rise in both CO and SBP in the present study depicts the rise in sympathetic activity in the high BMI postmenopausal women compared to controls. In the present study BRS was found to be reduced in high BMI postmenopausal women. Baroreceptors sense the fluctuation in the blood pressure based on the stretch produced on the vessel wall. Reduced sensing power of the baroreceptor could be due to persistent rise in CO and SBP in high BMI postmenopausal women when compared to controls. Also, rise in the body fat could be a factor which desensitizes the baroreceptors as fat gets deposited in the vessel wall, and makes it stiffer and less pliable. Several studies have denoted that BRS is the broadcaster of the CV risk </w:t>
      </w:r>
      <w:r w:rsidRPr="00D64AB1">
        <w:rPr>
          <w:sz w:val="20"/>
          <w:szCs w:val="20"/>
          <w:vertAlign w:val="superscript"/>
        </w:rPr>
        <w:t>(17</w:t>
      </w:r>
      <w:proofErr w:type="gramStart"/>
      <w:r w:rsidRPr="00D64AB1">
        <w:rPr>
          <w:sz w:val="20"/>
          <w:szCs w:val="20"/>
          <w:vertAlign w:val="superscript"/>
        </w:rPr>
        <w:t>,18,19</w:t>
      </w:r>
      <w:proofErr w:type="gramEnd"/>
      <w:r w:rsidRPr="00D64AB1">
        <w:rPr>
          <w:sz w:val="20"/>
          <w:szCs w:val="20"/>
          <w:vertAlign w:val="superscript"/>
        </w:rPr>
        <w:t>)</w:t>
      </w:r>
      <w:r w:rsidRPr="00D64AB1">
        <w:rPr>
          <w:sz w:val="20"/>
          <w:szCs w:val="20"/>
        </w:rPr>
        <w:t xml:space="preserve">. So, postmenopausal women with reduced BRS are more prone to CV risks. </w:t>
      </w: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Conclusion:</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BRS was reduced in high BMI postmenopausal women when compared to controls. Autonomic dysfunction in the form of heightened sympathetic activity associated with reduced parasympathetic activity was found in high BMI postmenopausal women. Thus, we concluded that postmenopausal women with high BMI were more prone for cardiovascular diseases when compared to normal BMI postmenopausal women.</w:t>
      </w:r>
    </w:p>
    <w:p w:rsidR="00D64AB1" w:rsidRDefault="00D64AB1" w:rsidP="00D64AB1">
      <w:pPr>
        <w:spacing w:after="0" w:line="360" w:lineRule="auto"/>
        <w:jc w:val="both"/>
        <w:rPr>
          <w:rFonts w:ascii="Times New Roman" w:hAnsi="Times New Roman" w:cs="Times New Roman"/>
          <w:b/>
          <w:sz w:val="20"/>
          <w:szCs w:val="20"/>
        </w:rPr>
      </w:pP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Financial Support and Sponsorship:</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 xml:space="preserve">This study was funded by intramural grant of JIPMER, </w:t>
      </w:r>
      <w:proofErr w:type="spellStart"/>
      <w:r w:rsidRPr="00D64AB1">
        <w:rPr>
          <w:rFonts w:ascii="Times New Roman" w:hAnsi="Times New Roman" w:cs="Times New Roman"/>
          <w:sz w:val="20"/>
          <w:szCs w:val="20"/>
        </w:rPr>
        <w:t>Puducherry</w:t>
      </w:r>
      <w:proofErr w:type="spellEnd"/>
      <w:r w:rsidRPr="00D64AB1">
        <w:rPr>
          <w:rFonts w:ascii="Times New Roman" w:hAnsi="Times New Roman" w:cs="Times New Roman"/>
          <w:sz w:val="20"/>
          <w:szCs w:val="20"/>
        </w:rPr>
        <w:t>, for the first author as a part of postgraduate research funding</w:t>
      </w: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Conflict of Interest:</w:t>
      </w:r>
    </w:p>
    <w:p w:rsidR="007736BF" w:rsidRPr="00D64AB1" w:rsidRDefault="007736BF" w:rsidP="00D64AB1">
      <w:pPr>
        <w:spacing w:after="0" w:line="360" w:lineRule="auto"/>
        <w:jc w:val="both"/>
        <w:rPr>
          <w:rFonts w:ascii="Times New Roman" w:hAnsi="Times New Roman" w:cs="Times New Roman"/>
          <w:sz w:val="20"/>
          <w:szCs w:val="20"/>
        </w:rPr>
      </w:pPr>
      <w:r w:rsidRPr="00D64AB1">
        <w:rPr>
          <w:rFonts w:ascii="Times New Roman" w:hAnsi="Times New Roman" w:cs="Times New Roman"/>
          <w:sz w:val="20"/>
          <w:szCs w:val="20"/>
        </w:rPr>
        <w:t>The author declare no conflict of interest</w:t>
      </w:r>
    </w:p>
    <w:p w:rsidR="00D64AB1" w:rsidRDefault="00D64AB1" w:rsidP="00D64AB1">
      <w:pPr>
        <w:spacing w:after="0" w:line="360" w:lineRule="auto"/>
        <w:jc w:val="both"/>
        <w:rPr>
          <w:rFonts w:ascii="Times New Roman" w:hAnsi="Times New Roman" w:cs="Times New Roman"/>
          <w:b/>
          <w:sz w:val="20"/>
          <w:szCs w:val="20"/>
        </w:rPr>
      </w:pPr>
    </w:p>
    <w:p w:rsidR="00D64AB1" w:rsidRDefault="00D64AB1" w:rsidP="00D64AB1">
      <w:pPr>
        <w:spacing w:after="0" w:line="360" w:lineRule="auto"/>
        <w:jc w:val="both"/>
        <w:rPr>
          <w:rFonts w:ascii="Times New Roman" w:hAnsi="Times New Roman" w:cs="Times New Roman"/>
          <w:b/>
          <w:sz w:val="20"/>
          <w:szCs w:val="20"/>
        </w:rPr>
      </w:pPr>
    </w:p>
    <w:p w:rsidR="00D64AB1" w:rsidRDefault="00D64AB1" w:rsidP="00D64AB1">
      <w:pPr>
        <w:spacing w:after="0" w:line="360" w:lineRule="auto"/>
        <w:jc w:val="both"/>
        <w:rPr>
          <w:rFonts w:ascii="Times New Roman" w:hAnsi="Times New Roman" w:cs="Times New Roman"/>
          <w:b/>
          <w:sz w:val="20"/>
          <w:szCs w:val="20"/>
        </w:rPr>
      </w:pPr>
    </w:p>
    <w:p w:rsidR="007736BF" w:rsidRPr="00D64AB1" w:rsidRDefault="007736BF" w:rsidP="00D64AB1">
      <w:pPr>
        <w:spacing w:after="0" w:line="360" w:lineRule="auto"/>
        <w:jc w:val="both"/>
        <w:rPr>
          <w:rFonts w:ascii="Times New Roman" w:hAnsi="Times New Roman" w:cs="Times New Roman"/>
          <w:b/>
          <w:sz w:val="20"/>
          <w:szCs w:val="20"/>
        </w:rPr>
      </w:pPr>
      <w:r w:rsidRPr="00D64AB1">
        <w:rPr>
          <w:rFonts w:ascii="Times New Roman" w:hAnsi="Times New Roman" w:cs="Times New Roman"/>
          <w:b/>
          <w:sz w:val="20"/>
          <w:szCs w:val="20"/>
        </w:rPr>
        <w:t>Acknowledgement:</w:t>
      </w:r>
    </w:p>
    <w:p w:rsidR="007736BF" w:rsidRPr="00D64AB1" w:rsidRDefault="007736BF" w:rsidP="00D64AB1">
      <w:pPr>
        <w:autoSpaceDE w:val="0"/>
        <w:autoSpaceDN w:val="0"/>
        <w:adjustRightInd w:val="0"/>
        <w:spacing w:after="0" w:line="360" w:lineRule="auto"/>
        <w:jc w:val="both"/>
        <w:rPr>
          <w:rFonts w:ascii="Times New Roman" w:eastAsia="CIDFont+F5" w:hAnsi="Times New Roman" w:cs="Times New Roman"/>
          <w:sz w:val="20"/>
          <w:szCs w:val="20"/>
        </w:rPr>
      </w:pPr>
      <w:r w:rsidRPr="00D64AB1">
        <w:rPr>
          <w:rFonts w:ascii="Times New Roman" w:eastAsia="CIDFont+F5" w:hAnsi="Times New Roman" w:cs="Times New Roman"/>
          <w:sz w:val="20"/>
          <w:szCs w:val="20"/>
        </w:rPr>
        <w:t>I would like to express my special thanks of gratitude to all the faculties in my department. I also thank our college administration, and community medicine department faculties for their help and support. Lastly, I extend my sincere thanks to all the participants of this study.</w:t>
      </w:r>
    </w:p>
    <w:p w:rsidR="007736BF" w:rsidRPr="00D64AB1" w:rsidRDefault="007736BF" w:rsidP="00D64AB1">
      <w:pPr>
        <w:autoSpaceDE w:val="0"/>
        <w:autoSpaceDN w:val="0"/>
        <w:adjustRightInd w:val="0"/>
        <w:spacing w:after="0" w:line="360" w:lineRule="auto"/>
        <w:rPr>
          <w:rFonts w:ascii="Times New Roman" w:eastAsia="CIDFont+F5" w:hAnsi="Times New Roman" w:cs="Times New Roman"/>
          <w:sz w:val="20"/>
          <w:szCs w:val="20"/>
        </w:rPr>
      </w:pPr>
    </w:p>
    <w:p w:rsidR="007736BF" w:rsidRPr="00D64AB1" w:rsidRDefault="007736BF" w:rsidP="00D64AB1">
      <w:pPr>
        <w:autoSpaceDE w:val="0"/>
        <w:autoSpaceDN w:val="0"/>
        <w:adjustRightInd w:val="0"/>
        <w:spacing w:after="0" w:line="360" w:lineRule="auto"/>
        <w:jc w:val="both"/>
        <w:rPr>
          <w:rFonts w:ascii="Times New Roman" w:eastAsia="CIDFont+F5" w:hAnsi="Times New Roman" w:cs="Times New Roman"/>
          <w:b/>
          <w:sz w:val="20"/>
          <w:szCs w:val="20"/>
        </w:rPr>
      </w:pPr>
      <w:r w:rsidRPr="00D64AB1">
        <w:rPr>
          <w:rFonts w:ascii="Times New Roman" w:eastAsia="CIDFont+F5" w:hAnsi="Times New Roman" w:cs="Times New Roman"/>
          <w:sz w:val="20"/>
          <w:szCs w:val="20"/>
        </w:rPr>
        <w:t xml:space="preserve"> </w:t>
      </w:r>
      <w:r w:rsidRPr="00D64AB1">
        <w:rPr>
          <w:rFonts w:ascii="Times New Roman" w:eastAsia="CIDFont+F5" w:hAnsi="Times New Roman" w:cs="Times New Roman"/>
          <w:b/>
          <w:sz w:val="20"/>
          <w:szCs w:val="20"/>
        </w:rPr>
        <w:t>References:</w:t>
      </w:r>
    </w:p>
    <w:p w:rsidR="007736BF" w:rsidRPr="00D64AB1" w:rsidRDefault="007736BF" w:rsidP="00D64AB1">
      <w:pPr>
        <w:pStyle w:val="Default"/>
        <w:spacing w:line="360" w:lineRule="auto"/>
        <w:jc w:val="both"/>
        <w:rPr>
          <w:sz w:val="20"/>
          <w:szCs w:val="20"/>
        </w:rPr>
      </w:pP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Natarajan</w:t>
      </w:r>
      <w:proofErr w:type="spellEnd"/>
      <w:r w:rsidRPr="00D64AB1">
        <w:rPr>
          <w:sz w:val="18"/>
          <w:szCs w:val="18"/>
        </w:rPr>
        <w:t xml:space="preserve"> N, </w:t>
      </w:r>
      <w:proofErr w:type="spellStart"/>
      <w:r w:rsidRPr="00D64AB1">
        <w:rPr>
          <w:sz w:val="18"/>
          <w:szCs w:val="18"/>
        </w:rPr>
        <w:t>Panneerselvam</w:t>
      </w:r>
      <w:proofErr w:type="spellEnd"/>
      <w:r w:rsidRPr="00D64AB1">
        <w:rPr>
          <w:sz w:val="18"/>
          <w:szCs w:val="18"/>
        </w:rPr>
        <w:t xml:space="preserve"> L, </w:t>
      </w:r>
      <w:proofErr w:type="spellStart"/>
      <w:r w:rsidRPr="00D64AB1">
        <w:rPr>
          <w:sz w:val="18"/>
          <w:szCs w:val="18"/>
        </w:rPr>
        <w:t>Radhakrishnan</w:t>
      </w:r>
      <w:proofErr w:type="spellEnd"/>
      <w:r w:rsidRPr="00D64AB1">
        <w:rPr>
          <w:sz w:val="18"/>
          <w:szCs w:val="18"/>
        </w:rPr>
        <w:t xml:space="preserve"> L. Heart rate variability among reproductive and postmenopausal women. </w:t>
      </w:r>
      <w:proofErr w:type="spellStart"/>
      <w:r w:rsidRPr="00D64AB1">
        <w:rPr>
          <w:sz w:val="18"/>
          <w:szCs w:val="18"/>
        </w:rPr>
        <w:t>Int</w:t>
      </w:r>
      <w:proofErr w:type="spellEnd"/>
      <w:r w:rsidRPr="00D64AB1">
        <w:rPr>
          <w:sz w:val="18"/>
          <w:szCs w:val="18"/>
        </w:rPr>
        <w:t xml:space="preserve"> J Med </w:t>
      </w:r>
      <w:proofErr w:type="spellStart"/>
      <w:r w:rsidRPr="00D64AB1">
        <w:rPr>
          <w:sz w:val="18"/>
          <w:szCs w:val="18"/>
        </w:rPr>
        <w:t>Sci</w:t>
      </w:r>
      <w:proofErr w:type="spellEnd"/>
      <w:r w:rsidRPr="00D64AB1">
        <w:rPr>
          <w:sz w:val="18"/>
          <w:szCs w:val="18"/>
        </w:rPr>
        <w:t xml:space="preserve"> Public Health 2015; 4: 1132-1135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Hoffman B, </w:t>
      </w:r>
      <w:proofErr w:type="spellStart"/>
      <w:r w:rsidRPr="00D64AB1">
        <w:rPr>
          <w:sz w:val="18"/>
          <w:szCs w:val="18"/>
        </w:rPr>
        <w:t>Schorge</w:t>
      </w:r>
      <w:proofErr w:type="spellEnd"/>
      <w:r w:rsidRPr="00D64AB1">
        <w:rPr>
          <w:sz w:val="18"/>
          <w:szCs w:val="18"/>
        </w:rPr>
        <w:t xml:space="preserve"> J, Schaffer J, Halvorson L, Bradshaw K, Cunningham F. Menopausal transition. In: Williams Gynaecology. 2nd ed. McGraw Hill Companies; 2012. 21: 554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Ng M, Fleming T, Robinson M, Thomson B, </w:t>
      </w:r>
      <w:proofErr w:type="spellStart"/>
      <w:r w:rsidRPr="00D64AB1">
        <w:rPr>
          <w:sz w:val="18"/>
          <w:szCs w:val="18"/>
        </w:rPr>
        <w:t>Graetz</w:t>
      </w:r>
      <w:proofErr w:type="spellEnd"/>
      <w:r w:rsidRPr="00D64AB1">
        <w:rPr>
          <w:sz w:val="18"/>
          <w:szCs w:val="18"/>
        </w:rPr>
        <w:t xml:space="preserve"> N, </w:t>
      </w:r>
      <w:proofErr w:type="spellStart"/>
      <w:r w:rsidRPr="00D64AB1">
        <w:rPr>
          <w:sz w:val="18"/>
          <w:szCs w:val="18"/>
        </w:rPr>
        <w:t>Margono</w:t>
      </w:r>
      <w:proofErr w:type="spellEnd"/>
      <w:r w:rsidRPr="00D64AB1">
        <w:rPr>
          <w:sz w:val="18"/>
          <w:szCs w:val="18"/>
        </w:rPr>
        <w:t xml:space="preserve"> C, et al. Global, regional, and national prevalence of overweight and obesity in children and adults during 1980-2013: A systematic analysis for the global burden of disease study 2013. Lancet 2014; 384: 766- 781.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The evidence report. Clinical guidelines on the identification, evaluation, and the treatment of overweight and obesity in adults. Executive summary. National Institute of Health, National Heart, Lung, and Blood Institute, 1998.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U. S. Department of Health and Human Services. Overweight and obesity: a major public health issue. Prevention report 2001; 16.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American Heart Association (1993) Heart and Stroke Facts Statistics 1992. American Heart Association, Dallas, USA.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Thayer JF, Yamamoto SS, </w:t>
      </w:r>
      <w:proofErr w:type="spellStart"/>
      <w:r w:rsidRPr="00D64AB1">
        <w:rPr>
          <w:sz w:val="18"/>
          <w:szCs w:val="18"/>
        </w:rPr>
        <w:t>Brosschot</w:t>
      </w:r>
      <w:proofErr w:type="spellEnd"/>
      <w:r w:rsidRPr="00D64AB1">
        <w:rPr>
          <w:sz w:val="18"/>
          <w:szCs w:val="18"/>
        </w:rPr>
        <w:t xml:space="preserve"> JF. The relationship of autonomic imbalance, heart rate variability and cardiovascular disease risk factors. </w:t>
      </w:r>
      <w:proofErr w:type="spellStart"/>
      <w:r w:rsidRPr="00D64AB1">
        <w:rPr>
          <w:sz w:val="18"/>
          <w:szCs w:val="18"/>
        </w:rPr>
        <w:t>Int</w:t>
      </w:r>
      <w:proofErr w:type="spellEnd"/>
      <w:r w:rsidRPr="00D64AB1">
        <w:rPr>
          <w:sz w:val="18"/>
          <w:szCs w:val="18"/>
        </w:rPr>
        <w:t xml:space="preserve"> J </w:t>
      </w:r>
      <w:proofErr w:type="spellStart"/>
      <w:r w:rsidRPr="00D64AB1">
        <w:rPr>
          <w:sz w:val="18"/>
          <w:szCs w:val="18"/>
        </w:rPr>
        <w:t>Cardiol</w:t>
      </w:r>
      <w:proofErr w:type="spellEnd"/>
      <w:r w:rsidRPr="00D64AB1">
        <w:rPr>
          <w:sz w:val="18"/>
          <w:szCs w:val="18"/>
        </w:rPr>
        <w:t xml:space="preserve"> 2010; 141: 122-31 </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Malliani</w:t>
      </w:r>
      <w:proofErr w:type="spellEnd"/>
      <w:r w:rsidRPr="00D64AB1">
        <w:rPr>
          <w:sz w:val="18"/>
          <w:szCs w:val="18"/>
        </w:rPr>
        <w:t xml:space="preserve"> A. Heart rate variability: from bench to bedside. </w:t>
      </w:r>
      <w:proofErr w:type="spellStart"/>
      <w:r w:rsidRPr="00D64AB1">
        <w:rPr>
          <w:sz w:val="18"/>
          <w:szCs w:val="18"/>
        </w:rPr>
        <w:t>Eur</w:t>
      </w:r>
      <w:proofErr w:type="spellEnd"/>
      <w:r w:rsidRPr="00D64AB1">
        <w:rPr>
          <w:sz w:val="18"/>
          <w:szCs w:val="18"/>
        </w:rPr>
        <w:t xml:space="preserve"> J </w:t>
      </w:r>
      <w:proofErr w:type="spellStart"/>
      <w:r w:rsidRPr="00D64AB1">
        <w:rPr>
          <w:sz w:val="18"/>
          <w:szCs w:val="18"/>
        </w:rPr>
        <w:t>Int</w:t>
      </w:r>
      <w:proofErr w:type="spellEnd"/>
      <w:r w:rsidRPr="00D64AB1">
        <w:rPr>
          <w:sz w:val="18"/>
          <w:szCs w:val="18"/>
        </w:rPr>
        <w:t xml:space="preserve"> Med 2005; 16: 12-20. </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Parati</w:t>
      </w:r>
      <w:proofErr w:type="spellEnd"/>
      <w:r w:rsidRPr="00D64AB1">
        <w:rPr>
          <w:sz w:val="18"/>
          <w:szCs w:val="18"/>
        </w:rPr>
        <w:t xml:space="preserve"> G, Ochoa JE, Lombardi C, </w:t>
      </w:r>
      <w:proofErr w:type="spellStart"/>
      <w:r w:rsidRPr="00D64AB1">
        <w:rPr>
          <w:sz w:val="18"/>
          <w:szCs w:val="18"/>
        </w:rPr>
        <w:t>Bilo</w:t>
      </w:r>
      <w:proofErr w:type="spellEnd"/>
      <w:r w:rsidRPr="00D64AB1">
        <w:rPr>
          <w:sz w:val="18"/>
          <w:szCs w:val="18"/>
        </w:rPr>
        <w:t xml:space="preserve"> G. Assessment and management of blood-pressure variability. Nat Rev </w:t>
      </w:r>
      <w:proofErr w:type="spellStart"/>
      <w:r w:rsidRPr="00D64AB1">
        <w:rPr>
          <w:sz w:val="18"/>
          <w:szCs w:val="18"/>
        </w:rPr>
        <w:t>Cardiol</w:t>
      </w:r>
      <w:proofErr w:type="spellEnd"/>
      <w:r w:rsidRPr="00D64AB1">
        <w:rPr>
          <w:sz w:val="18"/>
          <w:szCs w:val="18"/>
        </w:rPr>
        <w:t xml:space="preserve"> 2013; 10: 43-55.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Pal GK, Pal P. Autonomic function tests. In: Textbook of Practical Physiology. University Press, Chennai. 2010: 282-90.</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Swenne</w:t>
      </w:r>
      <w:proofErr w:type="spellEnd"/>
      <w:r w:rsidRPr="00D64AB1">
        <w:rPr>
          <w:sz w:val="18"/>
          <w:szCs w:val="18"/>
        </w:rPr>
        <w:t xml:space="preserve"> CA. </w:t>
      </w:r>
      <w:proofErr w:type="spellStart"/>
      <w:r w:rsidRPr="00D64AB1">
        <w:rPr>
          <w:sz w:val="18"/>
          <w:szCs w:val="18"/>
        </w:rPr>
        <w:t>Baroreflex</w:t>
      </w:r>
      <w:proofErr w:type="spellEnd"/>
      <w:r w:rsidRPr="00D64AB1">
        <w:rPr>
          <w:sz w:val="18"/>
          <w:szCs w:val="18"/>
        </w:rPr>
        <w:t xml:space="preserve"> sensitivity: mechanisms and measurement. </w:t>
      </w:r>
      <w:proofErr w:type="spellStart"/>
      <w:r w:rsidRPr="00D64AB1">
        <w:rPr>
          <w:sz w:val="18"/>
          <w:szCs w:val="18"/>
        </w:rPr>
        <w:t>Neth</w:t>
      </w:r>
      <w:proofErr w:type="spellEnd"/>
      <w:r w:rsidRPr="00D64AB1">
        <w:rPr>
          <w:sz w:val="18"/>
          <w:szCs w:val="18"/>
        </w:rPr>
        <w:t xml:space="preserve"> Heart J 2013</w:t>
      </w:r>
      <w:proofErr w:type="gramStart"/>
      <w:r w:rsidRPr="00D64AB1">
        <w:rPr>
          <w:sz w:val="18"/>
          <w:szCs w:val="18"/>
        </w:rPr>
        <w:t>;21:58</w:t>
      </w:r>
      <w:proofErr w:type="gramEnd"/>
      <w:r w:rsidRPr="00D64AB1">
        <w:rPr>
          <w:sz w:val="18"/>
          <w:szCs w:val="18"/>
        </w:rPr>
        <w:t xml:space="preserve">-60. </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Padubidri</w:t>
      </w:r>
      <w:proofErr w:type="spellEnd"/>
      <w:r w:rsidRPr="00D64AB1">
        <w:rPr>
          <w:sz w:val="18"/>
          <w:szCs w:val="18"/>
        </w:rPr>
        <w:t xml:space="preserve"> VG, </w:t>
      </w:r>
      <w:proofErr w:type="spellStart"/>
      <w:r w:rsidRPr="00D64AB1">
        <w:rPr>
          <w:sz w:val="18"/>
          <w:szCs w:val="18"/>
        </w:rPr>
        <w:t>Shrish</w:t>
      </w:r>
      <w:proofErr w:type="spellEnd"/>
      <w:r w:rsidRPr="00D64AB1">
        <w:rPr>
          <w:sz w:val="18"/>
          <w:szCs w:val="18"/>
        </w:rPr>
        <w:t xml:space="preserve"> ND. </w:t>
      </w:r>
      <w:proofErr w:type="spellStart"/>
      <w:r w:rsidRPr="00D64AB1">
        <w:rPr>
          <w:sz w:val="18"/>
          <w:szCs w:val="18"/>
        </w:rPr>
        <w:t>Perimenopause</w:t>
      </w:r>
      <w:proofErr w:type="spellEnd"/>
      <w:r w:rsidRPr="00D64AB1">
        <w:rPr>
          <w:sz w:val="18"/>
          <w:szCs w:val="18"/>
        </w:rPr>
        <w:t xml:space="preserve">, Menopause, 3. Premature Menopause and Postmenopausal Bleeding. In: </w:t>
      </w:r>
      <w:proofErr w:type="spellStart"/>
      <w:r w:rsidRPr="00D64AB1">
        <w:rPr>
          <w:sz w:val="18"/>
          <w:szCs w:val="18"/>
        </w:rPr>
        <w:t>Howkins</w:t>
      </w:r>
      <w:proofErr w:type="spellEnd"/>
      <w:r w:rsidRPr="00D64AB1">
        <w:rPr>
          <w:sz w:val="18"/>
          <w:szCs w:val="18"/>
        </w:rPr>
        <w:t xml:space="preserve">, Bourne, editors. </w:t>
      </w:r>
      <w:proofErr w:type="spellStart"/>
      <w:r w:rsidRPr="00D64AB1">
        <w:rPr>
          <w:sz w:val="18"/>
          <w:szCs w:val="18"/>
        </w:rPr>
        <w:t>Shaws</w:t>
      </w:r>
      <w:proofErr w:type="spellEnd"/>
      <w:r w:rsidRPr="00D64AB1">
        <w:rPr>
          <w:sz w:val="18"/>
          <w:szCs w:val="18"/>
        </w:rPr>
        <w:t xml:space="preserve"> Textbook of Gynaecology.15th ed. India: Elsevier; 2011. 61-73. </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Bogert</w:t>
      </w:r>
      <w:proofErr w:type="spellEnd"/>
      <w:r w:rsidRPr="00D64AB1">
        <w:rPr>
          <w:sz w:val="18"/>
          <w:szCs w:val="18"/>
        </w:rPr>
        <w:t xml:space="preserve"> LWJ, Van </w:t>
      </w:r>
      <w:proofErr w:type="spellStart"/>
      <w:r w:rsidRPr="00D64AB1">
        <w:rPr>
          <w:sz w:val="18"/>
          <w:szCs w:val="18"/>
        </w:rPr>
        <w:t>Lieshout</w:t>
      </w:r>
      <w:proofErr w:type="spellEnd"/>
      <w:r w:rsidRPr="00D64AB1">
        <w:rPr>
          <w:sz w:val="18"/>
          <w:szCs w:val="18"/>
        </w:rPr>
        <w:t xml:space="preserve"> JJ. Non- invasive pulsatile arterial pressure and stroke volume changes from the human finger. </w:t>
      </w:r>
      <w:proofErr w:type="spellStart"/>
      <w:r w:rsidRPr="00D64AB1">
        <w:rPr>
          <w:sz w:val="18"/>
          <w:szCs w:val="18"/>
        </w:rPr>
        <w:t>Exp</w:t>
      </w:r>
      <w:proofErr w:type="spellEnd"/>
      <w:r w:rsidRPr="00D64AB1">
        <w:rPr>
          <w:sz w:val="18"/>
          <w:szCs w:val="18"/>
        </w:rPr>
        <w:t xml:space="preserve"> </w:t>
      </w:r>
      <w:proofErr w:type="spellStart"/>
      <w:r w:rsidRPr="00D64AB1">
        <w:rPr>
          <w:sz w:val="18"/>
          <w:szCs w:val="18"/>
        </w:rPr>
        <w:t>Physiol</w:t>
      </w:r>
      <w:proofErr w:type="spellEnd"/>
      <w:r w:rsidRPr="00D64AB1">
        <w:rPr>
          <w:sz w:val="18"/>
          <w:szCs w:val="18"/>
        </w:rPr>
        <w:t xml:space="preserve"> 2005; 90: 437- 44.</w:t>
      </w:r>
    </w:p>
    <w:p w:rsidR="007736BF" w:rsidRPr="00D64AB1" w:rsidRDefault="007736BF" w:rsidP="00D64AB1">
      <w:pPr>
        <w:pStyle w:val="Default"/>
        <w:numPr>
          <w:ilvl w:val="0"/>
          <w:numId w:val="1"/>
        </w:numPr>
        <w:spacing w:line="360" w:lineRule="auto"/>
        <w:jc w:val="both"/>
        <w:rPr>
          <w:sz w:val="18"/>
          <w:szCs w:val="18"/>
        </w:rPr>
      </w:pPr>
      <w:proofErr w:type="spellStart"/>
      <w:r w:rsidRPr="00D64AB1">
        <w:rPr>
          <w:sz w:val="18"/>
          <w:szCs w:val="18"/>
        </w:rPr>
        <w:t>Imholz</w:t>
      </w:r>
      <w:proofErr w:type="spellEnd"/>
      <w:r w:rsidRPr="00D64AB1">
        <w:rPr>
          <w:sz w:val="18"/>
          <w:szCs w:val="18"/>
        </w:rPr>
        <w:t xml:space="preserve"> BP, </w:t>
      </w:r>
      <w:proofErr w:type="spellStart"/>
      <w:r w:rsidRPr="00D64AB1">
        <w:rPr>
          <w:sz w:val="18"/>
          <w:szCs w:val="18"/>
        </w:rPr>
        <w:t>Wieling</w:t>
      </w:r>
      <w:proofErr w:type="spellEnd"/>
      <w:r w:rsidRPr="00D64AB1">
        <w:rPr>
          <w:sz w:val="18"/>
          <w:szCs w:val="18"/>
        </w:rPr>
        <w:t xml:space="preserve"> W, Van </w:t>
      </w:r>
      <w:proofErr w:type="spellStart"/>
      <w:r w:rsidRPr="00D64AB1">
        <w:rPr>
          <w:sz w:val="18"/>
          <w:szCs w:val="18"/>
        </w:rPr>
        <w:t>Montfrans</w:t>
      </w:r>
      <w:proofErr w:type="spellEnd"/>
      <w:r w:rsidRPr="00D64AB1">
        <w:rPr>
          <w:sz w:val="18"/>
          <w:szCs w:val="18"/>
        </w:rPr>
        <w:t xml:space="preserve"> GA, </w:t>
      </w:r>
      <w:proofErr w:type="spellStart"/>
      <w:r w:rsidRPr="00D64AB1">
        <w:rPr>
          <w:sz w:val="18"/>
          <w:szCs w:val="18"/>
        </w:rPr>
        <w:t>Wesseling</w:t>
      </w:r>
      <w:proofErr w:type="spellEnd"/>
      <w:r w:rsidRPr="00D64AB1">
        <w:rPr>
          <w:sz w:val="18"/>
          <w:szCs w:val="18"/>
        </w:rPr>
        <w:t xml:space="preserve"> KH. Fifteen years experience with finger arterial pressure monitoring: assessment of the technology. </w:t>
      </w:r>
      <w:proofErr w:type="spellStart"/>
      <w:r w:rsidRPr="00D64AB1">
        <w:rPr>
          <w:sz w:val="18"/>
          <w:szCs w:val="18"/>
        </w:rPr>
        <w:t>Cardiovasc</w:t>
      </w:r>
      <w:proofErr w:type="spellEnd"/>
      <w:r w:rsidRPr="00D64AB1">
        <w:rPr>
          <w:sz w:val="18"/>
          <w:szCs w:val="18"/>
        </w:rPr>
        <w:t xml:space="preserve"> Res1998; 38: 605- 616.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Chen Z, Purdon PL, Brown EN, </w:t>
      </w:r>
      <w:proofErr w:type="spellStart"/>
      <w:r w:rsidRPr="00D64AB1">
        <w:rPr>
          <w:sz w:val="18"/>
          <w:szCs w:val="18"/>
        </w:rPr>
        <w:t>Barbieri</w:t>
      </w:r>
      <w:proofErr w:type="spellEnd"/>
      <w:r w:rsidRPr="00D64AB1">
        <w:rPr>
          <w:sz w:val="18"/>
          <w:szCs w:val="18"/>
        </w:rPr>
        <w:t xml:space="preserve"> R. A unified point process probabilistic framework to assess heartbeat dynamics and autonomic cardiovascular control. Front </w:t>
      </w:r>
      <w:proofErr w:type="spellStart"/>
      <w:r w:rsidRPr="00D64AB1">
        <w:rPr>
          <w:sz w:val="18"/>
          <w:szCs w:val="18"/>
        </w:rPr>
        <w:t>physiol</w:t>
      </w:r>
      <w:proofErr w:type="spellEnd"/>
      <w:r w:rsidRPr="00D64AB1">
        <w:rPr>
          <w:sz w:val="18"/>
          <w:szCs w:val="18"/>
        </w:rPr>
        <w:t xml:space="preserve"> 2012; 3: 4.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Rodriguez- Hernandez H, </w:t>
      </w:r>
      <w:proofErr w:type="spellStart"/>
      <w:r w:rsidRPr="00D64AB1">
        <w:rPr>
          <w:sz w:val="18"/>
          <w:szCs w:val="18"/>
        </w:rPr>
        <w:t>Simental-Mendia</w:t>
      </w:r>
      <w:proofErr w:type="spellEnd"/>
      <w:r w:rsidRPr="00D64AB1">
        <w:rPr>
          <w:sz w:val="18"/>
          <w:szCs w:val="18"/>
        </w:rPr>
        <w:t xml:space="preserve"> LE, Rodriguez- Ramirez G, Reyes- Romero MA. Obesity and inflammation; epidemiology, risk factors, and markers of inflammation. </w:t>
      </w:r>
      <w:proofErr w:type="spellStart"/>
      <w:r w:rsidRPr="00D64AB1">
        <w:rPr>
          <w:sz w:val="18"/>
          <w:szCs w:val="18"/>
        </w:rPr>
        <w:t>Int</w:t>
      </w:r>
      <w:proofErr w:type="spellEnd"/>
      <w:r w:rsidRPr="00D64AB1">
        <w:rPr>
          <w:sz w:val="18"/>
          <w:szCs w:val="18"/>
        </w:rPr>
        <w:t xml:space="preserve"> J </w:t>
      </w:r>
      <w:proofErr w:type="spellStart"/>
      <w:r w:rsidRPr="00D64AB1">
        <w:rPr>
          <w:sz w:val="18"/>
          <w:szCs w:val="18"/>
        </w:rPr>
        <w:t>Endocrinol</w:t>
      </w:r>
      <w:proofErr w:type="spellEnd"/>
      <w:r w:rsidRPr="00D64AB1">
        <w:rPr>
          <w:sz w:val="18"/>
          <w:szCs w:val="18"/>
        </w:rPr>
        <w:t xml:space="preserve"> 2013; 2013: 678159.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La </w:t>
      </w:r>
      <w:proofErr w:type="spellStart"/>
      <w:r w:rsidRPr="00D64AB1">
        <w:rPr>
          <w:sz w:val="18"/>
          <w:szCs w:val="18"/>
        </w:rPr>
        <w:t>Rovere</w:t>
      </w:r>
      <w:proofErr w:type="spellEnd"/>
      <w:r w:rsidRPr="00D64AB1">
        <w:rPr>
          <w:sz w:val="18"/>
          <w:szCs w:val="18"/>
        </w:rPr>
        <w:t xml:space="preserve"> MT, Bigger JT, Marcus FI, </w:t>
      </w:r>
      <w:proofErr w:type="spellStart"/>
      <w:r w:rsidRPr="00D64AB1">
        <w:rPr>
          <w:sz w:val="18"/>
          <w:szCs w:val="18"/>
        </w:rPr>
        <w:t>Mortara</w:t>
      </w:r>
      <w:proofErr w:type="spellEnd"/>
      <w:r w:rsidRPr="00D64AB1">
        <w:rPr>
          <w:sz w:val="18"/>
          <w:szCs w:val="18"/>
        </w:rPr>
        <w:t xml:space="preserve"> A, Schwartz PJ. </w:t>
      </w:r>
      <w:proofErr w:type="spellStart"/>
      <w:r w:rsidRPr="00D64AB1">
        <w:rPr>
          <w:sz w:val="18"/>
          <w:szCs w:val="18"/>
        </w:rPr>
        <w:t>Baroreflex</w:t>
      </w:r>
      <w:proofErr w:type="spellEnd"/>
      <w:r w:rsidRPr="00D64AB1">
        <w:rPr>
          <w:sz w:val="18"/>
          <w:szCs w:val="18"/>
        </w:rPr>
        <w:t xml:space="preserve"> sensitivity and heart rate </w:t>
      </w:r>
      <w:proofErr w:type="spellStart"/>
      <w:r w:rsidRPr="00D64AB1">
        <w:rPr>
          <w:sz w:val="18"/>
          <w:szCs w:val="18"/>
        </w:rPr>
        <w:t>variabity</w:t>
      </w:r>
      <w:proofErr w:type="spellEnd"/>
      <w:r w:rsidRPr="00D64AB1">
        <w:rPr>
          <w:sz w:val="18"/>
          <w:szCs w:val="18"/>
        </w:rPr>
        <w:t xml:space="preserve"> in identification of total cardiac mortality after myocardial infarction. Lancet 1998; 351: 478- 484.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Robinson TG, Dawson SL, Eames PJ, </w:t>
      </w:r>
      <w:proofErr w:type="spellStart"/>
      <w:r w:rsidRPr="00D64AB1">
        <w:rPr>
          <w:sz w:val="18"/>
          <w:szCs w:val="18"/>
        </w:rPr>
        <w:t>Panerai</w:t>
      </w:r>
      <w:proofErr w:type="spellEnd"/>
      <w:r w:rsidRPr="00D64AB1">
        <w:rPr>
          <w:sz w:val="18"/>
          <w:szCs w:val="18"/>
        </w:rPr>
        <w:t xml:space="preserve"> RB, Potter JF. Cardiac baroreceptor sensitivity predicts long- term outcome after acute ischemic stroke. Stroke 2003; 34: 705- 712.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lastRenderedPageBreak/>
        <w:t xml:space="preserve">Johansson M, </w:t>
      </w:r>
      <w:proofErr w:type="spellStart"/>
      <w:proofErr w:type="gramStart"/>
      <w:r w:rsidRPr="00D64AB1">
        <w:rPr>
          <w:sz w:val="18"/>
          <w:szCs w:val="18"/>
        </w:rPr>
        <w:t>Gao</w:t>
      </w:r>
      <w:proofErr w:type="spellEnd"/>
      <w:proofErr w:type="gramEnd"/>
      <w:r w:rsidRPr="00D64AB1">
        <w:rPr>
          <w:sz w:val="18"/>
          <w:szCs w:val="18"/>
        </w:rPr>
        <w:t xml:space="preserve"> SA, </w:t>
      </w:r>
      <w:proofErr w:type="spellStart"/>
      <w:r w:rsidRPr="00D64AB1">
        <w:rPr>
          <w:sz w:val="18"/>
          <w:szCs w:val="18"/>
        </w:rPr>
        <w:t>Friberg</w:t>
      </w:r>
      <w:proofErr w:type="spellEnd"/>
      <w:r w:rsidRPr="00D64AB1">
        <w:rPr>
          <w:sz w:val="18"/>
          <w:szCs w:val="18"/>
        </w:rPr>
        <w:t xml:space="preserve"> P, </w:t>
      </w:r>
      <w:proofErr w:type="spellStart"/>
      <w:r w:rsidRPr="00D64AB1">
        <w:rPr>
          <w:sz w:val="18"/>
          <w:szCs w:val="18"/>
        </w:rPr>
        <w:t>Annerstedt</w:t>
      </w:r>
      <w:proofErr w:type="spellEnd"/>
      <w:r w:rsidRPr="00D64AB1">
        <w:rPr>
          <w:sz w:val="18"/>
          <w:szCs w:val="18"/>
        </w:rPr>
        <w:t xml:space="preserve"> M, </w:t>
      </w:r>
      <w:proofErr w:type="spellStart"/>
      <w:r w:rsidRPr="00D64AB1">
        <w:rPr>
          <w:sz w:val="18"/>
          <w:szCs w:val="18"/>
        </w:rPr>
        <w:t>Carlstrom</w:t>
      </w:r>
      <w:proofErr w:type="spellEnd"/>
      <w:r w:rsidRPr="00D64AB1">
        <w:rPr>
          <w:sz w:val="18"/>
          <w:szCs w:val="18"/>
        </w:rPr>
        <w:t xml:space="preserve"> J, </w:t>
      </w:r>
      <w:proofErr w:type="spellStart"/>
      <w:r w:rsidRPr="00D64AB1">
        <w:rPr>
          <w:sz w:val="18"/>
          <w:szCs w:val="18"/>
        </w:rPr>
        <w:t>Ivarsson</w:t>
      </w:r>
      <w:proofErr w:type="spellEnd"/>
      <w:r w:rsidRPr="00D64AB1">
        <w:rPr>
          <w:sz w:val="18"/>
          <w:szCs w:val="18"/>
        </w:rPr>
        <w:t xml:space="preserve"> T, et al. </w:t>
      </w:r>
      <w:proofErr w:type="spellStart"/>
      <w:r w:rsidRPr="00D64AB1">
        <w:rPr>
          <w:sz w:val="18"/>
          <w:szCs w:val="18"/>
        </w:rPr>
        <w:t>Baroreflex</w:t>
      </w:r>
      <w:proofErr w:type="spellEnd"/>
      <w:r w:rsidRPr="00D64AB1">
        <w:rPr>
          <w:sz w:val="18"/>
          <w:szCs w:val="18"/>
        </w:rPr>
        <w:t xml:space="preserve"> effectiveness index and </w:t>
      </w:r>
      <w:proofErr w:type="spellStart"/>
      <w:r w:rsidRPr="00D64AB1">
        <w:rPr>
          <w:sz w:val="18"/>
          <w:szCs w:val="18"/>
        </w:rPr>
        <w:t>baroreflex</w:t>
      </w:r>
      <w:proofErr w:type="spellEnd"/>
      <w:r w:rsidRPr="00D64AB1">
        <w:rPr>
          <w:sz w:val="18"/>
          <w:szCs w:val="18"/>
        </w:rPr>
        <w:t xml:space="preserve"> sensitivity predicts all- cause mortality and sudden death in hypertensive patients with chronic renal failure. J </w:t>
      </w:r>
      <w:proofErr w:type="spellStart"/>
      <w:r w:rsidRPr="00D64AB1">
        <w:rPr>
          <w:sz w:val="18"/>
          <w:szCs w:val="18"/>
        </w:rPr>
        <w:t>Hypertens</w:t>
      </w:r>
      <w:proofErr w:type="spellEnd"/>
      <w:r w:rsidRPr="00D64AB1">
        <w:rPr>
          <w:sz w:val="18"/>
          <w:szCs w:val="18"/>
        </w:rPr>
        <w:t xml:space="preserve"> 2007; 25: 163- 168.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White WB. Heart rate and rate pressure product as determinants of cardiovascular risk in patients with hypertension. Am J </w:t>
      </w:r>
      <w:proofErr w:type="spellStart"/>
      <w:r w:rsidRPr="00D64AB1">
        <w:rPr>
          <w:sz w:val="18"/>
          <w:szCs w:val="18"/>
        </w:rPr>
        <w:t>Hypertens</w:t>
      </w:r>
      <w:proofErr w:type="spellEnd"/>
      <w:r w:rsidRPr="00D64AB1">
        <w:rPr>
          <w:sz w:val="18"/>
          <w:szCs w:val="18"/>
        </w:rPr>
        <w:t xml:space="preserve"> 1999; 12: 50S- 55S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Barrett KE, Barman SM, </w:t>
      </w:r>
      <w:proofErr w:type="spellStart"/>
      <w:r w:rsidRPr="00D64AB1">
        <w:rPr>
          <w:sz w:val="18"/>
          <w:szCs w:val="18"/>
        </w:rPr>
        <w:t>Boitano</w:t>
      </w:r>
      <w:proofErr w:type="spellEnd"/>
      <w:r w:rsidRPr="00D64AB1">
        <w:rPr>
          <w:sz w:val="18"/>
          <w:szCs w:val="18"/>
        </w:rPr>
        <w:t xml:space="preserve"> S, Brooks HL. Cardiovascular regulatory mechanisms. In: </w:t>
      </w:r>
      <w:proofErr w:type="spellStart"/>
      <w:r w:rsidRPr="00D64AB1">
        <w:rPr>
          <w:sz w:val="18"/>
          <w:szCs w:val="18"/>
        </w:rPr>
        <w:t>Ganong’s</w:t>
      </w:r>
      <w:proofErr w:type="spellEnd"/>
      <w:r w:rsidRPr="00D64AB1">
        <w:rPr>
          <w:sz w:val="18"/>
          <w:szCs w:val="18"/>
        </w:rPr>
        <w:t xml:space="preserve"> Review of Medical Physiology. 23th edition. New Delhi: Tata McGraw-H ill companies. 2010A: 555- 568P. </w:t>
      </w:r>
    </w:p>
    <w:p w:rsidR="007736BF" w:rsidRPr="00D64AB1" w:rsidRDefault="007736BF" w:rsidP="00D64AB1">
      <w:pPr>
        <w:pStyle w:val="Default"/>
        <w:numPr>
          <w:ilvl w:val="0"/>
          <w:numId w:val="1"/>
        </w:numPr>
        <w:spacing w:line="360" w:lineRule="auto"/>
        <w:jc w:val="both"/>
        <w:rPr>
          <w:sz w:val="18"/>
          <w:szCs w:val="18"/>
        </w:rPr>
      </w:pPr>
      <w:r w:rsidRPr="00D64AB1">
        <w:rPr>
          <w:sz w:val="18"/>
          <w:szCs w:val="18"/>
        </w:rPr>
        <w:t xml:space="preserve">Pal GK. Sympathetic and parasympathetic systems. In: Textbook of Medical Physiology. 1st edition. New Delhi: </w:t>
      </w:r>
      <w:proofErr w:type="spellStart"/>
      <w:r w:rsidRPr="00D64AB1">
        <w:rPr>
          <w:sz w:val="18"/>
          <w:szCs w:val="18"/>
        </w:rPr>
        <w:t>Jaypee</w:t>
      </w:r>
      <w:proofErr w:type="spellEnd"/>
      <w:r w:rsidRPr="00D64AB1">
        <w:rPr>
          <w:sz w:val="18"/>
          <w:szCs w:val="18"/>
        </w:rPr>
        <w:t xml:space="preserve"> Brothers Medical Publishers.2016C.295- 311p. </w:t>
      </w:r>
    </w:p>
    <w:p w:rsidR="007736BF" w:rsidRPr="00D64AB1" w:rsidRDefault="007736BF" w:rsidP="00D64AB1">
      <w:pPr>
        <w:pStyle w:val="Default"/>
        <w:spacing w:line="360" w:lineRule="auto"/>
        <w:ind w:left="720"/>
        <w:rPr>
          <w:sz w:val="20"/>
          <w:szCs w:val="20"/>
        </w:rPr>
      </w:pPr>
    </w:p>
    <w:p w:rsidR="007736BF" w:rsidRPr="00D64AB1" w:rsidRDefault="007736BF" w:rsidP="00D64AB1">
      <w:pPr>
        <w:pStyle w:val="Default"/>
        <w:spacing w:line="360" w:lineRule="auto"/>
        <w:ind w:left="720"/>
        <w:rPr>
          <w:sz w:val="20"/>
          <w:szCs w:val="20"/>
        </w:rPr>
      </w:pPr>
    </w:p>
    <w:p w:rsidR="007736BF" w:rsidRPr="00D64AB1" w:rsidRDefault="007736BF" w:rsidP="00D64AB1">
      <w:pPr>
        <w:pStyle w:val="ListParagraph"/>
        <w:autoSpaceDE w:val="0"/>
        <w:autoSpaceDN w:val="0"/>
        <w:adjustRightInd w:val="0"/>
        <w:spacing w:after="0" w:line="360" w:lineRule="auto"/>
        <w:rPr>
          <w:rFonts w:ascii="Times New Roman" w:eastAsia="CIDFont+F5" w:hAnsi="Times New Roman" w:cs="Times New Roman"/>
          <w:sz w:val="20"/>
          <w:szCs w:val="20"/>
        </w:rPr>
      </w:pP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Date of Submissi</w:t>
      </w:r>
      <w:r>
        <w:rPr>
          <w:rFonts w:ascii="Times New Roman" w:eastAsiaTheme="minorHAnsi" w:hAnsi="Times New Roman" w:cs="Times New Roman"/>
          <w:sz w:val="18"/>
          <w:szCs w:val="18"/>
        </w:rPr>
        <w:t>on:  18</w:t>
      </w:r>
      <w:r>
        <w:rPr>
          <w:rFonts w:ascii="Times New Roman" w:eastAsiaTheme="minorHAnsi" w:hAnsi="Times New Roman" w:cs="Times New Roman"/>
          <w:sz w:val="18"/>
          <w:szCs w:val="18"/>
        </w:rPr>
        <w:t xml:space="preserve"> </w:t>
      </w:r>
      <w:r w:rsidRPr="00840361">
        <w:rPr>
          <w:rFonts w:ascii="Times New Roman" w:eastAsiaTheme="minorHAnsi" w:hAnsi="Times New Roman" w:cs="Times New Roman"/>
          <w:sz w:val="18"/>
          <w:szCs w:val="18"/>
        </w:rPr>
        <w:t xml:space="preserve">August 2020                     Date of Publishing: 30 September 2020 </w:t>
      </w: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Author Declaration:  Source of support: Nil,           Conflict of interest: Nil </w:t>
      </w: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 Ethics Committee Approval obtained for this study?  YES</w:t>
      </w: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Was informed consent obtained from the subjects involved in the study?  YES</w:t>
      </w: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For any images presented appropriate consent has been obtained from the subjects:  YES </w:t>
      </w:r>
    </w:p>
    <w:p w:rsidR="00D64AB1" w:rsidRPr="00840361" w:rsidRDefault="00D64AB1" w:rsidP="00D64AB1">
      <w:pPr>
        <w:spacing w:after="0"/>
        <w:ind w:left="624"/>
        <w:rPr>
          <w:rFonts w:ascii="Times New Roman" w:eastAsiaTheme="minorHAnsi" w:hAnsi="Times New Roman" w:cs="Times New Roman"/>
          <w:sz w:val="18"/>
          <w:szCs w:val="18"/>
        </w:rPr>
      </w:pPr>
      <w:r w:rsidRPr="00840361">
        <w:rPr>
          <w:rFonts w:ascii="Times New Roman" w:eastAsiaTheme="minorHAnsi" w:hAnsi="Times New Roman" w:cs="Times New Roman"/>
          <w:sz w:val="18"/>
          <w:szCs w:val="18"/>
        </w:rPr>
        <w:t xml:space="preserve">Plagiarism Checked: YES </w:t>
      </w:r>
    </w:p>
    <w:p w:rsidR="00D64AB1" w:rsidRPr="00840361" w:rsidRDefault="00D64AB1" w:rsidP="00D64AB1">
      <w:pPr>
        <w:spacing w:after="0"/>
        <w:ind w:left="624"/>
        <w:rPr>
          <w:rFonts w:ascii="Times New Roman" w:eastAsiaTheme="minorHAnsi" w:hAnsi="Times New Roman" w:cs="Times New Roman"/>
          <w:spacing w:val="2"/>
          <w:sz w:val="18"/>
          <w:szCs w:val="18"/>
          <w:shd w:val="clear" w:color="auto" w:fill="FFFFFF"/>
        </w:rPr>
      </w:pPr>
      <w:r w:rsidRPr="00840361">
        <w:rPr>
          <w:rFonts w:ascii="Times New Roman" w:eastAsiaTheme="minorHAnsi" w:hAnsi="Times New Roman" w:cs="Times New Roman"/>
          <w:sz w:val="18"/>
          <w:szCs w:val="18"/>
        </w:rPr>
        <w:t xml:space="preserve">Author work published under </w:t>
      </w:r>
      <w:r w:rsidRPr="00840361">
        <w:rPr>
          <w:rFonts w:ascii="Times New Roman" w:eastAsiaTheme="minorHAnsi" w:hAnsi="Times New Roman" w:cs="Times New Roman"/>
          <w:spacing w:val="2"/>
          <w:sz w:val="18"/>
          <w:szCs w:val="18"/>
          <w:shd w:val="clear" w:color="auto" w:fill="FFFFFF"/>
        </w:rPr>
        <w:t>a Creative Commons Attribution 4.0 International License</w:t>
      </w:r>
    </w:p>
    <w:p w:rsidR="00D64AB1" w:rsidRPr="00840361" w:rsidRDefault="00D64AB1" w:rsidP="00D64AB1">
      <w:pPr>
        <w:spacing w:after="0"/>
        <w:ind w:left="624"/>
        <w:rPr>
          <w:rFonts w:ascii="Times New Roman" w:eastAsiaTheme="minorHAnsi" w:hAnsi="Times New Roman" w:cs="Times New Roman"/>
          <w:bCs/>
          <w:sz w:val="20"/>
          <w:shd w:val="clear" w:color="auto" w:fill="FFFFFF"/>
        </w:rPr>
      </w:pPr>
      <w:r w:rsidRPr="00840361">
        <w:rPr>
          <w:rFonts w:ascii="Times New Roman" w:eastAsiaTheme="minorHAnsi" w:hAnsi="Times New Roman" w:cs="Times New Roman"/>
          <w:noProof/>
          <w:sz w:val="18"/>
          <w:szCs w:val="18"/>
        </w:rPr>
        <w:drawing>
          <wp:inline distT="0" distB="0" distL="0" distR="0" wp14:anchorId="4394EBFD" wp14:editId="432E22E6">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D64AB1" w:rsidRPr="00840361" w:rsidRDefault="00D64AB1" w:rsidP="00D64AB1">
      <w:pPr>
        <w:spacing w:after="0"/>
        <w:ind w:left="283"/>
        <w:rPr>
          <w:rFonts w:ascii="Times New Roman" w:eastAsiaTheme="minorHAnsi" w:hAnsi="Times New Roman" w:cs="Times New Roman"/>
          <w:bCs/>
          <w:sz w:val="20"/>
          <w:shd w:val="clear" w:color="auto" w:fill="FFFFFF"/>
        </w:rPr>
      </w:pPr>
      <w:r w:rsidRPr="00840361">
        <w:rPr>
          <w:rFonts w:ascii="Times New Roman" w:eastAsiaTheme="minorHAnsi" w:hAnsi="Times New Roman" w:cs="Times New Roman"/>
          <w:bCs/>
          <w:sz w:val="20"/>
          <w:shd w:val="clear" w:color="auto" w:fill="FFFFFF"/>
        </w:rPr>
        <w:t xml:space="preserve"> </w:t>
      </w:r>
    </w:p>
    <w:p w:rsidR="00D64AB1" w:rsidRPr="00840361" w:rsidRDefault="00D64AB1" w:rsidP="00D64AB1">
      <w:pPr>
        <w:spacing w:after="0"/>
        <w:rPr>
          <w:rFonts w:ascii="Times New Roman" w:eastAsiaTheme="minorHAnsi" w:hAnsi="Times New Roman" w:cs="Times New Roman"/>
          <w:b/>
          <w:sz w:val="20"/>
          <w:szCs w:val="20"/>
        </w:rPr>
      </w:pPr>
      <w:r>
        <w:rPr>
          <w:rFonts w:ascii="Times New Roman" w:eastAsiaTheme="minorHAnsi" w:hAnsi="Times New Roman" w:cs="Times New Roman"/>
          <w:bCs/>
          <w:sz w:val="18"/>
          <w:szCs w:val="18"/>
          <w:shd w:val="clear" w:color="auto" w:fill="FFFFFF"/>
        </w:rPr>
        <w:t xml:space="preserve">              </w:t>
      </w:r>
      <w:r w:rsidRPr="00840361">
        <w:rPr>
          <w:rFonts w:ascii="Times New Roman" w:eastAsiaTheme="minorHAnsi" w:hAnsi="Times New Roman" w:cs="Times New Roman"/>
          <w:bCs/>
          <w:sz w:val="18"/>
          <w:szCs w:val="18"/>
          <w:shd w:val="clear" w:color="auto" w:fill="FFFFFF"/>
        </w:rPr>
        <w:t>DOI: 10.36848/IJBAMR/2020/18215.560</w:t>
      </w:r>
      <w:r>
        <w:rPr>
          <w:rFonts w:ascii="Times New Roman" w:eastAsiaTheme="minorHAnsi" w:hAnsi="Times New Roman" w:cs="Times New Roman"/>
          <w:bCs/>
          <w:sz w:val="18"/>
          <w:szCs w:val="18"/>
          <w:shd w:val="clear" w:color="auto" w:fill="FFFFFF"/>
        </w:rPr>
        <w:t>75</w:t>
      </w:r>
    </w:p>
    <w:p w:rsidR="00D64AB1" w:rsidRPr="00840361" w:rsidRDefault="00D64AB1" w:rsidP="00D64AB1">
      <w:pPr>
        <w:shd w:val="clear" w:color="auto" w:fill="FFFFFF"/>
        <w:spacing w:after="0" w:line="360" w:lineRule="auto"/>
        <w:jc w:val="both"/>
        <w:rPr>
          <w:rFonts w:ascii="Times New Roman" w:eastAsia="Times New Roman" w:hAnsi="Times New Roman" w:cs="Times New Roman"/>
          <w:color w:val="1C1D1E"/>
          <w:sz w:val="18"/>
          <w:szCs w:val="18"/>
        </w:rPr>
      </w:pPr>
    </w:p>
    <w:p w:rsidR="00925A95" w:rsidRPr="00D64AB1" w:rsidRDefault="00925A95" w:rsidP="00D64AB1">
      <w:pPr>
        <w:spacing w:after="0" w:line="360" w:lineRule="auto"/>
        <w:rPr>
          <w:rFonts w:ascii="Times New Roman" w:hAnsi="Times New Roman" w:cs="Times New Roman"/>
          <w:sz w:val="20"/>
          <w:szCs w:val="20"/>
        </w:rPr>
      </w:pPr>
      <w:bookmarkStart w:id="0" w:name="_GoBack"/>
      <w:bookmarkEnd w:id="0"/>
    </w:p>
    <w:sectPr w:rsidR="00925A95" w:rsidRPr="00D64AB1" w:rsidSect="00D64AB1">
      <w:headerReference w:type="default" r:id="rId9"/>
      <w:footerReference w:type="default" r:id="rId10"/>
      <w:pgSz w:w="11906" w:h="16838"/>
      <w:pgMar w:top="1440" w:right="1440" w:bottom="1440" w:left="1440" w:header="708" w:footer="708" w:gutter="0"/>
      <w:pgNumType w:start="2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8" w:rsidRDefault="00827CF8" w:rsidP="00D64AB1">
      <w:pPr>
        <w:spacing w:after="0" w:line="240" w:lineRule="auto"/>
      </w:pPr>
      <w:r>
        <w:separator/>
      </w:r>
    </w:p>
  </w:endnote>
  <w:endnote w:type="continuationSeparator" w:id="0">
    <w:p w:rsidR="00827CF8" w:rsidRDefault="00827CF8" w:rsidP="00D6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5">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64AB1">
      <w:trPr>
        <w:trHeight w:val="360"/>
      </w:trPr>
      <w:tc>
        <w:tcPr>
          <w:tcW w:w="3500" w:type="pct"/>
        </w:tcPr>
        <w:sdt>
          <w:sdtPr>
            <w:rPr>
              <w:rFonts w:ascii="Cambria" w:eastAsia="Batang" w:hAnsi="Cambria" w:cs="Times New Roman"/>
              <w:sz w:val="20"/>
              <w:lang w:val="en-US" w:eastAsia="ko-KR"/>
            </w:rPr>
            <w:alias w:val="Author"/>
            <w:tag w:val=""/>
            <w:id w:val="1534539408"/>
            <w:placeholder>
              <w:docPart w:val="B45C806D9C6C40F3BDB1F76DC400F73A"/>
            </w:placeholder>
            <w:dataBinding w:prefixMappings="xmlns:ns0='http://purl.org/dc/elements/1.1/' xmlns:ns1='http://schemas.openxmlformats.org/package/2006/metadata/core-properties' " w:xpath="/ns1:coreProperties[1]/ns0:creator[1]" w:storeItemID="{6C3C8BC8-F283-45AE-878A-BAB7291924A1}"/>
            <w:text/>
          </w:sdtPr>
          <w:sdtContent>
            <w:p w:rsidR="00D64AB1" w:rsidRPr="001352EA" w:rsidRDefault="00D64AB1" w:rsidP="00D64AB1">
              <w:pPr>
                <w:tabs>
                  <w:tab w:val="center" w:pos="4680"/>
                  <w:tab w:val="left" w:pos="5152"/>
                  <w:tab w:val="right" w:pos="6487"/>
                  <w:tab w:val="right" w:pos="9360"/>
                </w:tabs>
                <w:spacing w:after="0" w:line="240" w:lineRule="auto"/>
                <w:rPr>
                  <w:rFonts w:ascii="Cambria" w:eastAsia="Batang" w:hAnsi="Cambria"/>
                  <w:sz w:val="20"/>
                  <w:lang w:eastAsia="ko-KR"/>
                </w:rPr>
              </w:pPr>
              <w:r w:rsidRPr="00D64AB1">
                <w:rPr>
                  <w:rFonts w:ascii="Cambria" w:eastAsia="Batang" w:hAnsi="Cambria" w:cs="Times New Roman"/>
                  <w:sz w:val="20"/>
                  <w:lang w:val="en-US" w:eastAsia="ko-KR"/>
                </w:rPr>
                <w:t>www.ijbamr.com   P ISSN: 2250-284X, E ISSN: 2250-2858</w:t>
              </w:r>
            </w:p>
          </w:sdtContent>
        </w:sdt>
        <w:p w:rsidR="00D64AB1" w:rsidRDefault="00D64AB1">
          <w:pPr>
            <w:pStyle w:val="Footer"/>
            <w:jc w:val="right"/>
          </w:pPr>
        </w:p>
      </w:tc>
      <w:tc>
        <w:tcPr>
          <w:tcW w:w="1500" w:type="pct"/>
          <w:shd w:val="clear" w:color="auto" w:fill="8064A2" w:themeFill="accent4"/>
        </w:tcPr>
        <w:p w:rsidR="00D64AB1" w:rsidRDefault="00D64AB1">
          <w:pPr>
            <w:pStyle w:val="Footer"/>
            <w:jc w:val="right"/>
            <w:rPr>
              <w:color w:val="FFFFFF" w:themeColor="background1"/>
            </w:rPr>
          </w:pPr>
          <w:r>
            <w:fldChar w:fldCharType="begin"/>
          </w:r>
          <w:r>
            <w:instrText xml:space="preserve"> PAGE    \* MERGEFORMAT </w:instrText>
          </w:r>
          <w:r>
            <w:fldChar w:fldCharType="separate"/>
          </w:r>
          <w:r w:rsidRPr="00D64AB1">
            <w:rPr>
              <w:noProof/>
              <w:color w:val="FFFFFF" w:themeColor="background1"/>
            </w:rPr>
            <w:t>272</w:t>
          </w:r>
          <w:r>
            <w:rPr>
              <w:noProof/>
              <w:color w:val="FFFFFF" w:themeColor="background1"/>
            </w:rPr>
            <w:fldChar w:fldCharType="end"/>
          </w:r>
        </w:p>
      </w:tc>
    </w:tr>
  </w:tbl>
  <w:p w:rsidR="00D64AB1" w:rsidRDefault="00D64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8" w:rsidRDefault="00827CF8" w:rsidP="00D64AB1">
      <w:pPr>
        <w:spacing w:after="0" w:line="240" w:lineRule="auto"/>
      </w:pPr>
      <w:r>
        <w:separator/>
      </w:r>
    </w:p>
  </w:footnote>
  <w:footnote w:type="continuationSeparator" w:id="0">
    <w:p w:rsidR="00827CF8" w:rsidRDefault="00827CF8" w:rsidP="00D6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B1" w:rsidRPr="001352EA" w:rsidRDefault="00D64AB1" w:rsidP="00D64AB1">
    <w:pPr>
      <w:tabs>
        <w:tab w:val="left" w:pos="496"/>
        <w:tab w:val="center" w:pos="4513"/>
        <w:tab w:val="right" w:pos="9026"/>
      </w:tabs>
      <w:spacing w:after="0" w:line="240" w:lineRule="auto"/>
      <w:ind w:right="-567"/>
      <w:jc w:val="both"/>
      <w:rPr>
        <w:rFonts w:ascii="Cambria" w:eastAsia="Cambria" w:hAnsi="Cambria"/>
        <w:sz w:val="20"/>
        <w:szCs w:val="20"/>
      </w:rPr>
    </w:pPr>
    <w:r w:rsidRPr="001352EA">
      <w:rPr>
        <w:rFonts w:ascii="Cambria" w:eastAsia="Cambria" w:hAnsi="Cambria"/>
        <w:sz w:val="20"/>
        <w:szCs w:val="20"/>
      </w:rPr>
      <w:t>Indian Journal of Basic and Applied Medical Research; September 2020: Vol.-9, Issue- 4, P. 2</w:t>
    </w:r>
    <w:r>
      <w:rPr>
        <w:rFonts w:ascii="Cambria" w:eastAsia="Cambria" w:hAnsi="Cambria"/>
        <w:sz w:val="20"/>
        <w:szCs w:val="20"/>
      </w:rPr>
      <w:t>66 - 272</w:t>
    </w:r>
  </w:p>
  <w:p w:rsidR="00D64AB1" w:rsidRPr="00D64AB1" w:rsidRDefault="00D64AB1" w:rsidP="00D64AB1">
    <w:pPr>
      <w:rPr>
        <w:rFonts w:eastAsiaTheme="minorHAnsi"/>
        <w:b/>
        <w:sz w:val="20"/>
        <w:szCs w:val="20"/>
      </w:rPr>
    </w:pPr>
    <w:r w:rsidRPr="001352EA">
      <w:rPr>
        <w:rFonts w:ascii="Cambria" w:eastAsiaTheme="minorHAnsi" w:hAnsi="Cambria" w:cs="Calibri Light"/>
        <w:bCs/>
        <w:sz w:val="20"/>
        <w:szCs w:val="20"/>
        <w:shd w:val="clear" w:color="auto" w:fill="FFFFFF"/>
      </w:rPr>
      <w:t>DOI: 10.36848/IJBAMR/2020/18215.560</w:t>
    </w:r>
    <w:r>
      <w:rPr>
        <w:rFonts w:ascii="Cambria" w:eastAsiaTheme="minorHAnsi" w:hAnsi="Cambria" w:cs="Calibri Light"/>
        <w:bCs/>
        <w:sz w:val="20"/>
        <w:szCs w:val="20"/>
        <w:shd w:val="clear" w:color="auto" w:fill="FFFFFF"/>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16C"/>
    <w:multiLevelType w:val="hybridMultilevel"/>
    <w:tmpl w:val="B15E0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BF"/>
    <w:rsid w:val="00102A6D"/>
    <w:rsid w:val="00640937"/>
    <w:rsid w:val="007736BF"/>
    <w:rsid w:val="00827CF8"/>
    <w:rsid w:val="00925A95"/>
    <w:rsid w:val="009D57E1"/>
    <w:rsid w:val="00D6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6B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3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6BF"/>
    <w:pPr>
      <w:ind w:left="720"/>
      <w:contextualSpacing/>
    </w:pPr>
  </w:style>
  <w:style w:type="paragraph" w:styleId="Header">
    <w:name w:val="header"/>
    <w:basedOn w:val="Normal"/>
    <w:link w:val="HeaderChar"/>
    <w:uiPriority w:val="99"/>
    <w:unhideWhenUsed/>
    <w:rsid w:val="00D6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AB1"/>
  </w:style>
  <w:style w:type="paragraph" w:styleId="Footer">
    <w:name w:val="footer"/>
    <w:basedOn w:val="Normal"/>
    <w:link w:val="FooterChar"/>
    <w:uiPriority w:val="99"/>
    <w:unhideWhenUsed/>
    <w:rsid w:val="00D6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AB1"/>
  </w:style>
  <w:style w:type="paragraph" w:styleId="BalloonText">
    <w:name w:val="Balloon Text"/>
    <w:basedOn w:val="Normal"/>
    <w:link w:val="BalloonTextChar"/>
    <w:uiPriority w:val="99"/>
    <w:semiHidden/>
    <w:unhideWhenUsed/>
    <w:rsid w:val="00D6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B1"/>
    <w:rPr>
      <w:rFonts w:ascii="Tahoma" w:hAnsi="Tahoma" w:cs="Tahoma"/>
      <w:sz w:val="16"/>
      <w:szCs w:val="16"/>
    </w:rPr>
  </w:style>
  <w:style w:type="table" w:styleId="LightList-Accent6">
    <w:name w:val="Light List Accent 6"/>
    <w:basedOn w:val="TableNormal"/>
    <w:uiPriority w:val="61"/>
    <w:rsid w:val="00D64A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6B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3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6BF"/>
    <w:pPr>
      <w:ind w:left="720"/>
      <w:contextualSpacing/>
    </w:pPr>
  </w:style>
  <w:style w:type="paragraph" w:styleId="Header">
    <w:name w:val="header"/>
    <w:basedOn w:val="Normal"/>
    <w:link w:val="HeaderChar"/>
    <w:uiPriority w:val="99"/>
    <w:unhideWhenUsed/>
    <w:rsid w:val="00D6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AB1"/>
  </w:style>
  <w:style w:type="paragraph" w:styleId="Footer">
    <w:name w:val="footer"/>
    <w:basedOn w:val="Normal"/>
    <w:link w:val="FooterChar"/>
    <w:uiPriority w:val="99"/>
    <w:unhideWhenUsed/>
    <w:rsid w:val="00D6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AB1"/>
  </w:style>
  <w:style w:type="paragraph" w:styleId="BalloonText">
    <w:name w:val="Balloon Text"/>
    <w:basedOn w:val="Normal"/>
    <w:link w:val="BalloonTextChar"/>
    <w:uiPriority w:val="99"/>
    <w:semiHidden/>
    <w:unhideWhenUsed/>
    <w:rsid w:val="00D6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B1"/>
    <w:rPr>
      <w:rFonts w:ascii="Tahoma" w:hAnsi="Tahoma" w:cs="Tahoma"/>
      <w:sz w:val="16"/>
      <w:szCs w:val="16"/>
    </w:rPr>
  </w:style>
  <w:style w:type="table" w:styleId="LightList-Accent6">
    <w:name w:val="Light List Accent 6"/>
    <w:basedOn w:val="TableNormal"/>
    <w:uiPriority w:val="61"/>
    <w:rsid w:val="00D64A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C806D9C6C40F3BDB1F76DC400F73A"/>
        <w:category>
          <w:name w:val="General"/>
          <w:gallery w:val="placeholder"/>
        </w:category>
        <w:types>
          <w:type w:val="bbPlcHdr"/>
        </w:types>
        <w:behaviors>
          <w:behavior w:val="content"/>
        </w:behaviors>
        <w:guid w:val="{E165D101-4104-4E88-A436-72710D7BE597}"/>
      </w:docPartPr>
      <w:docPartBody>
        <w:p w:rsidR="00000000" w:rsidRDefault="00654623" w:rsidP="00654623">
          <w:pPr>
            <w:pStyle w:val="B45C806D9C6C40F3BDB1F76DC400F73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5">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23"/>
    <w:rsid w:val="00654623"/>
    <w:rsid w:val="00FC06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5C806D9C6C40F3BDB1F76DC400F73A">
    <w:name w:val="B45C806D9C6C40F3BDB1F76DC400F73A"/>
    <w:rsid w:val="006546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5C806D9C6C40F3BDB1F76DC400F73A">
    <w:name w:val="B45C806D9C6C40F3BDB1F76DC400F73A"/>
    <w:rsid w:val="00654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www.ijbamr.com   P ISSN: 2250-284X, E ISSN: 2250-2858</dc:creator>
  <cp:lastModifiedBy>RDRL</cp:lastModifiedBy>
  <cp:revision>4</cp:revision>
  <cp:lastPrinted>2020-10-29T09:22:00Z</cp:lastPrinted>
  <dcterms:created xsi:type="dcterms:W3CDTF">2020-10-24T14:09:00Z</dcterms:created>
  <dcterms:modified xsi:type="dcterms:W3CDTF">2020-10-29T09:22:00Z</dcterms:modified>
</cp:coreProperties>
</file>