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01" w:rsidRPr="00531701" w:rsidRDefault="00531701" w:rsidP="00531701">
      <w:pPr>
        <w:pStyle w:val="Header"/>
        <w:spacing w:line="360" w:lineRule="auto"/>
        <w:rPr>
          <w:rFonts w:asciiTheme="majorHAnsi" w:hAnsiTheme="majorHAnsi" w:cs="Times New Roman"/>
          <w:b/>
          <w:sz w:val="24"/>
          <w:szCs w:val="24"/>
        </w:rPr>
      </w:pPr>
      <w:r w:rsidRPr="00531701">
        <w:rPr>
          <w:rFonts w:asciiTheme="majorHAnsi" w:hAnsiTheme="majorHAnsi" w:cs="Times New Roman"/>
          <w:b/>
          <w:sz w:val="24"/>
          <w:szCs w:val="24"/>
          <w:highlight w:val="lightGray"/>
        </w:rPr>
        <w:t>Original article:</w:t>
      </w:r>
    </w:p>
    <w:p w:rsidR="00531701" w:rsidRPr="00531701" w:rsidRDefault="00531701" w:rsidP="00531701">
      <w:pPr>
        <w:pStyle w:val="Header"/>
        <w:spacing w:line="360" w:lineRule="auto"/>
        <w:rPr>
          <w:rFonts w:asciiTheme="majorHAnsi" w:hAnsiTheme="majorHAnsi" w:cs="Times New Roman"/>
          <w:b/>
          <w:color w:val="1F497D" w:themeColor="text2"/>
          <w:sz w:val="28"/>
          <w:szCs w:val="28"/>
        </w:rPr>
      </w:pPr>
      <w:r w:rsidRPr="00531701">
        <w:rPr>
          <w:rFonts w:asciiTheme="majorHAnsi" w:hAnsiTheme="majorHAnsi" w:cs="Times New Roman"/>
          <w:b/>
          <w:color w:val="1F497D" w:themeColor="text2"/>
          <w:sz w:val="28"/>
          <w:szCs w:val="28"/>
        </w:rPr>
        <w:t>Carcinoma Prostate and Bone Health – An Indian prospective</w:t>
      </w:r>
    </w:p>
    <w:p w:rsidR="00531701" w:rsidRPr="00531701" w:rsidRDefault="00531701" w:rsidP="00531701">
      <w:pPr>
        <w:shd w:val="clear" w:color="auto" w:fill="FFFFFF"/>
        <w:spacing w:after="0" w:line="360" w:lineRule="auto"/>
        <w:rPr>
          <w:rFonts w:asciiTheme="majorHAnsi" w:eastAsia="Times New Roman" w:hAnsiTheme="majorHAnsi" w:cs="Arial"/>
          <w:b/>
          <w:color w:val="222222"/>
          <w:sz w:val="20"/>
          <w:szCs w:val="20"/>
          <w:lang w:eastAsia="en-IN"/>
        </w:rPr>
      </w:pPr>
      <w:r w:rsidRPr="00531701">
        <w:rPr>
          <w:rFonts w:asciiTheme="majorHAnsi" w:eastAsia="Times New Roman" w:hAnsiTheme="majorHAnsi" w:cs="Arial"/>
          <w:b/>
          <w:color w:val="222222"/>
          <w:sz w:val="20"/>
          <w:szCs w:val="20"/>
          <w:vertAlign w:val="superscript"/>
          <w:lang w:eastAsia="en-IN"/>
        </w:rPr>
        <w:t>1</w:t>
      </w:r>
      <w:r w:rsidRPr="00531701">
        <w:rPr>
          <w:rFonts w:asciiTheme="majorHAnsi" w:eastAsia="Times New Roman" w:hAnsiTheme="majorHAnsi" w:cs="Arial"/>
          <w:b/>
          <w:color w:val="222222"/>
          <w:sz w:val="20"/>
          <w:szCs w:val="20"/>
          <w:lang w:eastAsia="en-IN"/>
        </w:rPr>
        <w:t xml:space="preserve">Dr. </w:t>
      </w:r>
      <w:proofErr w:type="spellStart"/>
      <w:r w:rsidRPr="00531701">
        <w:rPr>
          <w:rFonts w:asciiTheme="majorHAnsi" w:eastAsia="Times New Roman" w:hAnsiTheme="majorHAnsi" w:cs="Arial"/>
          <w:b/>
          <w:color w:val="222222"/>
          <w:sz w:val="20"/>
          <w:szCs w:val="20"/>
          <w:lang w:eastAsia="en-IN"/>
        </w:rPr>
        <w:t>Arun</w:t>
      </w:r>
      <w:proofErr w:type="spellEnd"/>
      <w:r w:rsidRPr="00531701">
        <w:rPr>
          <w:rFonts w:asciiTheme="majorHAnsi" w:eastAsia="Times New Roman" w:hAnsiTheme="majorHAnsi" w:cs="Arial"/>
          <w:b/>
          <w:color w:val="222222"/>
          <w:sz w:val="20"/>
          <w:szCs w:val="20"/>
          <w:lang w:eastAsia="en-IN"/>
        </w:rPr>
        <w:t xml:space="preserve"> </w:t>
      </w:r>
      <w:proofErr w:type="spellStart"/>
      <w:r w:rsidRPr="00531701">
        <w:rPr>
          <w:rFonts w:asciiTheme="majorHAnsi" w:eastAsia="Times New Roman" w:hAnsiTheme="majorHAnsi" w:cs="Arial"/>
          <w:b/>
          <w:color w:val="222222"/>
          <w:sz w:val="20"/>
          <w:szCs w:val="20"/>
          <w:lang w:eastAsia="en-IN"/>
        </w:rPr>
        <w:t>Makkar</w:t>
      </w:r>
      <w:proofErr w:type="spellEnd"/>
      <w:proofErr w:type="gramStart"/>
      <w:r w:rsidRPr="00531701">
        <w:rPr>
          <w:rFonts w:asciiTheme="majorHAnsi" w:eastAsia="Times New Roman" w:hAnsiTheme="majorHAnsi" w:cs="Arial"/>
          <w:b/>
          <w:color w:val="222222"/>
          <w:sz w:val="20"/>
          <w:szCs w:val="20"/>
          <w:lang w:eastAsia="en-IN"/>
        </w:rPr>
        <w:t>* ,</w:t>
      </w:r>
      <w:proofErr w:type="gramEnd"/>
      <w:r w:rsidRPr="00531701">
        <w:rPr>
          <w:rFonts w:asciiTheme="majorHAnsi" w:eastAsia="Times New Roman" w:hAnsiTheme="majorHAnsi" w:cs="Arial"/>
          <w:b/>
          <w:color w:val="222222"/>
          <w:sz w:val="20"/>
          <w:szCs w:val="20"/>
          <w:lang w:eastAsia="en-IN"/>
        </w:rPr>
        <w:t xml:space="preserve"> </w:t>
      </w:r>
      <w:r w:rsidRPr="00531701">
        <w:rPr>
          <w:rFonts w:asciiTheme="majorHAnsi" w:eastAsia="Times New Roman" w:hAnsiTheme="majorHAnsi" w:cs="Arial"/>
          <w:b/>
          <w:color w:val="222222"/>
          <w:sz w:val="20"/>
          <w:szCs w:val="20"/>
          <w:vertAlign w:val="superscript"/>
          <w:lang w:eastAsia="en-IN"/>
        </w:rPr>
        <w:t>2</w:t>
      </w:r>
      <w:r w:rsidRPr="00501E5B">
        <w:rPr>
          <w:rFonts w:asciiTheme="majorHAnsi" w:eastAsia="Times New Roman" w:hAnsiTheme="majorHAnsi" w:cs="Arial"/>
          <w:b/>
          <w:color w:val="222222"/>
          <w:sz w:val="20"/>
          <w:szCs w:val="20"/>
          <w:lang w:eastAsia="en-IN"/>
        </w:rPr>
        <w:t xml:space="preserve">Dr Rajeev </w:t>
      </w:r>
      <w:proofErr w:type="spellStart"/>
      <w:r w:rsidRPr="00501E5B">
        <w:rPr>
          <w:rFonts w:asciiTheme="majorHAnsi" w:eastAsia="Times New Roman" w:hAnsiTheme="majorHAnsi" w:cs="Arial"/>
          <w:b/>
          <w:color w:val="222222"/>
          <w:sz w:val="20"/>
          <w:szCs w:val="20"/>
          <w:lang w:eastAsia="en-IN"/>
        </w:rPr>
        <w:t>Sood</w:t>
      </w:r>
      <w:proofErr w:type="spellEnd"/>
      <w:r w:rsidRPr="00501E5B">
        <w:rPr>
          <w:rFonts w:asciiTheme="majorHAnsi" w:eastAsia="Times New Roman" w:hAnsiTheme="majorHAnsi" w:cs="Arial"/>
          <w:b/>
          <w:color w:val="222222"/>
          <w:sz w:val="20"/>
          <w:szCs w:val="20"/>
          <w:lang w:eastAsia="en-IN"/>
        </w:rPr>
        <w:t>,</w:t>
      </w:r>
      <w:r w:rsidRPr="00531701">
        <w:rPr>
          <w:rFonts w:asciiTheme="majorHAnsi" w:eastAsia="Times New Roman" w:hAnsiTheme="majorHAnsi" w:cs="Arial"/>
          <w:b/>
          <w:color w:val="222222"/>
          <w:sz w:val="20"/>
          <w:szCs w:val="20"/>
          <w:lang w:eastAsia="en-IN"/>
        </w:rPr>
        <w:t xml:space="preserve"> </w:t>
      </w:r>
      <w:r w:rsidRPr="00531701">
        <w:rPr>
          <w:rFonts w:asciiTheme="majorHAnsi" w:eastAsia="Times New Roman" w:hAnsiTheme="majorHAnsi" w:cs="Arial"/>
          <w:b/>
          <w:color w:val="222222"/>
          <w:sz w:val="20"/>
          <w:szCs w:val="20"/>
          <w:vertAlign w:val="superscript"/>
          <w:lang w:eastAsia="en-IN"/>
        </w:rPr>
        <w:t>3</w:t>
      </w:r>
      <w:r w:rsidRPr="00501E5B">
        <w:rPr>
          <w:rFonts w:asciiTheme="majorHAnsi" w:eastAsia="Times New Roman" w:hAnsiTheme="majorHAnsi" w:cs="Arial"/>
          <w:b/>
          <w:color w:val="222222"/>
          <w:sz w:val="20"/>
          <w:szCs w:val="20"/>
          <w:lang w:eastAsia="en-IN"/>
        </w:rPr>
        <w:t xml:space="preserve">Dr </w:t>
      </w:r>
      <w:proofErr w:type="spellStart"/>
      <w:r w:rsidRPr="00501E5B">
        <w:rPr>
          <w:rFonts w:asciiTheme="majorHAnsi" w:eastAsia="Times New Roman" w:hAnsiTheme="majorHAnsi" w:cs="Arial"/>
          <w:b/>
          <w:color w:val="222222"/>
          <w:sz w:val="20"/>
          <w:szCs w:val="20"/>
          <w:lang w:eastAsia="en-IN"/>
        </w:rPr>
        <w:t>Sandeep</w:t>
      </w:r>
      <w:proofErr w:type="spellEnd"/>
      <w:r w:rsidRPr="00501E5B">
        <w:rPr>
          <w:rFonts w:asciiTheme="majorHAnsi" w:eastAsia="Times New Roman" w:hAnsiTheme="majorHAnsi" w:cs="Arial"/>
          <w:b/>
          <w:color w:val="222222"/>
          <w:sz w:val="20"/>
          <w:szCs w:val="20"/>
          <w:lang w:eastAsia="en-IN"/>
        </w:rPr>
        <w:t xml:space="preserve"> Kumar</w:t>
      </w:r>
    </w:p>
    <w:p w:rsidR="00531701" w:rsidRPr="00531701" w:rsidRDefault="00531701" w:rsidP="00531701">
      <w:pPr>
        <w:shd w:val="clear" w:color="auto" w:fill="FFFFFF"/>
        <w:spacing w:after="0" w:line="360" w:lineRule="auto"/>
        <w:rPr>
          <w:rFonts w:asciiTheme="majorHAnsi" w:eastAsia="Times New Roman" w:hAnsiTheme="majorHAnsi" w:cs="Arial"/>
          <w:color w:val="222222"/>
          <w:sz w:val="24"/>
          <w:szCs w:val="24"/>
          <w:lang w:eastAsia="en-IN"/>
        </w:rPr>
      </w:pPr>
    </w:p>
    <w:p w:rsidR="00531701" w:rsidRPr="00501E5B" w:rsidRDefault="00531701" w:rsidP="00531701">
      <w:pPr>
        <w:shd w:val="clear" w:color="auto" w:fill="FFFFFF"/>
        <w:spacing w:after="0" w:line="360" w:lineRule="auto"/>
        <w:rPr>
          <w:rFonts w:asciiTheme="majorHAnsi" w:eastAsia="Times New Roman" w:hAnsiTheme="majorHAnsi" w:cs="Arial"/>
          <w:color w:val="222222"/>
          <w:sz w:val="18"/>
          <w:szCs w:val="18"/>
          <w:lang w:eastAsia="en-IN"/>
        </w:rPr>
      </w:pPr>
      <w:r w:rsidRPr="00531701">
        <w:rPr>
          <w:rFonts w:asciiTheme="majorHAnsi" w:eastAsia="Times New Roman" w:hAnsiTheme="majorHAnsi" w:cs="Arial"/>
          <w:color w:val="222222"/>
          <w:sz w:val="18"/>
          <w:szCs w:val="18"/>
          <w:vertAlign w:val="superscript"/>
          <w:lang w:eastAsia="en-IN"/>
        </w:rPr>
        <w:t>1</w:t>
      </w:r>
      <w:r w:rsidRPr="00531701">
        <w:rPr>
          <w:rFonts w:asciiTheme="majorHAnsi" w:eastAsia="Times New Roman" w:hAnsiTheme="majorHAnsi" w:cs="Arial"/>
          <w:color w:val="222222"/>
          <w:sz w:val="18"/>
          <w:szCs w:val="18"/>
          <w:lang w:eastAsia="en-IN"/>
        </w:rPr>
        <w:t xml:space="preserve">Assistant </w:t>
      </w:r>
      <w:r w:rsidR="004D0C03" w:rsidRPr="00531701">
        <w:rPr>
          <w:rFonts w:asciiTheme="majorHAnsi" w:eastAsia="Times New Roman" w:hAnsiTheme="majorHAnsi" w:cs="Arial"/>
          <w:color w:val="222222"/>
          <w:sz w:val="18"/>
          <w:szCs w:val="18"/>
          <w:lang w:eastAsia="en-IN"/>
        </w:rPr>
        <w:t>P</w:t>
      </w:r>
      <w:r w:rsidR="004D0C03" w:rsidRPr="00501E5B">
        <w:rPr>
          <w:rFonts w:asciiTheme="majorHAnsi" w:eastAsia="Times New Roman" w:hAnsiTheme="majorHAnsi" w:cs="Arial"/>
          <w:color w:val="222222"/>
          <w:sz w:val="18"/>
          <w:szCs w:val="18"/>
          <w:lang w:eastAsia="en-IN"/>
        </w:rPr>
        <w:t>rofessor,</w:t>
      </w:r>
      <w:r w:rsidRPr="00531701">
        <w:rPr>
          <w:rFonts w:asciiTheme="majorHAnsi" w:eastAsia="Times New Roman" w:hAnsiTheme="majorHAnsi" w:cs="Arial"/>
          <w:color w:val="222222"/>
          <w:sz w:val="18"/>
          <w:szCs w:val="18"/>
          <w:lang w:eastAsia="en-IN"/>
        </w:rPr>
        <w:t xml:space="preserve"> </w:t>
      </w:r>
      <w:r w:rsidRPr="00501E5B">
        <w:rPr>
          <w:rFonts w:asciiTheme="majorHAnsi" w:eastAsia="Times New Roman" w:hAnsiTheme="majorHAnsi" w:cs="Arial"/>
          <w:color w:val="222222"/>
          <w:sz w:val="18"/>
          <w:szCs w:val="18"/>
          <w:lang w:eastAsia="en-IN"/>
        </w:rPr>
        <w:t xml:space="preserve">VMMC and </w:t>
      </w:r>
      <w:proofErr w:type="spellStart"/>
      <w:r w:rsidRPr="00501E5B">
        <w:rPr>
          <w:rFonts w:asciiTheme="majorHAnsi" w:eastAsia="Times New Roman" w:hAnsiTheme="majorHAnsi" w:cs="Arial"/>
          <w:color w:val="222222"/>
          <w:sz w:val="18"/>
          <w:szCs w:val="18"/>
          <w:lang w:eastAsia="en-IN"/>
        </w:rPr>
        <w:t>Safdarjung</w:t>
      </w:r>
      <w:proofErr w:type="spellEnd"/>
      <w:r w:rsidRPr="00501E5B">
        <w:rPr>
          <w:rFonts w:asciiTheme="majorHAnsi" w:eastAsia="Times New Roman" w:hAnsiTheme="majorHAnsi" w:cs="Arial"/>
          <w:color w:val="222222"/>
          <w:sz w:val="18"/>
          <w:szCs w:val="18"/>
          <w:lang w:eastAsia="en-IN"/>
        </w:rPr>
        <w:t xml:space="preserve"> Hospital, New</w:t>
      </w:r>
      <w:r w:rsidR="004D0C03">
        <w:rPr>
          <w:rFonts w:asciiTheme="majorHAnsi" w:eastAsia="Times New Roman" w:hAnsiTheme="majorHAnsi" w:cs="Arial"/>
          <w:color w:val="222222"/>
          <w:sz w:val="18"/>
          <w:szCs w:val="18"/>
          <w:lang w:eastAsia="en-IN"/>
        </w:rPr>
        <w:t xml:space="preserve"> </w:t>
      </w:r>
      <w:r w:rsidRPr="00501E5B">
        <w:rPr>
          <w:rFonts w:asciiTheme="majorHAnsi" w:eastAsia="Times New Roman" w:hAnsiTheme="majorHAnsi" w:cs="Arial"/>
          <w:color w:val="222222"/>
          <w:sz w:val="18"/>
          <w:szCs w:val="18"/>
          <w:lang w:eastAsia="en-IN"/>
        </w:rPr>
        <w:t>Delhi</w:t>
      </w:r>
    </w:p>
    <w:p w:rsidR="00531701" w:rsidRPr="00501E5B" w:rsidRDefault="00531701" w:rsidP="00531701">
      <w:pPr>
        <w:shd w:val="clear" w:color="auto" w:fill="FFFFFF"/>
        <w:spacing w:after="0" w:line="360" w:lineRule="auto"/>
        <w:rPr>
          <w:rFonts w:asciiTheme="majorHAnsi" w:eastAsia="Times New Roman" w:hAnsiTheme="majorHAnsi" w:cs="Arial"/>
          <w:color w:val="222222"/>
          <w:sz w:val="18"/>
          <w:szCs w:val="18"/>
          <w:lang w:eastAsia="en-IN"/>
        </w:rPr>
      </w:pPr>
      <w:r w:rsidRPr="00531701">
        <w:rPr>
          <w:rFonts w:asciiTheme="majorHAnsi" w:eastAsia="Times New Roman" w:hAnsiTheme="majorHAnsi" w:cs="Arial"/>
          <w:color w:val="222222"/>
          <w:sz w:val="18"/>
          <w:szCs w:val="18"/>
          <w:vertAlign w:val="superscript"/>
          <w:lang w:eastAsia="en-IN"/>
        </w:rPr>
        <w:t>2</w:t>
      </w:r>
      <w:r w:rsidR="004D0C03">
        <w:rPr>
          <w:rFonts w:asciiTheme="majorHAnsi" w:eastAsia="Times New Roman" w:hAnsiTheme="majorHAnsi" w:cs="Arial"/>
          <w:color w:val="222222"/>
          <w:sz w:val="18"/>
          <w:szCs w:val="18"/>
          <w:lang w:eastAsia="en-IN"/>
        </w:rPr>
        <w:t xml:space="preserve">Professor, ABIMS </w:t>
      </w:r>
      <w:proofErr w:type="spellStart"/>
      <w:r w:rsidR="004D0C03">
        <w:rPr>
          <w:rFonts w:asciiTheme="majorHAnsi" w:eastAsia="Times New Roman" w:hAnsiTheme="majorHAnsi" w:cs="Arial"/>
          <w:color w:val="222222"/>
          <w:sz w:val="18"/>
          <w:szCs w:val="18"/>
          <w:lang w:eastAsia="en-IN"/>
        </w:rPr>
        <w:t>Dr</w:t>
      </w:r>
      <w:proofErr w:type="spellEnd"/>
      <w:r w:rsidR="004D0C03">
        <w:rPr>
          <w:rFonts w:asciiTheme="majorHAnsi" w:eastAsia="Times New Roman" w:hAnsiTheme="majorHAnsi" w:cs="Arial"/>
          <w:color w:val="222222"/>
          <w:sz w:val="18"/>
          <w:szCs w:val="18"/>
          <w:lang w:eastAsia="en-IN"/>
        </w:rPr>
        <w:t xml:space="preserve"> RML H</w:t>
      </w:r>
      <w:r w:rsidRPr="00501E5B">
        <w:rPr>
          <w:rFonts w:asciiTheme="majorHAnsi" w:eastAsia="Times New Roman" w:hAnsiTheme="majorHAnsi" w:cs="Arial"/>
          <w:color w:val="222222"/>
          <w:sz w:val="18"/>
          <w:szCs w:val="18"/>
          <w:lang w:eastAsia="en-IN"/>
        </w:rPr>
        <w:t>ospital, New</w:t>
      </w:r>
      <w:r w:rsidR="004D0C03">
        <w:rPr>
          <w:rFonts w:asciiTheme="majorHAnsi" w:eastAsia="Times New Roman" w:hAnsiTheme="majorHAnsi" w:cs="Arial"/>
          <w:color w:val="222222"/>
          <w:sz w:val="18"/>
          <w:szCs w:val="18"/>
          <w:lang w:eastAsia="en-IN"/>
        </w:rPr>
        <w:t xml:space="preserve"> </w:t>
      </w:r>
      <w:r w:rsidRPr="00501E5B">
        <w:rPr>
          <w:rFonts w:asciiTheme="majorHAnsi" w:eastAsia="Times New Roman" w:hAnsiTheme="majorHAnsi" w:cs="Arial"/>
          <w:color w:val="222222"/>
          <w:sz w:val="18"/>
          <w:szCs w:val="18"/>
          <w:lang w:eastAsia="en-IN"/>
        </w:rPr>
        <w:t>Delhi</w:t>
      </w:r>
    </w:p>
    <w:p w:rsidR="00531701" w:rsidRPr="00501E5B" w:rsidRDefault="00531701" w:rsidP="00531701">
      <w:pPr>
        <w:shd w:val="clear" w:color="auto" w:fill="FFFFFF"/>
        <w:spacing w:after="0" w:line="360" w:lineRule="auto"/>
        <w:rPr>
          <w:rFonts w:asciiTheme="majorHAnsi" w:eastAsia="Times New Roman" w:hAnsiTheme="majorHAnsi" w:cs="Arial"/>
          <w:color w:val="222222"/>
          <w:sz w:val="18"/>
          <w:szCs w:val="18"/>
          <w:lang w:eastAsia="en-IN"/>
        </w:rPr>
      </w:pPr>
      <w:r w:rsidRPr="00531701">
        <w:rPr>
          <w:rFonts w:asciiTheme="majorHAnsi" w:eastAsia="Times New Roman" w:hAnsiTheme="majorHAnsi" w:cs="Arial"/>
          <w:color w:val="222222"/>
          <w:sz w:val="18"/>
          <w:szCs w:val="18"/>
          <w:vertAlign w:val="superscript"/>
          <w:lang w:eastAsia="en-IN"/>
        </w:rPr>
        <w:t>3</w:t>
      </w:r>
      <w:r w:rsidRPr="00501E5B">
        <w:rPr>
          <w:rFonts w:asciiTheme="majorHAnsi" w:eastAsia="Times New Roman" w:hAnsiTheme="majorHAnsi" w:cs="Arial"/>
          <w:color w:val="222222"/>
          <w:sz w:val="18"/>
          <w:szCs w:val="18"/>
          <w:lang w:eastAsia="en-IN"/>
        </w:rPr>
        <w:t xml:space="preserve">Associate </w:t>
      </w:r>
      <w:r w:rsidR="004D0C03" w:rsidRPr="00501E5B">
        <w:rPr>
          <w:rFonts w:asciiTheme="majorHAnsi" w:eastAsia="Times New Roman" w:hAnsiTheme="majorHAnsi" w:cs="Arial"/>
          <w:color w:val="222222"/>
          <w:sz w:val="18"/>
          <w:szCs w:val="18"/>
          <w:lang w:eastAsia="en-IN"/>
        </w:rPr>
        <w:t>Professor,</w:t>
      </w:r>
      <w:r w:rsidRPr="00501E5B">
        <w:rPr>
          <w:rFonts w:asciiTheme="majorHAnsi" w:eastAsia="Times New Roman" w:hAnsiTheme="majorHAnsi" w:cs="Arial"/>
          <w:color w:val="222222"/>
          <w:sz w:val="18"/>
          <w:szCs w:val="18"/>
          <w:lang w:eastAsia="en-IN"/>
        </w:rPr>
        <w:t xml:space="preserve"> VMMC and </w:t>
      </w:r>
      <w:proofErr w:type="spellStart"/>
      <w:r w:rsidRPr="00501E5B">
        <w:rPr>
          <w:rFonts w:asciiTheme="majorHAnsi" w:eastAsia="Times New Roman" w:hAnsiTheme="majorHAnsi" w:cs="Arial"/>
          <w:color w:val="222222"/>
          <w:sz w:val="18"/>
          <w:szCs w:val="18"/>
          <w:lang w:eastAsia="en-IN"/>
        </w:rPr>
        <w:t>Safdarjung</w:t>
      </w:r>
      <w:proofErr w:type="spellEnd"/>
      <w:r w:rsidRPr="00501E5B">
        <w:rPr>
          <w:rFonts w:asciiTheme="majorHAnsi" w:eastAsia="Times New Roman" w:hAnsiTheme="majorHAnsi" w:cs="Arial"/>
          <w:color w:val="222222"/>
          <w:sz w:val="18"/>
          <w:szCs w:val="18"/>
          <w:lang w:eastAsia="en-IN"/>
        </w:rPr>
        <w:t xml:space="preserve"> Hospital,</w:t>
      </w:r>
      <w:r w:rsidR="004D0C03">
        <w:rPr>
          <w:rFonts w:asciiTheme="majorHAnsi" w:eastAsia="Times New Roman" w:hAnsiTheme="majorHAnsi" w:cs="Arial"/>
          <w:color w:val="222222"/>
          <w:sz w:val="18"/>
          <w:szCs w:val="18"/>
          <w:lang w:eastAsia="en-IN"/>
        </w:rPr>
        <w:t xml:space="preserve"> </w:t>
      </w:r>
      <w:r w:rsidRPr="00501E5B">
        <w:rPr>
          <w:rFonts w:asciiTheme="majorHAnsi" w:eastAsia="Times New Roman" w:hAnsiTheme="majorHAnsi" w:cs="Arial"/>
          <w:color w:val="222222"/>
          <w:sz w:val="18"/>
          <w:szCs w:val="18"/>
          <w:lang w:eastAsia="en-IN"/>
        </w:rPr>
        <w:t>New</w:t>
      </w:r>
      <w:r w:rsidR="004D0C03">
        <w:rPr>
          <w:rFonts w:asciiTheme="majorHAnsi" w:eastAsia="Times New Roman" w:hAnsiTheme="majorHAnsi" w:cs="Arial"/>
          <w:color w:val="222222"/>
          <w:sz w:val="18"/>
          <w:szCs w:val="18"/>
          <w:lang w:eastAsia="en-IN"/>
        </w:rPr>
        <w:t xml:space="preserve"> </w:t>
      </w:r>
      <w:r w:rsidRPr="00501E5B">
        <w:rPr>
          <w:rFonts w:asciiTheme="majorHAnsi" w:eastAsia="Times New Roman" w:hAnsiTheme="majorHAnsi" w:cs="Arial"/>
          <w:color w:val="222222"/>
          <w:sz w:val="18"/>
          <w:szCs w:val="18"/>
          <w:lang w:eastAsia="en-IN"/>
        </w:rPr>
        <w:t>Delhi.</w:t>
      </w:r>
    </w:p>
    <w:p w:rsidR="00531701" w:rsidRPr="00531701" w:rsidRDefault="00531701" w:rsidP="00531701">
      <w:pPr>
        <w:spacing w:after="0" w:line="360" w:lineRule="auto"/>
        <w:rPr>
          <w:rFonts w:asciiTheme="majorHAnsi" w:hAnsiTheme="majorHAnsi"/>
          <w:sz w:val="18"/>
          <w:szCs w:val="18"/>
        </w:rPr>
      </w:pPr>
      <w:r w:rsidRPr="00531701">
        <w:rPr>
          <w:rFonts w:asciiTheme="majorHAnsi" w:hAnsiTheme="majorHAnsi"/>
          <w:sz w:val="18"/>
          <w:szCs w:val="18"/>
        </w:rPr>
        <w:t>Corresponding author *</w:t>
      </w:r>
    </w:p>
    <w:p w:rsidR="00531701" w:rsidRPr="00531701" w:rsidRDefault="004D0C03" w:rsidP="00531701">
      <w:pPr>
        <w:pStyle w:val="Header"/>
        <w:spacing w:line="360" w:lineRule="auto"/>
        <w:rPr>
          <w:rFonts w:ascii="Times New Roman" w:hAnsi="Times New Roman" w:cs="Times New Roman"/>
          <w:sz w:val="20"/>
          <w:szCs w:val="20"/>
        </w:rPr>
      </w:pPr>
      <w:r>
        <w:rPr>
          <w:rFonts w:ascii="Times New Roman" w:hAnsi="Times New Roman" w:cs="Times New Roman"/>
          <w:bCs/>
          <w:noProof/>
          <w:sz w:val="20"/>
          <w:lang w:val="en-IN" w:eastAsia="en-IN"/>
        </w:rPr>
        <w:drawing>
          <wp:anchor distT="0" distB="0" distL="114300" distR="114300" simplePos="0" relativeHeight="251659264" behindDoc="0" locked="0" layoutInCell="1" allowOverlap="1" wp14:anchorId="33241169" wp14:editId="09BCA910">
            <wp:simplePos x="0" y="0"/>
            <wp:positionH relativeFrom="column">
              <wp:posOffset>31115</wp:posOffset>
            </wp:positionH>
            <wp:positionV relativeFrom="paragraph">
              <wp:posOffset>24130</wp:posOffset>
            </wp:positionV>
            <wp:extent cx="706755" cy="520065"/>
            <wp:effectExtent l="0" t="0" r="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706755" cy="520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0C03" w:rsidRDefault="004D0C03" w:rsidP="00531701">
      <w:pPr>
        <w:spacing w:after="0" w:line="360" w:lineRule="auto"/>
        <w:rPr>
          <w:rFonts w:ascii="Times New Roman" w:hAnsi="Times New Roman" w:cs="Times New Roman"/>
          <w:b/>
          <w:sz w:val="20"/>
          <w:szCs w:val="20"/>
        </w:rPr>
      </w:pPr>
    </w:p>
    <w:p w:rsidR="004D0C03" w:rsidRDefault="004D0C03" w:rsidP="00531701">
      <w:pPr>
        <w:spacing w:after="0" w:line="360" w:lineRule="auto"/>
        <w:rPr>
          <w:rFonts w:ascii="Times New Roman" w:hAnsi="Times New Roman" w:cs="Times New Roman"/>
          <w:b/>
          <w:sz w:val="20"/>
          <w:szCs w:val="20"/>
        </w:rPr>
      </w:pPr>
    </w:p>
    <w:p w:rsidR="001C70A8" w:rsidRPr="00531701" w:rsidRDefault="004E47B7" w:rsidP="00531701">
      <w:pPr>
        <w:spacing w:after="0" w:line="360" w:lineRule="auto"/>
        <w:rPr>
          <w:rFonts w:ascii="Times New Roman" w:hAnsi="Times New Roman" w:cs="Times New Roman"/>
          <w:b/>
          <w:sz w:val="20"/>
          <w:szCs w:val="20"/>
        </w:rPr>
      </w:pPr>
      <w:r w:rsidRPr="00531701">
        <w:rPr>
          <w:rFonts w:ascii="Times New Roman" w:hAnsi="Times New Roman" w:cs="Times New Roman"/>
          <w:b/>
          <w:sz w:val="20"/>
          <w:szCs w:val="20"/>
        </w:rPr>
        <w:t>Abstract:</w:t>
      </w:r>
    </w:p>
    <w:p w:rsidR="004E47B7" w:rsidRPr="00531701" w:rsidRDefault="004E47B7" w:rsidP="00531701">
      <w:pPr>
        <w:spacing w:after="0" w:line="360" w:lineRule="auto"/>
        <w:rPr>
          <w:rFonts w:ascii="Times New Roman" w:hAnsi="Times New Roman" w:cs="Times New Roman"/>
          <w:sz w:val="18"/>
          <w:szCs w:val="18"/>
        </w:rPr>
      </w:pPr>
      <w:r w:rsidRPr="00531701">
        <w:rPr>
          <w:rFonts w:ascii="Times New Roman" w:hAnsi="Times New Roman" w:cs="Times New Roman"/>
          <w:b/>
          <w:sz w:val="18"/>
          <w:szCs w:val="18"/>
        </w:rPr>
        <w:t>Introduction-</w:t>
      </w:r>
      <w:r w:rsidRPr="00531701">
        <w:rPr>
          <w:rFonts w:ascii="Times New Roman" w:hAnsi="Times New Roman" w:cs="Times New Roman"/>
          <w:sz w:val="18"/>
          <w:szCs w:val="18"/>
        </w:rPr>
        <w:t>Carcinoma prostate (</w:t>
      </w:r>
      <w:proofErr w:type="spellStart"/>
      <w:r w:rsidRPr="00531701">
        <w:rPr>
          <w:rFonts w:ascii="Times New Roman" w:hAnsi="Times New Roman" w:cs="Times New Roman"/>
          <w:sz w:val="18"/>
          <w:szCs w:val="18"/>
        </w:rPr>
        <w:t>CaP</w:t>
      </w:r>
      <w:proofErr w:type="spellEnd"/>
      <w:r w:rsidRPr="00531701">
        <w:rPr>
          <w:rFonts w:ascii="Times New Roman" w:hAnsi="Times New Roman" w:cs="Times New Roman"/>
          <w:sz w:val="18"/>
          <w:szCs w:val="18"/>
        </w:rPr>
        <w:t xml:space="preserve">) patients with skeletal metastases, </w:t>
      </w:r>
      <w:r w:rsidR="00767E68" w:rsidRPr="00531701">
        <w:rPr>
          <w:rFonts w:ascii="Times New Roman" w:hAnsi="Times New Roman" w:cs="Times New Roman"/>
          <w:sz w:val="18"/>
          <w:szCs w:val="18"/>
        </w:rPr>
        <w:t xml:space="preserve">on </w:t>
      </w:r>
      <w:r w:rsidRPr="00531701">
        <w:rPr>
          <w:rFonts w:ascii="Times New Roman" w:hAnsi="Times New Roman" w:cs="Times New Roman"/>
          <w:sz w:val="18"/>
          <w:szCs w:val="18"/>
        </w:rPr>
        <w:t>ADT and co-existing osteoporo</w:t>
      </w:r>
      <w:r w:rsidR="00BA542A" w:rsidRPr="00531701">
        <w:rPr>
          <w:rFonts w:ascii="Times New Roman" w:hAnsi="Times New Roman" w:cs="Times New Roman"/>
          <w:sz w:val="18"/>
          <w:szCs w:val="18"/>
        </w:rPr>
        <w:t>sis have more bone events</w:t>
      </w:r>
      <w:r w:rsidRPr="00531701">
        <w:rPr>
          <w:rFonts w:ascii="Times New Roman" w:hAnsi="Times New Roman" w:cs="Times New Roman"/>
          <w:sz w:val="18"/>
          <w:szCs w:val="18"/>
        </w:rPr>
        <w:t>. In this study we evaluate the bone health</w:t>
      </w:r>
      <w:r w:rsidR="00BA542A" w:rsidRPr="00531701">
        <w:rPr>
          <w:rFonts w:ascii="Times New Roman" w:hAnsi="Times New Roman" w:cs="Times New Roman"/>
          <w:sz w:val="18"/>
          <w:szCs w:val="18"/>
        </w:rPr>
        <w:t xml:space="preserve"> kinetics</w:t>
      </w:r>
      <w:r w:rsidRPr="00531701">
        <w:rPr>
          <w:rFonts w:ascii="Times New Roman" w:hAnsi="Times New Roman" w:cs="Times New Roman"/>
          <w:sz w:val="18"/>
          <w:szCs w:val="18"/>
        </w:rPr>
        <w:t xml:space="preserve"> in the management of </w:t>
      </w:r>
      <w:proofErr w:type="spellStart"/>
      <w:r w:rsidRPr="00531701">
        <w:rPr>
          <w:rFonts w:ascii="Times New Roman" w:hAnsi="Times New Roman" w:cs="Times New Roman"/>
          <w:sz w:val="18"/>
          <w:szCs w:val="18"/>
        </w:rPr>
        <w:t>CaP</w:t>
      </w:r>
      <w:proofErr w:type="spellEnd"/>
      <w:r w:rsidRPr="00531701">
        <w:rPr>
          <w:rFonts w:ascii="Times New Roman" w:hAnsi="Times New Roman" w:cs="Times New Roman"/>
          <w:sz w:val="18"/>
          <w:szCs w:val="18"/>
        </w:rPr>
        <w:t xml:space="preserve"> patients. </w:t>
      </w:r>
    </w:p>
    <w:p w:rsidR="004E47B7" w:rsidRPr="00531701" w:rsidRDefault="004E47B7" w:rsidP="00531701">
      <w:pPr>
        <w:spacing w:after="0" w:line="360" w:lineRule="auto"/>
        <w:rPr>
          <w:rFonts w:ascii="Times New Roman" w:hAnsi="Times New Roman" w:cs="Times New Roman"/>
          <w:b/>
          <w:sz w:val="18"/>
          <w:szCs w:val="18"/>
        </w:rPr>
      </w:pPr>
      <w:r w:rsidRPr="00531701">
        <w:rPr>
          <w:rFonts w:ascii="Times New Roman" w:hAnsi="Times New Roman" w:cs="Times New Roman"/>
          <w:b/>
          <w:color w:val="000000"/>
          <w:sz w:val="18"/>
          <w:szCs w:val="18"/>
          <w:shd w:val="clear" w:color="auto" w:fill="FFFFFF"/>
        </w:rPr>
        <w:t xml:space="preserve">Material and methods - </w:t>
      </w:r>
      <w:r w:rsidRPr="00531701">
        <w:rPr>
          <w:rFonts w:ascii="Times New Roman" w:hAnsi="Times New Roman" w:cs="Times New Roman"/>
          <w:sz w:val="18"/>
          <w:szCs w:val="18"/>
        </w:rPr>
        <w:t>A prospective observational study was performed in 101</w:t>
      </w:r>
      <w:r w:rsidR="00767E68" w:rsidRPr="00531701">
        <w:rPr>
          <w:rFonts w:ascii="Times New Roman" w:hAnsi="Times New Roman" w:cs="Times New Roman"/>
          <w:sz w:val="18"/>
          <w:szCs w:val="18"/>
        </w:rPr>
        <w:t xml:space="preserve"> </w:t>
      </w:r>
      <w:r w:rsidR="00BA542A" w:rsidRPr="00531701">
        <w:rPr>
          <w:rFonts w:ascii="Times New Roman" w:hAnsi="Times New Roman" w:cs="Times New Roman"/>
          <w:sz w:val="18"/>
          <w:szCs w:val="18"/>
        </w:rPr>
        <w:t>consecutive</w:t>
      </w:r>
      <w:r w:rsidR="00767E68" w:rsidRPr="00531701">
        <w:rPr>
          <w:rFonts w:ascii="Times New Roman" w:hAnsi="Times New Roman" w:cs="Times New Roman"/>
          <w:sz w:val="18"/>
          <w:szCs w:val="18"/>
        </w:rPr>
        <w:t xml:space="preserve"> patients of </w:t>
      </w:r>
      <w:proofErr w:type="spellStart"/>
      <w:r w:rsidR="00767E68" w:rsidRPr="00531701">
        <w:rPr>
          <w:rFonts w:ascii="Times New Roman" w:hAnsi="Times New Roman" w:cs="Times New Roman"/>
          <w:sz w:val="18"/>
          <w:szCs w:val="18"/>
        </w:rPr>
        <w:t>CaP</w:t>
      </w:r>
      <w:proofErr w:type="spellEnd"/>
      <w:r w:rsidR="00767E68" w:rsidRPr="00531701">
        <w:rPr>
          <w:rFonts w:ascii="Times New Roman" w:hAnsi="Times New Roman" w:cs="Times New Roman"/>
          <w:sz w:val="18"/>
          <w:szCs w:val="18"/>
        </w:rPr>
        <w:t xml:space="preserve"> </w:t>
      </w:r>
      <w:r w:rsidR="00BA542A" w:rsidRPr="00531701">
        <w:rPr>
          <w:rFonts w:ascii="Times New Roman" w:hAnsi="Times New Roman" w:cs="Times New Roman"/>
          <w:sz w:val="18"/>
          <w:szCs w:val="18"/>
        </w:rPr>
        <w:t>(</w:t>
      </w:r>
      <w:r w:rsidRPr="00531701">
        <w:rPr>
          <w:rFonts w:ascii="Times New Roman" w:hAnsi="Times New Roman" w:cs="Times New Roman"/>
          <w:sz w:val="18"/>
          <w:szCs w:val="18"/>
        </w:rPr>
        <w:t>on ADT</w:t>
      </w:r>
      <w:r w:rsidR="00BA542A" w:rsidRPr="00531701">
        <w:rPr>
          <w:rFonts w:ascii="Times New Roman" w:hAnsi="Times New Roman" w:cs="Times New Roman"/>
          <w:sz w:val="18"/>
          <w:szCs w:val="18"/>
        </w:rPr>
        <w:t xml:space="preserve"> or hormone naïve</w:t>
      </w:r>
      <w:r w:rsidRPr="00531701">
        <w:rPr>
          <w:rFonts w:ascii="Times New Roman" w:hAnsi="Times New Roman" w:cs="Times New Roman"/>
          <w:sz w:val="18"/>
          <w:szCs w:val="18"/>
        </w:rPr>
        <w:t>). The bone density was measured with DEXA Scan at lumbar spine, left/right femur neck at 1</w:t>
      </w:r>
      <w:r w:rsidRPr="00531701">
        <w:rPr>
          <w:rFonts w:ascii="Times New Roman" w:hAnsi="Times New Roman" w:cs="Times New Roman"/>
          <w:sz w:val="18"/>
          <w:szCs w:val="18"/>
          <w:vertAlign w:val="superscript"/>
        </w:rPr>
        <w:t>st</w:t>
      </w:r>
      <w:r w:rsidRPr="00531701">
        <w:rPr>
          <w:rFonts w:ascii="Times New Roman" w:hAnsi="Times New Roman" w:cs="Times New Roman"/>
          <w:sz w:val="18"/>
          <w:szCs w:val="18"/>
        </w:rPr>
        <w:t xml:space="preserve"> visit, 3</w:t>
      </w:r>
      <w:r w:rsidRPr="00531701">
        <w:rPr>
          <w:rFonts w:ascii="Times New Roman" w:hAnsi="Times New Roman" w:cs="Times New Roman"/>
          <w:sz w:val="18"/>
          <w:szCs w:val="18"/>
          <w:vertAlign w:val="superscript"/>
        </w:rPr>
        <w:t>rd</w:t>
      </w:r>
      <w:r w:rsidRPr="00531701">
        <w:rPr>
          <w:rFonts w:ascii="Times New Roman" w:hAnsi="Times New Roman" w:cs="Times New Roman"/>
          <w:sz w:val="18"/>
          <w:szCs w:val="18"/>
        </w:rPr>
        <w:t xml:space="preserve"> and 6</w:t>
      </w:r>
      <w:r w:rsidRPr="00531701">
        <w:rPr>
          <w:rFonts w:ascii="Times New Roman" w:hAnsi="Times New Roman" w:cs="Times New Roman"/>
          <w:sz w:val="18"/>
          <w:szCs w:val="18"/>
          <w:vertAlign w:val="superscript"/>
        </w:rPr>
        <w:t>th</w:t>
      </w:r>
      <w:r w:rsidRPr="00531701">
        <w:rPr>
          <w:rFonts w:ascii="Times New Roman" w:hAnsi="Times New Roman" w:cs="Times New Roman"/>
          <w:sz w:val="18"/>
          <w:szCs w:val="18"/>
        </w:rPr>
        <w:t xml:space="preserve"> month. Patients with negative T-Score were started on </w:t>
      </w:r>
      <w:proofErr w:type="spellStart"/>
      <w:r w:rsidR="00DC0376" w:rsidRPr="00531701">
        <w:rPr>
          <w:rFonts w:ascii="Times New Roman" w:hAnsi="Times New Roman" w:cs="Times New Roman"/>
          <w:sz w:val="18"/>
          <w:szCs w:val="18"/>
        </w:rPr>
        <w:t>zole</w:t>
      </w:r>
      <w:r w:rsidRPr="00531701">
        <w:rPr>
          <w:rFonts w:ascii="Times New Roman" w:hAnsi="Times New Roman" w:cs="Times New Roman"/>
          <w:sz w:val="18"/>
          <w:szCs w:val="18"/>
        </w:rPr>
        <w:t>ndronic</w:t>
      </w:r>
      <w:proofErr w:type="spellEnd"/>
      <w:r w:rsidRPr="00531701">
        <w:rPr>
          <w:rFonts w:ascii="Times New Roman" w:hAnsi="Times New Roman" w:cs="Times New Roman"/>
          <w:sz w:val="18"/>
          <w:szCs w:val="18"/>
        </w:rPr>
        <w:t xml:space="preserve"> acid (Z) or </w:t>
      </w:r>
      <w:proofErr w:type="spellStart"/>
      <w:r w:rsidR="00DC0376" w:rsidRPr="00531701">
        <w:rPr>
          <w:rFonts w:ascii="Times New Roman" w:hAnsi="Times New Roman" w:cs="Times New Roman"/>
          <w:sz w:val="18"/>
          <w:szCs w:val="18"/>
        </w:rPr>
        <w:t>denosumab</w:t>
      </w:r>
      <w:proofErr w:type="spellEnd"/>
      <w:r w:rsidRPr="00531701">
        <w:rPr>
          <w:rFonts w:ascii="Times New Roman" w:hAnsi="Times New Roman" w:cs="Times New Roman"/>
          <w:sz w:val="18"/>
          <w:szCs w:val="18"/>
        </w:rPr>
        <w:t xml:space="preserve"> (D).</w:t>
      </w:r>
    </w:p>
    <w:p w:rsidR="004E47B7" w:rsidRPr="00531701" w:rsidRDefault="004E7A45" w:rsidP="00531701">
      <w:pPr>
        <w:spacing w:after="0" w:line="360" w:lineRule="auto"/>
        <w:rPr>
          <w:rFonts w:ascii="Times New Roman" w:hAnsi="Times New Roman" w:cs="Times New Roman"/>
          <w:sz w:val="18"/>
          <w:szCs w:val="18"/>
        </w:rPr>
      </w:pPr>
      <w:r w:rsidRPr="00531701">
        <w:rPr>
          <w:rFonts w:ascii="Times New Roman" w:hAnsi="Times New Roman" w:cs="Times New Roman"/>
          <w:b/>
          <w:sz w:val="18"/>
          <w:szCs w:val="18"/>
        </w:rPr>
        <w:t xml:space="preserve">Results- </w:t>
      </w:r>
      <w:r w:rsidR="00BB08A9" w:rsidRPr="00531701">
        <w:rPr>
          <w:rFonts w:ascii="Times New Roman" w:hAnsi="Times New Roman" w:cs="Times New Roman"/>
          <w:sz w:val="18"/>
          <w:szCs w:val="18"/>
        </w:rPr>
        <w:t>Forty s</w:t>
      </w:r>
      <w:r w:rsidRPr="00531701">
        <w:rPr>
          <w:rFonts w:ascii="Times New Roman" w:hAnsi="Times New Roman" w:cs="Times New Roman"/>
          <w:sz w:val="18"/>
          <w:szCs w:val="18"/>
        </w:rPr>
        <w:t>even</w:t>
      </w:r>
      <w:r w:rsidR="004E47B7" w:rsidRPr="00531701">
        <w:rPr>
          <w:rFonts w:ascii="Times New Roman" w:hAnsi="Times New Roman" w:cs="Times New Roman"/>
          <w:sz w:val="18"/>
          <w:szCs w:val="18"/>
        </w:rPr>
        <w:t xml:space="preserve"> patients</w:t>
      </w:r>
      <w:r w:rsidRPr="00531701">
        <w:rPr>
          <w:rFonts w:ascii="Times New Roman" w:hAnsi="Times New Roman" w:cs="Times New Roman"/>
          <w:sz w:val="18"/>
          <w:szCs w:val="18"/>
        </w:rPr>
        <w:t xml:space="preserve"> were</w:t>
      </w:r>
      <w:r w:rsidR="004E47B7" w:rsidRPr="00531701">
        <w:rPr>
          <w:rFonts w:ascii="Times New Roman" w:hAnsi="Times New Roman" w:cs="Times New Roman"/>
          <w:sz w:val="18"/>
          <w:szCs w:val="18"/>
        </w:rPr>
        <w:t xml:space="preserve"> started on Z,</w:t>
      </w:r>
      <w:r w:rsidRPr="00531701">
        <w:rPr>
          <w:rFonts w:ascii="Times New Roman" w:hAnsi="Times New Roman" w:cs="Times New Roman"/>
          <w:sz w:val="18"/>
          <w:szCs w:val="18"/>
        </w:rPr>
        <w:t xml:space="preserve"> out of them, </w:t>
      </w:r>
      <w:r w:rsidR="004E47B7" w:rsidRPr="00531701">
        <w:rPr>
          <w:rFonts w:ascii="Times New Roman" w:hAnsi="Times New Roman" w:cs="Times New Roman"/>
          <w:sz w:val="18"/>
          <w:szCs w:val="18"/>
        </w:rPr>
        <w:t>27 (57.5 %) were significantly improved and sh</w:t>
      </w:r>
      <w:r w:rsidR="00767E68" w:rsidRPr="00531701">
        <w:rPr>
          <w:rFonts w:ascii="Times New Roman" w:hAnsi="Times New Roman" w:cs="Times New Roman"/>
          <w:sz w:val="18"/>
          <w:szCs w:val="18"/>
        </w:rPr>
        <w:t>owed positive change in BMD with</w:t>
      </w:r>
      <w:r w:rsidR="004E47B7" w:rsidRPr="00531701">
        <w:rPr>
          <w:rFonts w:ascii="Times New Roman" w:hAnsi="Times New Roman" w:cs="Times New Roman"/>
          <w:sz w:val="18"/>
          <w:szCs w:val="18"/>
        </w:rPr>
        <w:t xml:space="preserve"> improvement in T-score (p &lt; 0.05). Five patients with borderline renal function at 3</w:t>
      </w:r>
      <w:r w:rsidR="004E47B7" w:rsidRPr="00531701">
        <w:rPr>
          <w:rFonts w:ascii="Times New Roman" w:hAnsi="Times New Roman" w:cs="Times New Roman"/>
          <w:sz w:val="18"/>
          <w:szCs w:val="18"/>
          <w:vertAlign w:val="superscript"/>
        </w:rPr>
        <w:t>rd</w:t>
      </w:r>
      <w:r w:rsidR="004E47B7" w:rsidRPr="00531701">
        <w:rPr>
          <w:rFonts w:ascii="Times New Roman" w:hAnsi="Times New Roman" w:cs="Times New Roman"/>
          <w:sz w:val="18"/>
          <w:szCs w:val="18"/>
        </w:rPr>
        <w:t xml:space="preserve"> month were shifted to D. Also, 15 patients did not improve at 3</w:t>
      </w:r>
      <w:r w:rsidR="004E47B7" w:rsidRPr="00531701">
        <w:rPr>
          <w:rFonts w:ascii="Times New Roman" w:hAnsi="Times New Roman" w:cs="Times New Roman"/>
          <w:sz w:val="18"/>
          <w:szCs w:val="18"/>
          <w:vertAlign w:val="superscript"/>
        </w:rPr>
        <w:t>rd</w:t>
      </w:r>
      <w:r w:rsidR="004E47B7" w:rsidRPr="00531701">
        <w:rPr>
          <w:rFonts w:ascii="Times New Roman" w:hAnsi="Times New Roman" w:cs="Times New Roman"/>
          <w:sz w:val="18"/>
          <w:szCs w:val="18"/>
        </w:rPr>
        <w:t xml:space="preserve"> month </w:t>
      </w:r>
      <w:r w:rsidR="00767E68" w:rsidRPr="00531701">
        <w:rPr>
          <w:rFonts w:ascii="Times New Roman" w:hAnsi="Times New Roman" w:cs="Times New Roman"/>
          <w:sz w:val="18"/>
          <w:szCs w:val="18"/>
        </w:rPr>
        <w:t>and they were shifted to D. Out of these</w:t>
      </w:r>
      <w:r w:rsidR="004E47B7" w:rsidRPr="00531701">
        <w:rPr>
          <w:rFonts w:ascii="Times New Roman" w:hAnsi="Times New Roman" w:cs="Times New Roman"/>
          <w:sz w:val="18"/>
          <w:szCs w:val="18"/>
        </w:rPr>
        <w:t xml:space="preserve"> 20 patients on D, 16 patients showed improvement in BMD though p value was not significant. </w:t>
      </w:r>
    </w:p>
    <w:p w:rsidR="004E47B7" w:rsidRPr="00531701" w:rsidRDefault="006F27B1" w:rsidP="00531701">
      <w:pPr>
        <w:spacing w:after="0" w:line="360" w:lineRule="auto"/>
        <w:rPr>
          <w:rFonts w:ascii="Times New Roman" w:hAnsi="Times New Roman" w:cs="Times New Roman"/>
          <w:sz w:val="18"/>
          <w:szCs w:val="18"/>
        </w:rPr>
      </w:pPr>
      <w:r w:rsidRPr="00531701">
        <w:rPr>
          <w:rFonts w:ascii="Times New Roman" w:hAnsi="Times New Roman" w:cs="Times New Roman"/>
          <w:sz w:val="18"/>
          <w:szCs w:val="18"/>
        </w:rPr>
        <w:t>Thirty nine</w:t>
      </w:r>
      <w:r w:rsidR="00767E68" w:rsidRPr="00531701">
        <w:rPr>
          <w:rFonts w:ascii="Times New Roman" w:hAnsi="Times New Roman" w:cs="Times New Roman"/>
          <w:sz w:val="18"/>
          <w:szCs w:val="18"/>
        </w:rPr>
        <w:t xml:space="preserve"> p</w:t>
      </w:r>
      <w:r w:rsidRPr="00531701">
        <w:rPr>
          <w:rFonts w:ascii="Times New Roman" w:hAnsi="Times New Roman" w:cs="Times New Roman"/>
          <w:sz w:val="18"/>
          <w:szCs w:val="18"/>
        </w:rPr>
        <w:t>atients were given</w:t>
      </w:r>
      <w:r w:rsidR="00767E68" w:rsidRPr="00531701">
        <w:rPr>
          <w:rFonts w:ascii="Times New Roman" w:hAnsi="Times New Roman" w:cs="Times New Roman"/>
          <w:sz w:val="18"/>
          <w:szCs w:val="18"/>
        </w:rPr>
        <w:t xml:space="preserve"> D as initial</w:t>
      </w:r>
      <w:r w:rsidR="004E47B7" w:rsidRPr="00531701">
        <w:rPr>
          <w:rFonts w:ascii="Times New Roman" w:hAnsi="Times New Roman" w:cs="Times New Roman"/>
          <w:sz w:val="18"/>
          <w:szCs w:val="18"/>
        </w:rPr>
        <w:t xml:space="preserve"> treatment modality and showed significant improvement (p &lt; 0.05). Out of</w:t>
      </w:r>
      <w:r w:rsidR="00767E68" w:rsidRPr="00531701">
        <w:rPr>
          <w:rFonts w:ascii="Times New Roman" w:hAnsi="Times New Roman" w:cs="Times New Roman"/>
          <w:sz w:val="18"/>
          <w:szCs w:val="18"/>
        </w:rPr>
        <w:t xml:space="preserve"> the</w:t>
      </w:r>
      <w:r w:rsidR="004E47B7" w:rsidRPr="00531701">
        <w:rPr>
          <w:rFonts w:ascii="Times New Roman" w:hAnsi="Times New Roman" w:cs="Times New Roman"/>
          <w:sz w:val="18"/>
          <w:szCs w:val="18"/>
        </w:rPr>
        <w:t xml:space="preserve"> 15 patients who had high baseline BMD, 11 showed positive change (p </w:t>
      </w:r>
      <w:r w:rsidRPr="00531701">
        <w:rPr>
          <w:rFonts w:ascii="Times New Roman" w:hAnsi="Times New Roman" w:cs="Times New Roman"/>
          <w:sz w:val="18"/>
          <w:szCs w:val="18"/>
        </w:rPr>
        <w:t>value not significant) with</w:t>
      </w:r>
      <w:r w:rsidR="004E47B7" w:rsidRPr="00531701">
        <w:rPr>
          <w:rFonts w:ascii="Times New Roman" w:hAnsi="Times New Roman" w:cs="Times New Roman"/>
          <w:sz w:val="18"/>
          <w:szCs w:val="18"/>
        </w:rPr>
        <w:t xml:space="preserve"> calcium and vitamin D supplementation</w:t>
      </w:r>
      <w:r w:rsidRPr="00531701">
        <w:rPr>
          <w:rFonts w:ascii="Times New Roman" w:hAnsi="Times New Roman" w:cs="Times New Roman"/>
          <w:sz w:val="18"/>
          <w:szCs w:val="18"/>
        </w:rPr>
        <w:t xml:space="preserve"> only</w:t>
      </w:r>
      <w:r w:rsidR="004E47B7" w:rsidRPr="00531701">
        <w:rPr>
          <w:rFonts w:ascii="Times New Roman" w:hAnsi="Times New Roman" w:cs="Times New Roman"/>
          <w:sz w:val="18"/>
          <w:szCs w:val="18"/>
        </w:rPr>
        <w:t xml:space="preserve"> at 3 and 6 month BMD measurements. Four patients were started on Z at 3</w:t>
      </w:r>
      <w:r w:rsidR="004E47B7" w:rsidRPr="00531701">
        <w:rPr>
          <w:rFonts w:ascii="Times New Roman" w:hAnsi="Times New Roman" w:cs="Times New Roman"/>
          <w:sz w:val="18"/>
          <w:szCs w:val="18"/>
          <w:vertAlign w:val="superscript"/>
        </w:rPr>
        <w:t>rd</w:t>
      </w:r>
      <w:r w:rsidR="004E47B7" w:rsidRPr="00531701">
        <w:rPr>
          <w:rFonts w:ascii="Times New Roman" w:hAnsi="Times New Roman" w:cs="Times New Roman"/>
          <w:sz w:val="18"/>
          <w:szCs w:val="18"/>
        </w:rPr>
        <w:t xml:space="preserve"> month.</w:t>
      </w:r>
    </w:p>
    <w:p w:rsidR="004E47B7" w:rsidRPr="00531701" w:rsidRDefault="004E47B7" w:rsidP="00531701">
      <w:pPr>
        <w:spacing w:after="0" w:line="360" w:lineRule="auto"/>
        <w:rPr>
          <w:rFonts w:ascii="Times New Roman" w:hAnsi="Times New Roman" w:cs="Times New Roman"/>
          <w:sz w:val="18"/>
          <w:szCs w:val="18"/>
        </w:rPr>
      </w:pPr>
      <w:r w:rsidRPr="00531701">
        <w:rPr>
          <w:rFonts w:ascii="Times New Roman" w:hAnsi="Times New Roman" w:cs="Times New Roman"/>
          <w:b/>
          <w:sz w:val="18"/>
          <w:szCs w:val="18"/>
        </w:rPr>
        <w:t xml:space="preserve">Conclusion - </w:t>
      </w:r>
      <w:r w:rsidR="006F27B1" w:rsidRPr="00531701">
        <w:rPr>
          <w:rFonts w:ascii="Times New Roman" w:hAnsi="Times New Roman" w:cs="Times New Roman"/>
          <w:sz w:val="18"/>
          <w:szCs w:val="18"/>
        </w:rPr>
        <w:t xml:space="preserve">There is </w:t>
      </w:r>
      <w:r w:rsidR="004E7A45" w:rsidRPr="00531701">
        <w:rPr>
          <w:rFonts w:ascii="Times New Roman" w:hAnsi="Times New Roman" w:cs="Times New Roman"/>
          <w:sz w:val="18"/>
          <w:szCs w:val="18"/>
        </w:rPr>
        <w:t xml:space="preserve">a </w:t>
      </w:r>
      <w:r w:rsidR="006F27B1" w:rsidRPr="00531701">
        <w:rPr>
          <w:rFonts w:ascii="Times New Roman" w:hAnsi="Times New Roman" w:cs="Times New Roman"/>
          <w:sz w:val="18"/>
          <w:szCs w:val="18"/>
        </w:rPr>
        <w:t>need</w:t>
      </w:r>
      <w:r w:rsidRPr="00531701">
        <w:rPr>
          <w:rFonts w:ascii="Times New Roman" w:hAnsi="Times New Roman" w:cs="Times New Roman"/>
          <w:sz w:val="18"/>
          <w:szCs w:val="18"/>
        </w:rPr>
        <w:t xml:space="preserve"> </w:t>
      </w:r>
      <w:r w:rsidR="00BA542A" w:rsidRPr="00531701">
        <w:rPr>
          <w:rFonts w:ascii="Times New Roman" w:hAnsi="Times New Roman" w:cs="Times New Roman"/>
          <w:sz w:val="18"/>
          <w:szCs w:val="18"/>
        </w:rPr>
        <w:t xml:space="preserve">to sensitize </w:t>
      </w:r>
      <w:r w:rsidRPr="00531701">
        <w:rPr>
          <w:rFonts w:ascii="Times New Roman" w:hAnsi="Times New Roman" w:cs="Times New Roman"/>
          <w:sz w:val="18"/>
          <w:szCs w:val="18"/>
        </w:rPr>
        <w:t>urologists regarding bone health kinetics and early preventive or curative measures. Thus in turn prevent fractures and other skeletal related events in this group of population.</w:t>
      </w:r>
    </w:p>
    <w:p w:rsidR="004E47B7" w:rsidRPr="00531701" w:rsidRDefault="00991E84" w:rsidP="00531701">
      <w:pPr>
        <w:spacing w:after="0" w:line="360" w:lineRule="auto"/>
        <w:rPr>
          <w:rFonts w:ascii="Times New Roman" w:hAnsi="Times New Roman" w:cs="Times New Roman"/>
          <w:b/>
          <w:sz w:val="18"/>
          <w:szCs w:val="18"/>
        </w:rPr>
      </w:pPr>
      <w:r w:rsidRPr="00531701">
        <w:rPr>
          <w:rFonts w:ascii="Times New Roman" w:hAnsi="Times New Roman" w:cs="Times New Roman"/>
          <w:b/>
          <w:sz w:val="18"/>
          <w:szCs w:val="18"/>
        </w:rPr>
        <w:t xml:space="preserve">Keywords: </w:t>
      </w:r>
      <w:r w:rsidRPr="00531701">
        <w:rPr>
          <w:rFonts w:ascii="Times New Roman" w:hAnsi="Times New Roman" w:cs="Times New Roman"/>
          <w:sz w:val="18"/>
          <w:szCs w:val="18"/>
        </w:rPr>
        <w:t>Carcinoma prostate, bone health, osteoporosis</w:t>
      </w:r>
      <w:r w:rsidR="00BA542A" w:rsidRPr="00531701">
        <w:rPr>
          <w:rFonts w:ascii="Times New Roman" w:hAnsi="Times New Roman" w:cs="Times New Roman"/>
          <w:sz w:val="18"/>
          <w:szCs w:val="18"/>
        </w:rPr>
        <w:t>,</w:t>
      </w:r>
      <w:r w:rsidR="0051765C" w:rsidRPr="00531701">
        <w:rPr>
          <w:rFonts w:ascii="Times New Roman" w:hAnsi="Times New Roman" w:cs="Times New Roman"/>
          <w:sz w:val="18"/>
          <w:szCs w:val="18"/>
        </w:rPr>
        <w:t xml:space="preserve"> </w:t>
      </w:r>
      <w:r w:rsidR="003412A9" w:rsidRPr="00531701">
        <w:rPr>
          <w:rFonts w:ascii="Times New Roman" w:hAnsi="Times New Roman" w:cs="Times New Roman"/>
          <w:sz w:val="18"/>
          <w:szCs w:val="18"/>
        </w:rPr>
        <w:t>bone</w:t>
      </w:r>
      <w:r w:rsidR="00BA542A" w:rsidRPr="00531701">
        <w:rPr>
          <w:rFonts w:ascii="Times New Roman" w:hAnsi="Times New Roman" w:cs="Times New Roman"/>
          <w:sz w:val="18"/>
          <w:szCs w:val="18"/>
        </w:rPr>
        <w:t xml:space="preserve"> events.</w:t>
      </w:r>
    </w:p>
    <w:p w:rsidR="00531701" w:rsidRDefault="00531701" w:rsidP="00531701">
      <w:pPr>
        <w:spacing w:after="0" w:line="360" w:lineRule="auto"/>
        <w:rPr>
          <w:rFonts w:ascii="Times New Roman" w:hAnsi="Times New Roman" w:cs="Times New Roman"/>
          <w:b/>
          <w:sz w:val="20"/>
          <w:szCs w:val="20"/>
        </w:rPr>
      </w:pPr>
    </w:p>
    <w:p w:rsidR="00531701" w:rsidRDefault="00531701" w:rsidP="00531701">
      <w:pPr>
        <w:spacing w:after="0" w:line="360" w:lineRule="auto"/>
        <w:rPr>
          <w:rFonts w:ascii="Times New Roman" w:hAnsi="Times New Roman" w:cs="Times New Roman"/>
          <w:b/>
          <w:sz w:val="20"/>
          <w:szCs w:val="20"/>
        </w:rPr>
      </w:pPr>
    </w:p>
    <w:p w:rsidR="004E47B7" w:rsidRPr="00531701" w:rsidRDefault="004E47B7" w:rsidP="00531701">
      <w:pPr>
        <w:spacing w:after="0" w:line="360" w:lineRule="auto"/>
        <w:rPr>
          <w:rFonts w:ascii="Times New Roman" w:hAnsi="Times New Roman" w:cs="Times New Roman"/>
          <w:b/>
          <w:sz w:val="20"/>
          <w:szCs w:val="20"/>
        </w:rPr>
      </w:pPr>
      <w:r w:rsidRPr="00531701">
        <w:rPr>
          <w:rFonts w:ascii="Times New Roman" w:hAnsi="Times New Roman" w:cs="Times New Roman"/>
          <w:b/>
          <w:sz w:val="20"/>
          <w:szCs w:val="20"/>
        </w:rPr>
        <w:t xml:space="preserve">Introduction: </w:t>
      </w:r>
    </w:p>
    <w:p w:rsidR="004E47B7" w:rsidRPr="004D0C03" w:rsidRDefault="004E47B7" w:rsidP="00531701">
      <w:pPr>
        <w:spacing w:after="0" w:line="360" w:lineRule="auto"/>
        <w:rPr>
          <w:rFonts w:ascii="Times New Roman" w:hAnsi="Times New Roman" w:cs="Times New Roman"/>
          <w:sz w:val="20"/>
          <w:szCs w:val="20"/>
          <w:vertAlign w:val="superscript"/>
        </w:rPr>
      </w:pPr>
      <w:r w:rsidRPr="00531701">
        <w:rPr>
          <w:rFonts w:ascii="Times New Roman" w:hAnsi="Times New Roman" w:cs="Times New Roman"/>
          <w:sz w:val="20"/>
          <w:szCs w:val="20"/>
        </w:rPr>
        <w:t>Carcinoma Prostate (</w:t>
      </w:r>
      <w:proofErr w:type="spellStart"/>
      <w:r w:rsidRPr="00531701">
        <w:rPr>
          <w:rFonts w:ascii="Times New Roman" w:hAnsi="Times New Roman" w:cs="Times New Roman"/>
          <w:sz w:val="20"/>
          <w:szCs w:val="20"/>
        </w:rPr>
        <w:t>CaP</w:t>
      </w:r>
      <w:proofErr w:type="spellEnd"/>
      <w:r w:rsidRPr="00531701">
        <w:rPr>
          <w:rFonts w:ascii="Times New Roman" w:hAnsi="Times New Roman" w:cs="Times New Roman"/>
          <w:sz w:val="20"/>
          <w:szCs w:val="20"/>
        </w:rPr>
        <w:t xml:space="preserve">) is the fifth </w:t>
      </w:r>
      <w:r w:rsidR="006F27B1" w:rsidRPr="00531701">
        <w:rPr>
          <w:rFonts w:ascii="Times New Roman" w:hAnsi="Times New Roman" w:cs="Times New Roman"/>
          <w:sz w:val="20"/>
          <w:szCs w:val="20"/>
        </w:rPr>
        <w:t>most common cancer in the world,</w:t>
      </w:r>
      <w:r w:rsidR="0051765C" w:rsidRPr="00531701">
        <w:rPr>
          <w:rFonts w:ascii="Times New Roman" w:hAnsi="Times New Roman" w:cs="Times New Roman"/>
          <w:sz w:val="20"/>
          <w:szCs w:val="20"/>
        </w:rPr>
        <w:t xml:space="preserve"> </w:t>
      </w:r>
      <w:r w:rsidRPr="00531701">
        <w:rPr>
          <w:rFonts w:ascii="Times New Roman" w:hAnsi="Times New Roman" w:cs="Times New Roman"/>
          <w:sz w:val="20"/>
          <w:szCs w:val="20"/>
          <w:vertAlign w:val="superscript"/>
        </w:rPr>
        <w:t>[1]</w:t>
      </w:r>
      <w:r w:rsidR="006F27B1" w:rsidRPr="00531701">
        <w:rPr>
          <w:rFonts w:ascii="Times New Roman" w:hAnsi="Times New Roman" w:cs="Times New Roman"/>
          <w:sz w:val="20"/>
          <w:szCs w:val="20"/>
        </w:rPr>
        <w:t xml:space="preserve"> </w:t>
      </w:r>
      <w:r w:rsidRPr="00531701">
        <w:rPr>
          <w:rFonts w:ascii="Times New Roman" w:hAnsi="Times New Roman" w:cs="Times New Roman"/>
          <w:sz w:val="20"/>
          <w:szCs w:val="20"/>
        </w:rPr>
        <w:t>most prevalent in Caucasians and least prevalent among Asians</w:t>
      </w:r>
      <w:proofErr w:type="gramStart"/>
      <w:r w:rsidRPr="00531701">
        <w:rPr>
          <w:rFonts w:ascii="Times New Roman" w:hAnsi="Times New Roman" w:cs="Times New Roman"/>
          <w:sz w:val="20"/>
          <w:szCs w:val="20"/>
        </w:rPr>
        <w:t>.</w:t>
      </w:r>
      <w:r w:rsidRPr="00531701">
        <w:rPr>
          <w:rFonts w:ascii="Times New Roman" w:hAnsi="Times New Roman" w:cs="Times New Roman"/>
          <w:sz w:val="20"/>
          <w:szCs w:val="20"/>
          <w:vertAlign w:val="superscript"/>
        </w:rPr>
        <w:t>[</w:t>
      </w:r>
      <w:proofErr w:type="gramEnd"/>
      <w:r w:rsidRPr="00531701">
        <w:rPr>
          <w:rFonts w:ascii="Times New Roman" w:hAnsi="Times New Roman" w:cs="Times New Roman"/>
          <w:sz w:val="20"/>
          <w:szCs w:val="20"/>
          <w:vertAlign w:val="superscript"/>
        </w:rPr>
        <w:t>2, 3]</w:t>
      </w:r>
      <w:r w:rsidR="0090231F" w:rsidRPr="00531701">
        <w:rPr>
          <w:rFonts w:ascii="Times New Roman" w:hAnsi="Times New Roman" w:cs="Times New Roman"/>
          <w:sz w:val="20"/>
          <w:szCs w:val="20"/>
        </w:rPr>
        <w:t xml:space="preserve"> In India, it is the second</w:t>
      </w:r>
      <w:r w:rsidRPr="00531701">
        <w:rPr>
          <w:rFonts w:ascii="Times New Roman" w:hAnsi="Times New Roman" w:cs="Times New Roman"/>
          <w:sz w:val="20"/>
          <w:szCs w:val="20"/>
        </w:rPr>
        <w:t xml:space="preserve"> most common cancer found in males (5.28%) as registered in Delhi region in The National Cancer Registry Program (NCRP).</w:t>
      </w:r>
      <w:r w:rsidRPr="00531701">
        <w:rPr>
          <w:rFonts w:ascii="Times New Roman" w:hAnsi="Times New Roman" w:cs="Times New Roman"/>
          <w:sz w:val="20"/>
          <w:szCs w:val="20"/>
          <w:vertAlign w:val="superscript"/>
        </w:rPr>
        <w:t>[4]</w:t>
      </w:r>
      <w:r w:rsidR="006F27B1" w:rsidRPr="00531701">
        <w:rPr>
          <w:rFonts w:ascii="Times New Roman" w:hAnsi="Times New Roman" w:cs="Times New Roman"/>
          <w:sz w:val="20"/>
          <w:szCs w:val="20"/>
          <w:vertAlign w:val="superscript"/>
        </w:rPr>
        <w:t xml:space="preserve"> </w:t>
      </w:r>
      <w:r w:rsidR="004D0C03">
        <w:rPr>
          <w:rFonts w:ascii="Times New Roman" w:hAnsi="Times New Roman" w:cs="Times New Roman"/>
          <w:sz w:val="20"/>
          <w:szCs w:val="20"/>
          <w:vertAlign w:val="superscript"/>
        </w:rPr>
        <w:t xml:space="preserve"> </w:t>
      </w:r>
      <w:r w:rsidRPr="00531701">
        <w:rPr>
          <w:rFonts w:ascii="Times New Roman" w:hAnsi="Times New Roman" w:cs="Times New Roman"/>
          <w:sz w:val="20"/>
          <w:szCs w:val="20"/>
        </w:rPr>
        <w:t>For advanced and metastatic prostate cancer, ADT (androgen deprivation therapy) is the prime mode of treatment. In contemporary times, awareness of the potential bone-health complications consequent to ADT use is increasing. Multiple studies have shown that increased duration of ADT leads to significant bone loss and increased fracture risk that negatively</w:t>
      </w:r>
      <w:r w:rsidR="00767E68" w:rsidRPr="00531701">
        <w:rPr>
          <w:rFonts w:ascii="Times New Roman" w:hAnsi="Times New Roman" w:cs="Times New Roman"/>
          <w:sz w:val="20"/>
          <w:szCs w:val="20"/>
        </w:rPr>
        <w:t xml:space="preserve"> </w:t>
      </w:r>
      <w:r w:rsidRPr="00531701">
        <w:rPr>
          <w:rFonts w:ascii="Times New Roman" w:hAnsi="Times New Roman" w:cs="Times New Roman"/>
          <w:sz w:val="20"/>
          <w:szCs w:val="20"/>
        </w:rPr>
        <w:t xml:space="preserve">affects quality of life (QOL). Majority of men with </w:t>
      </w:r>
      <w:proofErr w:type="spellStart"/>
      <w:r w:rsidRPr="00531701">
        <w:rPr>
          <w:rFonts w:ascii="Times New Roman" w:hAnsi="Times New Roman" w:cs="Times New Roman"/>
          <w:sz w:val="20"/>
          <w:szCs w:val="20"/>
        </w:rPr>
        <w:t>CaP</w:t>
      </w:r>
      <w:proofErr w:type="spellEnd"/>
      <w:r w:rsidRPr="00531701">
        <w:rPr>
          <w:rFonts w:ascii="Times New Roman" w:hAnsi="Times New Roman" w:cs="Times New Roman"/>
          <w:sz w:val="20"/>
          <w:szCs w:val="20"/>
        </w:rPr>
        <w:t xml:space="preserve"> are older </w:t>
      </w:r>
      <w:r w:rsidRPr="00531701">
        <w:rPr>
          <w:rFonts w:ascii="Times New Roman" w:hAnsi="Times New Roman" w:cs="Times New Roman"/>
          <w:sz w:val="20"/>
          <w:szCs w:val="20"/>
        </w:rPr>
        <w:lastRenderedPageBreak/>
        <w:t>than 65 and already at risk for osteoporosis or fragility fracture</w:t>
      </w:r>
      <w:r w:rsidRPr="00531701">
        <w:rPr>
          <w:rFonts w:ascii="Times New Roman" w:hAnsi="Times New Roman" w:cs="Times New Roman"/>
          <w:color w:val="000000"/>
          <w:w w:val="125"/>
          <w:sz w:val="20"/>
          <w:szCs w:val="20"/>
        </w:rPr>
        <w:t>.</w:t>
      </w:r>
      <w:r w:rsidR="0051765C" w:rsidRPr="00531701">
        <w:rPr>
          <w:rFonts w:ascii="Times New Roman" w:hAnsi="Times New Roman" w:cs="Times New Roman"/>
          <w:color w:val="000000"/>
          <w:w w:val="125"/>
          <w:sz w:val="20"/>
          <w:szCs w:val="20"/>
        </w:rPr>
        <w:t xml:space="preserve"> </w:t>
      </w:r>
      <w:r w:rsidRPr="00531701">
        <w:rPr>
          <w:rFonts w:ascii="Times New Roman" w:hAnsi="Times New Roman" w:cs="Times New Roman"/>
          <w:color w:val="000000"/>
          <w:w w:val="125"/>
          <w:sz w:val="20"/>
          <w:szCs w:val="20"/>
          <w:vertAlign w:val="superscript"/>
        </w:rPr>
        <w:t>[5]</w:t>
      </w:r>
      <w:r w:rsidR="00767E68" w:rsidRPr="00531701">
        <w:rPr>
          <w:rFonts w:ascii="Times New Roman" w:hAnsi="Times New Roman" w:cs="Times New Roman"/>
          <w:color w:val="000000"/>
          <w:w w:val="125"/>
          <w:sz w:val="20"/>
          <w:szCs w:val="20"/>
          <w:vertAlign w:val="superscript"/>
        </w:rPr>
        <w:t xml:space="preserve"> </w:t>
      </w:r>
      <w:r w:rsidRPr="00531701">
        <w:rPr>
          <w:rFonts w:ascii="Times New Roman" w:hAnsi="Times New Roman" w:cs="Times New Roman"/>
          <w:sz w:val="20"/>
          <w:szCs w:val="20"/>
        </w:rPr>
        <w:t>Skeletal events related to bone loss and bone metastases are common complications of prostate cancer and its treatment with ADT.</w:t>
      </w:r>
      <w:r w:rsidRPr="00531701">
        <w:rPr>
          <w:rFonts w:ascii="Times New Roman" w:hAnsi="Times New Roman" w:cs="Times New Roman"/>
          <w:sz w:val="20"/>
          <w:szCs w:val="20"/>
          <w:vertAlign w:val="superscript"/>
        </w:rPr>
        <w:t xml:space="preserve">[6] </w:t>
      </w:r>
      <w:proofErr w:type="spellStart"/>
      <w:r w:rsidRPr="00531701">
        <w:rPr>
          <w:rFonts w:ascii="Times New Roman" w:hAnsi="Times New Roman" w:cs="Times New Roman"/>
          <w:color w:val="000000"/>
          <w:sz w:val="20"/>
          <w:szCs w:val="20"/>
          <w:shd w:val="clear" w:color="auto" w:fill="FFFFFF"/>
        </w:rPr>
        <w:t>Malhotra</w:t>
      </w:r>
      <w:proofErr w:type="spellEnd"/>
      <w:r w:rsidRPr="00531701">
        <w:rPr>
          <w:rFonts w:ascii="Times New Roman" w:hAnsi="Times New Roman" w:cs="Times New Roman"/>
          <w:color w:val="000000"/>
          <w:sz w:val="20"/>
          <w:szCs w:val="20"/>
          <w:shd w:val="clear" w:color="auto" w:fill="FFFFFF"/>
        </w:rPr>
        <w:t xml:space="preserve"> </w:t>
      </w:r>
      <w:r w:rsidRPr="00531701">
        <w:rPr>
          <w:rFonts w:ascii="Times New Roman" w:hAnsi="Times New Roman" w:cs="Times New Roman"/>
          <w:i/>
          <w:color w:val="000000"/>
          <w:sz w:val="20"/>
          <w:szCs w:val="20"/>
          <w:shd w:val="clear" w:color="auto" w:fill="FFFFFF"/>
        </w:rPr>
        <w:t>et al.</w:t>
      </w:r>
      <w:r w:rsidRPr="00531701">
        <w:rPr>
          <w:rFonts w:ascii="Times New Roman" w:hAnsi="Times New Roman" w:cs="Times New Roman"/>
          <w:color w:val="000000"/>
          <w:sz w:val="20"/>
          <w:szCs w:val="20"/>
          <w:shd w:val="clear" w:color="auto" w:fill="FFFFFF"/>
        </w:rPr>
        <w:t xml:space="preserve"> have reported that Indians have low </w:t>
      </w:r>
      <w:r w:rsidRPr="00531701">
        <w:rPr>
          <w:rFonts w:ascii="Times New Roman" w:hAnsi="Times New Roman" w:cs="Times New Roman"/>
          <w:sz w:val="20"/>
          <w:szCs w:val="20"/>
        </w:rPr>
        <w:t>bone mineral density (</w:t>
      </w:r>
      <w:r w:rsidRPr="00531701">
        <w:rPr>
          <w:rFonts w:ascii="Times New Roman" w:hAnsi="Times New Roman" w:cs="Times New Roman"/>
          <w:color w:val="000000"/>
          <w:sz w:val="20"/>
          <w:szCs w:val="20"/>
          <w:shd w:val="clear" w:color="auto" w:fill="FFFFFF"/>
        </w:rPr>
        <w:t>BMD) as compared to western Caucasians and osteoporotic fractures are common in them compared to west.</w:t>
      </w:r>
      <w:r w:rsidRPr="00531701">
        <w:rPr>
          <w:rFonts w:ascii="Times New Roman" w:hAnsi="Times New Roman" w:cs="Times New Roman"/>
          <w:color w:val="000000"/>
          <w:sz w:val="20"/>
          <w:szCs w:val="20"/>
          <w:shd w:val="clear" w:color="auto" w:fill="FFFFFF"/>
          <w:vertAlign w:val="superscript"/>
        </w:rPr>
        <w:t>[</w:t>
      </w:r>
      <w:r w:rsidRPr="00531701">
        <w:rPr>
          <w:rFonts w:ascii="Times New Roman" w:eastAsia="Calibri" w:hAnsi="Times New Roman" w:cs="Times New Roman"/>
          <w:color w:val="000000"/>
          <w:w w:val="125"/>
          <w:sz w:val="20"/>
          <w:szCs w:val="20"/>
          <w:vertAlign w:val="superscript"/>
        </w:rPr>
        <w:t>7]</w:t>
      </w:r>
    </w:p>
    <w:p w:rsidR="004E47B7" w:rsidRPr="004D0C03" w:rsidRDefault="004E47B7" w:rsidP="00531701">
      <w:pPr>
        <w:spacing w:after="0" w:line="360" w:lineRule="auto"/>
        <w:rPr>
          <w:rFonts w:ascii="Times New Roman" w:hAnsi="Times New Roman" w:cs="Times New Roman"/>
          <w:sz w:val="20"/>
          <w:szCs w:val="20"/>
          <w:shd w:val="clear" w:color="auto" w:fill="FFFFFF"/>
        </w:rPr>
      </w:pPr>
      <w:r w:rsidRPr="00531701">
        <w:rPr>
          <w:rFonts w:ascii="Times New Roman" w:hAnsi="Times New Roman" w:cs="Times New Roman"/>
          <w:sz w:val="20"/>
          <w:szCs w:val="20"/>
        </w:rPr>
        <w:t xml:space="preserve">Osteoporosis (due to ADT) and </w:t>
      </w:r>
      <w:r w:rsidRPr="00531701">
        <w:rPr>
          <w:rFonts w:ascii="Times New Roman" w:hAnsi="Times New Roman" w:cs="Times New Roman"/>
          <w:color w:val="000000"/>
          <w:sz w:val="20"/>
          <w:szCs w:val="20"/>
          <w:shd w:val="clear" w:color="auto" w:fill="FFFFFF"/>
        </w:rPr>
        <w:t>complications due to bone metastases including bone pain, vertebral collapse, pathological fractures and spinal cord compression</w:t>
      </w:r>
      <w:r w:rsidRPr="00531701">
        <w:rPr>
          <w:rFonts w:ascii="Times New Roman" w:hAnsi="Times New Roman" w:cs="Times New Roman"/>
          <w:sz w:val="20"/>
          <w:szCs w:val="20"/>
        </w:rPr>
        <w:t xml:space="preserve"> are frequently overlooked in men with </w:t>
      </w:r>
      <w:proofErr w:type="spellStart"/>
      <w:r w:rsidRPr="00531701">
        <w:rPr>
          <w:rFonts w:ascii="Times New Roman" w:hAnsi="Times New Roman" w:cs="Times New Roman"/>
          <w:sz w:val="20"/>
          <w:szCs w:val="20"/>
        </w:rPr>
        <w:t>CaP.</w:t>
      </w:r>
      <w:proofErr w:type="spellEnd"/>
      <w:r w:rsidRPr="00531701">
        <w:rPr>
          <w:rFonts w:ascii="Times New Roman" w:hAnsi="Times New Roman" w:cs="Times New Roman"/>
          <w:sz w:val="20"/>
          <w:szCs w:val="20"/>
        </w:rPr>
        <w:t xml:space="preserve"> All such patients should have their BMD monitored and should be offered preventive measures, along with calcium and vitamin D supplementation.</w:t>
      </w:r>
      <w:r w:rsidR="006F27B1" w:rsidRPr="00531701">
        <w:rPr>
          <w:rFonts w:ascii="Times New Roman" w:hAnsi="Times New Roman" w:cs="Times New Roman"/>
          <w:sz w:val="20"/>
          <w:szCs w:val="20"/>
        </w:rPr>
        <w:t xml:space="preserve"> The European Association of Urology (EA</w:t>
      </w:r>
      <w:r w:rsidR="0051765C" w:rsidRPr="00531701">
        <w:rPr>
          <w:rFonts w:ascii="Times New Roman" w:hAnsi="Times New Roman" w:cs="Times New Roman"/>
          <w:sz w:val="20"/>
          <w:szCs w:val="20"/>
        </w:rPr>
        <w:t>U) recommends baseline estimati</w:t>
      </w:r>
      <w:r w:rsidR="006F27B1" w:rsidRPr="00531701">
        <w:rPr>
          <w:rFonts w:ascii="Times New Roman" w:hAnsi="Times New Roman" w:cs="Times New Roman"/>
          <w:sz w:val="20"/>
          <w:szCs w:val="20"/>
        </w:rPr>
        <w:t xml:space="preserve">on of BMD before initiating ADT and annually as well if T-Score s in between -1.0 and -2.5 in </w:t>
      </w:r>
      <w:proofErr w:type="spellStart"/>
      <w:r w:rsidR="006F27B1" w:rsidRPr="00531701">
        <w:rPr>
          <w:rFonts w:ascii="Times New Roman" w:hAnsi="Times New Roman" w:cs="Times New Roman"/>
          <w:sz w:val="20"/>
          <w:szCs w:val="20"/>
        </w:rPr>
        <w:t>CaP</w:t>
      </w:r>
      <w:proofErr w:type="spellEnd"/>
      <w:r w:rsidR="006F27B1" w:rsidRPr="00531701">
        <w:rPr>
          <w:rFonts w:ascii="Times New Roman" w:hAnsi="Times New Roman" w:cs="Times New Roman"/>
          <w:sz w:val="20"/>
          <w:szCs w:val="20"/>
        </w:rPr>
        <w:t xml:space="preserve"> patients </w:t>
      </w:r>
      <w:r w:rsidRPr="00531701">
        <w:rPr>
          <w:rFonts w:ascii="Times New Roman" w:hAnsi="Times New Roman" w:cs="Times New Roman"/>
          <w:sz w:val="20"/>
          <w:szCs w:val="20"/>
        </w:rPr>
        <w:t xml:space="preserve"> </w:t>
      </w:r>
      <w:proofErr w:type="spellStart"/>
      <w:r w:rsidRPr="00531701">
        <w:rPr>
          <w:rFonts w:ascii="Times New Roman" w:hAnsi="Times New Roman" w:cs="Times New Roman"/>
          <w:sz w:val="20"/>
          <w:szCs w:val="20"/>
        </w:rPr>
        <w:t>Patients</w:t>
      </w:r>
      <w:proofErr w:type="spellEnd"/>
      <w:r w:rsidRPr="00531701">
        <w:rPr>
          <w:rFonts w:ascii="Times New Roman" w:hAnsi="Times New Roman" w:cs="Times New Roman"/>
          <w:sz w:val="20"/>
          <w:szCs w:val="20"/>
        </w:rPr>
        <w:t xml:space="preserve"> with low BMD should be offered bone targeted th</w:t>
      </w:r>
      <w:r w:rsidR="0090231F" w:rsidRPr="00531701">
        <w:rPr>
          <w:rFonts w:ascii="Times New Roman" w:hAnsi="Times New Roman" w:cs="Times New Roman"/>
          <w:sz w:val="20"/>
          <w:szCs w:val="20"/>
        </w:rPr>
        <w:t>erapies like Bisphosphonates or</w:t>
      </w:r>
      <w:r w:rsidRPr="00531701">
        <w:rPr>
          <w:rFonts w:ascii="Times New Roman" w:hAnsi="Times New Roman" w:cs="Times New Roman"/>
          <w:sz w:val="20"/>
          <w:szCs w:val="20"/>
        </w:rPr>
        <w:t xml:space="preserve"> </w:t>
      </w:r>
      <w:proofErr w:type="spellStart"/>
      <w:r w:rsidR="00DC0376"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which have shown promise in reducing fracture risk. </w:t>
      </w:r>
      <w:r w:rsidRPr="00531701">
        <w:rPr>
          <w:rFonts w:ascii="Times New Roman" w:hAnsi="Times New Roman" w:cs="Times New Roman"/>
          <w:sz w:val="20"/>
          <w:szCs w:val="20"/>
          <w:vertAlign w:val="superscript"/>
        </w:rPr>
        <w:t>[</w:t>
      </w:r>
      <w:r w:rsidRPr="00531701">
        <w:rPr>
          <w:rFonts w:ascii="Times New Roman" w:hAnsi="Times New Roman" w:cs="Times New Roman"/>
          <w:sz w:val="20"/>
          <w:szCs w:val="20"/>
          <w:shd w:val="clear" w:color="auto" w:fill="FFFFFF"/>
          <w:vertAlign w:val="superscript"/>
        </w:rPr>
        <w:t>8,9]</w:t>
      </w:r>
      <w:r w:rsidR="004D0C03">
        <w:rPr>
          <w:rFonts w:ascii="Times New Roman" w:hAnsi="Times New Roman" w:cs="Times New Roman"/>
          <w:sz w:val="20"/>
          <w:szCs w:val="20"/>
          <w:shd w:val="clear" w:color="auto" w:fill="FFFFFF"/>
        </w:rPr>
        <w:t xml:space="preserve"> </w:t>
      </w:r>
      <w:r w:rsidRPr="00531701">
        <w:rPr>
          <w:rFonts w:ascii="Times New Roman" w:hAnsi="Times New Roman" w:cs="Times New Roman"/>
          <w:sz w:val="20"/>
          <w:szCs w:val="20"/>
        </w:rPr>
        <w:t xml:space="preserve">Independently, </w:t>
      </w:r>
      <w:proofErr w:type="spellStart"/>
      <w:r w:rsidRPr="00531701">
        <w:rPr>
          <w:rFonts w:ascii="Times New Roman" w:hAnsi="Times New Roman" w:cs="Times New Roman"/>
          <w:sz w:val="20"/>
          <w:szCs w:val="20"/>
        </w:rPr>
        <w:t>CaP</w:t>
      </w:r>
      <w:proofErr w:type="spellEnd"/>
      <w:r w:rsidRPr="00531701">
        <w:rPr>
          <w:rFonts w:ascii="Times New Roman" w:hAnsi="Times New Roman" w:cs="Times New Roman"/>
          <w:sz w:val="20"/>
          <w:szCs w:val="20"/>
        </w:rPr>
        <w:t xml:space="preserve"> patients with skeletal metastases and co-existing osteoporosis have more bone related complications, further putting Indian population at high risk.</w:t>
      </w:r>
      <w:r w:rsidRPr="00531701">
        <w:rPr>
          <w:rFonts w:ascii="Times New Roman" w:hAnsi="Times New Roman" w:cs="Times New Roman"/>
          <w:sz w:val="20"/>
          <w:szCs w:val="20"/>
          <w:vertAlign w:val="superscript"/>
        </w:rPr>
        <w:t>[10]</w:t>
      </w:r>
      <w:r w:rsidRPr="00531701">
        <w:rPr>
          <w:rFonts w:ascii="Times New Roman" w:hAnsi="Times New Roman" w:cs="Times New Roman"/>
          <w:sz w:val="20"/>
          <w:szCs w:val="20"/>
        </w:rPr>
        <w:t xml:space="preserve"> In this study we have evaluated bone health and its kinetics in the management of </w:t>
      </w:r>
      <w:proofErr w:type="spellStart"/>
      <w:r w:rsidRPr="00531701">
        <w:rPr>
          <w:rFonts w:ascii="Times New Roman" w:hAnsi="Times New Roman" w:cs="Times New Roman"/>
          <w:sz w:val="20"/>
          <w:szCs w:val="20"/>
        </w:rPr>
        <w:t>CaP</w:t>
      </w:r>
      <w:proofErr w:type="spellEnd"/>
      <w:r w:rsidRPr="00531701">
        <w:rPr>
          <w:rFonts w:ascii="Times New Roman" w:hAnsi="Times New Roman" w:cs="Times New Roman"/>
          <w:sz w:val="20"/>
          <w:szCs w:val="20"/>
        </w:rPr>
        <w:t xml:space="preserve"> patients.</w:t>
      </w:r>
    </w:p>
    <w:p w:rsidR="004E47B7" w:rsidRPr="00531701" w:rsidRDefault="004E47B7" w:rsidP="00531701">
      <w:pPr>
        <w:spacing w:after="0" w:line="360" w:lineRule="auto"/>
        <w:rPr>
          <w:rFonts w:ascii="Times New Roman" w:hAnsi="Times New Roman" w:cs="Times New Roman"/>
          <w:b/>
          <w:sz w:val="20"/>
          <w:szCs w:val="20"/>
        </w:rPr>
      </w:pPr>
      <w:r w:rsidRPr="00531701">
        <w:rPr>
          <w:rFonts w:ascii="Times New Roman" w:hAnsi="Times New Roman" w:cs="Times New Roman"/>
          <w:b/>
          <w:sz w:val="20"/>
          <w:szCs w:val="20"/>
        </w:rPr>
        <w:t>Methods:</w:t>
      </w:r>
    </w:p>
    <w:p w:rsidR="004E47B7" w:rsidRPr="00531701" w:rsidRDefault="004E47B7" w:rsidP="00531701">
      <w:pPr>
        <w:spacing w:after="0" w:line="360" w:lineRule="auto"/>
        <w:rPr>
          <w:rFonts w:ascii="Times New Roman" w:hAnsi="Times New Roman" w:cs="Times New Roman"/>
          <w:b/>
          <w:sz w:val="20"/>
          <w:szCs w:val="20"/>
        </w:rPr>
      </w:pPr>
      <w:r w:rsidRPr="00531701">
        <w:rPr>
          <w:rFonts w:ascii="Times New Roman" w:hAnsi="Times New Roman" w:cs="Times New Roman"/>
          <w:sz w:val="20"/>
          <w:szCs w:val="20"/>
        </w:rPr>
        <w:t>A prospective observational study was performed in</w:t>
      </w:r>
      <w:r w:rsidR="00BA542A" w:rsidRPr="00531701">
        <w:rPr>
          <w:rFonts w:ascii="Times New Roman" w:hAnsi="Times New Roman" w:cs="Times New Roman"/>
          <w:sz w:val="20"/>
          <w:szCs w:val="20"/>
        </w:rPr>
        <w:t xml:space="preserve"> </w:t>
      </w:r>
      <w:proofErr w:type="spellStart"/>
      <w:r w:rsidR="00BA542A" w:rsidRPr="00531701">
        <w:rPr>
          <w:rFonts w:ascii="Times New Roman" w:hAnsi="Times New Roman" w:cs="Times New Roman"/>
          <w:sz w:val="20"/>
          <w:szCs w:val="20"/>
        </w:rPr>
        <w:t>uro</w:t>
      </w:r>
      <w:proofErr w:type="spellEnd"/>
      <w:r w:rsidR="00BA542A" w:rsidRPr="00531701">
        <w:rPr>
          <w:rFonts w:ascii="Times New Roman" w:hAnsi="Times New Roman" w:cs="Times New Roman"/>
          <w:sz w:val="20"/>
          <w:szCs w:val="20"/>
        </w:rPr>
        <w:t>-oncological division,</w:t>
      </w:r>
      <w:r w:rsidR="00A4440C" w:rsidRPr="00531701">
        <w:rPr>
          <w:rFonts w:ascii="Times New Roman" w:hAnsi="Times New Roman" w:cs="Times New Roman"/>
          <w:sz w:val="20"/>
          <w:szCs w:val="20"/>
        </w:rPr>
        <w:t xml:space="preserve"> </w:t>
      </w:r>
      <w:r w:rsidR="0051765C" w:rsidRPr="00531701">
        <w:rPr>
          <w:rFonts w:ascii="Times New Roman" w:hAnsi="Times New Roman" w:cs="Times New Roman"/>
          <w:sz w:val="20"/>
          <w:szCs w:val="20"/>
        </w:rPr>
        <w:t>from November 2016 to March 2018</w:t>
      </w:r>
      <w:r w:rsidRPr="00531701">
        <w:rPr>
          <w:rFonts w:ascii="Times New Roman" w:hAnsi="Times New Roman" w:cs="Times New Roman"/>
          <w:sz w:val="20"/>
          <w:szCs w:val="20"/>
        </w:rPr>
        <w:t xml:space="preserve">, in 101 patients of </w:t>
      </w:r>
      <w:proofErr w:type="spellStart"/>
      <w:r w:rsidRPr="00531701">
        <w:rPr>
          <w:rFonts w:ascii="Times New Roman" w:hAnsi="Times New Roman" w:cs="Times New Roman"/>
          <w:sz w:val="20"/>
          <w:szCs w:val="20"/>
        </w:rPr>
        <w:t>CaP</w:t>
      </w:r>
      <w:proofErr w:type="spellEnd"/>
      <w:r w:rsidRPr="00531701">
        <w:rPr>
          <w:rFonts w:ascii="Times New Roman" w:hAnsi="Times New Roman" w:cs="Times New Roman"/>
          <w:sz w:val="20"/>
          <w:szCs w:val="20"/>
        </w:rPr>
        <w:t xml:space="preserve"> (on ADT</w:t>
      </w:r>
      <w:r w:rsidR="00BA542A" w:rsidRPr="00531701">
        <w:rPr>
          <w:rFonts w:ascii="Times New Roman" w:hAnsi="Times New Roman" w:cs="Times New Roman"/>
          <w:sz w:val="20"/>
          <w:szCs w:val="20"/>
        </w:rPr>
        <w:t xml:space="preserve"> or naïve</w:t>
      </w:r>
      <w:r w:rsidR="00A4440C" w:rsidRPr="00531701">
        <w:rPr>
          <w:rFonts w:ascii="Times New Roman" w:hAnsi="Times New Roman" w:cs="Times New Roman"/>
          <w:sz w:val="20"/>
          <w:szCs w:val="20"/>
        </w:rPr>
        <w:t>). All p</w:t>
      </w:r>
      <w:r w:rsidRPr="00531701">
        <w:rPr>
          <w:rFonts w:ascii="Times New Roman" w:hAnsi="Times New Roman" w:cs="Times New Roman"/>
          <w:sz w:val="20"/>
          <w:szCs w:val="20"/>
        </w:rPr>
        <w:t xml:space="preserve">atients between age </w:t>
      </w:r>
      <w:r w:rsidR="00BA542A" w:rsidRPr="00531701">
        <w:rPr>
          <w:rFonts w:ascii="Times New Roman" w:hAnsi="Times New Roman" w:cs="Times New Roman"/>
          <w:sz w:val="20"/>
          <w:szCs w:val="20"/>
        </w:rPr>
        <w:t>45 to 85</w:t>
      </w:r>
      <w:r w:rsidRPr="00531701">
        <w:rPr>
          <w:rFonts w:ascii="Times New Roman" w:hAnsi="Times New Roman" w:cs="Times New Roman"/>
          <w:sz w:val="20"/>
          <w:szCs w:val="20"/>
        </w:rPr>
        <w:t xml:space="preserve"> </w:t>
      </w:r>
      <w:proofErr w:type="spellStart"/>
      <w:r w:rsidRPr="00531701">
        <w:rPr>
          <w:rFonts w:ascii="Times New Roman" w:hAnsi="Times New Roman" w:cs="Times New Roman"/>
          <w:sz w:val="20"/>
          <w:szCs w:val="20"/>
        </w:rPr>
        <w:t>yrs</w:t>
      </w:r>
      <w:proofErr w:type="spellEnd"/>
      <w:r w:rsidRPr="00531701">
        <w:rPr>
          <w:rFonts w:ascii="Times New Roman" w:hAnsi="Times New Roman" w:cs="Times New Roman"/>
          <w:sz w:val="20"/>
          <w:szCs w:val="20"/>
        </w:rPr>
        <w:t xml:space="preserve"> with biopsy proven </w:t>
      </w:r>
      <w:proofErr w:type="spellStart"/>
      <w:r w:rsidRPr="00531701">
        <w:rPr>
          <w:rFonts w:ascii="Times New Roman" w:hAnsi="Times New Roman" w:cs="Times New Roman"/>
          <w:sz w:val="20"/>
          <w:szCs w:val="20"/>
        </w:rPr>
        <w:t>CaP</w:t>
      </w:r>
      <w:proofErr w:type="spellEnd"/>
      <w:r w:rsidRPr="00531701">
        <w:rPr>
          <w:rFonts w:ascii="Times New Roman" w:hAnsi="Times New Roman" w:cs="Times New Roman"/>
          <w:sz w:val="20"/>
          <w:szCs w:val="20"/>
        </w:rPr>
        <w:t xml:space="preserve"> on Acute (&lt;6 months) / Chronic (&gt;6 months) ADT were observed for change in their BMD measurements using Dual Energy X-ray Absorptiometry (DEXA) Scan at 3 monthly intervals.</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The bone density was measured at three sites including lumbar spine, left and right femur neck at first month followed by at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and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follow up. </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The patients un</w:t>
      </w:r>
      <w:r w:rsidR="00803E5F" w:rsidRPr="00531701">
        <w:rPr>
          <w:rFonts w:ascii="Times New Roman" w:hAnsi="Times New Roman" w:cs="Times New Roman"/>
          <w:sz w:val="20"/>
          <w:szCs w:val="20"/>
        </w:rPr>
        <w:t>der study were distributed into</w:t>
      </w:r>
      <w:r w:rsidRPr="00531701">
        <w:rPr>
          <w:rFonts w:ascii="Times New Roman" w:hAnsi="Times New Roman" w:cs="Times New Roman"/>
          <w:sz w:val="20"/>
          <w:szCs w:val="20"/>
        </w:rPr>
        <w:t xml:space="preserve"> 3 groups at 3 months as per their baseline BMD and metastatic assessment. The patients with high baselin</w:t>
      </w:r>
      <w:r w:rsidR="00BA542A" w:rsidRPr="00531701">
        <w:rPr>
          <w:rFonts w:ascii="Times New Roman" w:hAnsi="Times New Roman" w:cs="Times New Roman"/>
          <w:sz w:val="20"/>
          <w:szCs w:val="20"/>
        </w:rPr>
        <w:t xml:space="preserve">e BMD at presentation (T score ≥ </w:t>
      </w:r>
      <w:r w:rsidRPr="00531701">
        <w:rPr>
          <w:rFonts w:ascii="Times New Roman" w:hAnsi="Times New Roman" w:cs="Times New Roman"/>
          <w:sz w:val="20"/>
          <w:szCs w:val="20"/>
        </w:rPr>
        <w:t>0) were observed with no addition</w:t>
      </w:r>
      <w:r w:rsidR="00803E5F" w:rsidRPr="00531701">
        <w:rPr>
          <w:rFonts w:ascii="Times New Roman" w:hAnsi="Times New Roman" w:cs="Times New Roman"/>
          <w:sz w:val="20"/>
          <w:szCs w:val="20"/>
        </w:rPr>
        <w:t>al medication. Of these cases, t</w:t>
      </w:r>
      <w:r w:rsidRPr="00531701">
        <w:rPr>
          <w:rFonts w:ascii="Times New Roman" w:hAnsi="Times New Roman" w:cs="Times New Roman"/>
          <w:sz w:val="20"/>
          <w:szCs w:val="20"/>
        </w:rPr>
        <w:t xml:space="preserve">hose who had stable BMD after 3 months on repeat DEXA scan were continued on </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observation</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 xml:space="preserve"> protocol {Observation Group</w:t>
      </w:r>
      <w:r w:rsidR="00803E5F" w:rsidRPr="00531701">
        <w:rPr>
          <w:rFonts w:ascii="Times New Roman" w:hAnsi="Times New Roman" w:cs="Times New Roman"/>
          <w:sz w:val="20"/>
          <w:szCs w:val="20"/>
        </w:rPr>
        <w:t xml:space="preserve"> (</w:t>
      </w:r>
      <w:proofErr w:type="spellStart"/>
      <w:r w:rsidR="00803E5F" w:rsidRPr="00531701">
        <w:rPr>
          <w:rFonts w:ascii="Times New Roman" w:hAnsi="Times New Roman" w:cs="Times New Roman"/>
          <w:sz w:val="20"/>
          <w:szCs w:val="20"/>
        </w:rPr>
        <w:t>Obs</w:t>
      </w:r>
      <w:proofErr w:type="spellEnd"/>
      <w:r w:rsidR="00803E5F" w:rsidRPr="00531701">
        <w:rPr>
          <w:rFonts w:ascii="Times New Roman" w:hAnsi="Times New Roman" w:cs="Times New Roman"/>
          <w:sz w:val="20"/>
          <w:szCs w:val="20"/>
        </w:rPr>
        <w:t>)}. However</w:t>
      </w:r>
      <w:r w:rsidRPr="00531701">
        <w:rPr>
          <w:rFonts w:ascii="Times New Roman" w:hAnsi="Times New Roman" w:cs="Times New Roman"/>
          <w:sz w:val="20"/>
          <w:szCs w:val="20"/>
        </w:rPr>
        <w:t xml:space="preserve">, those who showed deterioration were started on </w:t>
      </w:r>
      <w:proofErr w:type="spellStart"/>
      <w:r w:rsidR="00DC0376" w:rsidRPr="00531701">
        <w:rPr>
          <w:rFonts w:ascii="Times New Roman" w:hAnsi="Times New Roman" w:cs="Times New Roman"/>
          <w:sz w:val="20"/>
          <w:szCs w:val="20"/>
        </w:rPr>
        <w:t>zoledronic</w:t>
      </w:r>
      <w:proofErr w:type="spellEnd"/>
      <w:r w:rsidR="00DC0376" w:rsidRPr="00531701">
        <w:rPr>
          <w:rFonts w:ascii="Times New Roman" w:hAnsi="Times New Roman" w:cs="Times New Roman"/>
          <w:sz w:val="20"/>
          <w:szCs w:val="20"/>
        </w:rPr>
        <w:t xml:space="preserve"> a</w:t>
      </w:r>
      <w:r w:rsidRPr="00531701">
        <w:rPr>
          <w:rFonts w:ascii="Times New Roman" w:hAnsi="Times New Roman" w:cs="Times New Roman"/>
          <w:sz w:val="20"/>
          <w:szCs w:val="20"/>
        </w:rPr>
        <w:t xml:space="preserve">cid and labeled as </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 xml:space="preserve">Observation to </w:t>
      </w:r>
      <w:proofErr w:type="spellStart"/>
      <w:r w:rsidR="00DC0376" w:rsidRPr="00531701">
        <w:rPr>
          <w:rFonts w:ascii="Times New Roman" w:hAnsi="Times New Roman" w:cs="Times New Roman"/>
          <w:sz w:val="20"/>
          <w:szCs w:val="20"/>
        </w:rPr>
        <w:t>zoledronic</w:t>
      </w:r>
      <w:proofErr w:type="spellEnd"/>
      <w:r w:rsidR="00DC0376" w:rsidRPr="00531701">
        <w:rPr>
          <w:rFonts w:ascii="Times New Roman" w:hAnsi="Times New Roman" w:cs="Times New Roman"/>
          <w:sz w:val="20"/>
          <w:szCs w:val="20"/>
        </w:rPr>
        <w:t xml:space="preserve"> a</w:t>
      </w:r>
      <w:r w:rsidRPr="00531701">
        <w:rPr>
          <w:rFonts w:ascii="Times New Roman" w:hAnsi="Times New Roman" w:cs="Times New Roman"/>
          <w:sz w:val="20"/>
          <w:szCs w:val="20"/>
        </w:rPr>
        <w:t>cid</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 xml:space="preserve"> (</w:t>
      </w:r>
      <w:proofErr w:type="spellStart"/>
      <w:r w:rsidRPr="00531701">
        <w:rPr>
          <w:rFonts w:ascii="Times New Roman" w:hAnsi="Times New Roman" w:cs="Times New Roman"/>
          <w:sz w:val="20"/>
          <w:szCs w:val="20"/>
        </w:rPr>
        <w:t>Obs</w:t>
      </w:r>
      <w:proofErr w:type="spellEnd"/>
      <w:r w:rsidRPr="00531701">
        <w:rPr>
          <w:rFonts w:ascii="Times New Roman" w:hAnsi="Times New Roman" w:cs="Times New Roman"/>
          <w:sz w:val="20"/>
          <w:szCs w:val="20"/>
        </w:rPr>
        <w:t xml:space="preserve"> to Z) group. </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The patients with negative T score at presentat</w:t>
      </w:r>
      <w:r w:rsidR="00803E5F" w:rsidRPr="00531701">
        <w:rPr>
          <w:rFonts w:ascii="Times New Roman" w:hAnsi="Times New Roman" w:cs="Times New Roman"/>
          <w:sz w:val="20"/>
          <w:szCs w:val="20"/>
        </w:rPr>
        <w:t xml:space="preserve">ion were started on </w:t>
      </w:r>
      <w:proofErr w:type="spellStart"/>
      <w:r w:rsidR="00DC0376" w:rsidRPr="00531701">
        <w:rPr>
          <w:rFonts w:ascii="Times New Roman" w:hAnsi="Times New Roman" w:cs="Times New Roman"/>
          <w:sz w:val="20"/>
          <w:szCs w:val="20"/>
        </w:rPr>
        <w:t>Zoledronic</w:t>
      </w:r>
      <w:proofErr w:type="spellEnd"/>
      <w:r w:rsidR="00803E5F" w:rsidRPr="00531701">
        <w:rPr>
          <w:rFonts w:ascii="Times New Roman" w:hAnsi="Times New Roman" w:cs="Times New Roman"/>
          <w:sz w:val="20"/>
          <w:szCs w:val="20"/>
        </w:rPr>
        <w:t xml:space="preserve"> a</w:t>
      </w:r>
      <w:r w:rsidRPr="00531701">
        <w:rPr>
          <w:rFonts w:ascii="Times New Roman" w:hAnsi="Times New Roman" w:cs="Times New Roman"/>
          <w:sz w:val="20"/>
          <w:szCs w:val="20"/>
        </w:rPr>
        <w:t>cid. The patients who showed improvemen</w:t>
      </w:r>
      <w:r w:rsidR="00803E5F" w:rsidRPr="00531701">
        <w:rPr>
          <w:rFonts w:ascii="Times New Roman" w:hAnsi="Times New Roman" w:cs="Times New Roman"/>
          <w:sz w:val="20"/>
          <w:szCs w:val="20"/>
        </w:rPr>
        <w:t xml:space="preserve">t in bone health on </w:t>
      </w:r>
      <w:proofErr w:type="spellStart"/>
      <w:r w:rsidR="00DC0376" w:rsidRPr="00531701">
        <w:rPr>
          <w:rFonts w:ascii="Times New Roman" w:hAnsi="Times New Roman" w:cs="Times New Roman"/>
          <w:sz w:val="20"/>
          <w:szCs w:val="20"/>
        </w:rPr>
        <w:t>zoledronic</w:t>
      </w:r>
      <w:proofErr w:type="spellEnd"/>
      <w:r w:rsidR="00803E5F" w:rsidRPr="00531701">
        <w:rPr>
          <w:rFonts w:ascii="Times New Roman" w:hAnsi="Times New Roman" w:cs="Times New Roman"/>
          <w:sz w:val="20"/>
          <w:szCs w:val="20"/>
        </w:rPr>
        <w:t xml:space="preserve"> a</w:t>
      </w:r>
      <w:r w:rsidRPr="00531701">
        <w:rPr>
          <w:rFonts w:ascii="Times New Roman" w:hAnsi="Times New Roman" w:cs="Times New Roman"/>
          <w:sz w:val="20"/>
          <w:szCs w:val="20"/>
        </w:rPr>
        <w:t>cid at 3 monthly BMD assessments were continue</w:t>
      </w:r>
      <w:r w:rsidR="00803E5F" w:rsidRPr="00531701">
        <w:rPr>
          <w:rFonts w:ascii="Times New Roman" w:hAnsi="Times New Roman" w:cs="Times New Roman"/>
          <w:sz w:val="20"/>
          <w:szCs w:val="20"/>
        </w:rPr>
        <w:t>d with same treatment (Z group), w</w:t>
      </w:r>
      <w:r w:rsidRPr="00531701">
        <w:rPr>
          <w:rFonts w:ascii="Times New Roman" w:hAnsi="Times New Roman" w:cs="Times New Roman"/>
          <w:sz w:val="20"/>
          <w:szCs w:val="20"/>
        </w:rPr>
        <w:t>hereas those pa</w:t>
      </w:r>
      <w:r w:rsidR="00803E5F" w:rsidRPr="00531701">
        <w:rPr>
          <w:rFonts w:ascii="Times New Roman" w:hAnsi="Times New Roman" w:cs="Times New Roman"/>
          <w:sz w:val="20"/>
          <w:szCs w:val="20"/>
        </w:rPr>
        <w:t>tients who were deteriorated were</w:t>
      </w:r>
      <w:r w:rsidRPr="00531701">
        <w:rPr>
          <w:rFonts w:ascii="Times New Roman" w:hAnsi="Times New Roman" w:cs="Times New Roman"/>
          <w:sz w:val="20"/>
          <w:szCs w:val="20"/>
        </w:rPr>
        <w:t xml:space="preserve"> shifted </w:t>
      </w:r>
      <w:r w:rsidR="00803E5F" w:rsidRPr="00531701">
        <w:rPr>
          <w:rFonts w:ascii="Times New Roman" w:hAnsi="Times New Roman" w:cs="Times New Roman"/>
          <w:sz w:val="20"/>
          <w:szCs w:val="20"/>
        </w:rPr>
        <w:t>on</w:t>
      </w:r>
      <w:r w:rsidRPr="00531701">
        <w:rPr>
          <w:rFonts w:ascii="Times New Roman" w:hAnsi="Times New Roman" w:cs="Times New Roman"/>
          <w:sz w:val="20"/>
          <w:szCs w:val="20"/>
        </w:rPr>
        <w:t xml:space="preserve">to </w:t>
      </w:r>
      <w:proofErr w:type="spellStart"/>
      <w:r w:rsidR="00DC0376" w:rsidRPr="00531701">
        <w:rPr>
          <w:rFonts w:ascii="Times New Roman" w:hAnsi="Times New Roman" w:cs="Times New Roman"/>
          <w:sz w:val="20"/>
          <w:szCs w:val="20"/>
        </w:rPr>
        <w:t>denosumab</w:t>
      </w:r>
      <w:proofErr w:type="spellEnd"/>
      <w:r w:rsidR="00803E5F" w:rsidRPr="00531701">
        <w:rPr>
          <w:rFonts w:ascii="Times New Roman" w:hAnsi="Times New Roman" w:cs="Times New Roman"/>
          <w:sz w:val="20"/>
          <w:szCs w:val="20"/>
        </w:rPr>
        <w:t xml:space="preserve">, labeled as </w:t>
      </w:r>
      <w:r w:rsidR="0090231F" w:rsidRPr="00531701">
        <w:rPr>
          <w:rFonts w:ascii="Times New Roman" w:hAnsi="Times New Roman" w:cs="Times New Roman"/>
          <w:sz w:val="20"/>
          <w:szCs w:val="20"/>
        </w:rPr>
        <w:t>“</w:t>
      </w:r>
      <w:proofErr w:type="spellStart"/>
      <w:r w:rsidR="00DC0376" w:rsidRPr="00531701">
        <w:rPr>
          <w:rFonts w:ascii="Times New Roman" w:hAnsi="Times New Roman" w:cs="Times New Roman"/>
          <w:sz w:val="20"/>
          <w:szCs w:val="20"/>
        </w:rPr>
        <w:t>zoledronic</w:t>
      </w:r>
      <w:proofErr w:type="spellEnd"/>
      <w:r w:rsidR="00803E5F" w:rsidRPr="00531701">
        <w:rPr>
          <w:rFonts w:ascii="Times New Roman" w:hAnsi="Times New Roman" w:cs="Times New Roman"/>
          <w:sz w:val="20"/>
          <w:szCs w:val="20"/>
        </w:rPr>
        <w:t xml:space="preserve"> a</w:t>
      </w:r>
      <w:r w:rsidRPr="00531701">
        <w:rPr>
          <w:rFonts w:ascii="Times New Roman" w:hAnsi="Times New Roman" w:cs="Times New Roman"/>
          <w:sz w:val="20"/>
          <w:szCs w:val="20"/>
        </w:rPr>
        <w:t xml:space="preserve">cid to </w:t>
      </w:r>
      <w:proofErr w:type="spellStart"/>
      <w:r w:rsidR="00DC0376" w:rsidRPr="00531701">
        <w:rPr>
          <w:rFonts w:ascii="Times New Roman" w:hAnsi="Times New Roman" w:cs="Times New Roman"/>
          <w:sz w:val="20"/>
          <w:szCs w:val="20"/>
        </w:rPr>
        <w:t>denosumab</w:t>
      </w:r>
      <w:proofErr w:type="spellEnd"/>
      <w:r w:rsidR="0090231F" w:rsidRPr="00531701">
        <w:rPr>
          <w:rFonts w:ascii="Times New Roman" w:hAnsi="Times New Roman" w:cs="Times New Roman"/>
          <w:sz w:val="20"/>
          <w:szCs w:val="20"/>
        </w:rPr>
        <w:t>”</w:t>
      </w:r>
      <w:r w:rsidRPr="00531701">
        <w:rPr>
          <w:rFonts w:ascii="Times New Roman" w:hAnsi="Times New Roman" w:cs="Times New Roman"/>
          <w:sz w:val="20"/>
          <w:szCs w:val="20"/>
        </w:rPr>
        <w:t xml:space="preserve"> (Z to D) group. </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 xml:space="preserve">The patients with extensive skeletal metastasis at presentation or who had deranged </w:t>
      </w:r>
      <w:r w:rsidR="00803E5F" w:rsidRPr="00531701">
        <w:rPr>
          <w:rFonts w:ascii="Times New Roman" w:hAnsi="Times New Roman" w:cs="Times New Roman"/>
          <w:sz w:val="20"/>
          <w:szCs w:val="20"/>
        </w:rPr>
        <w:t>kidney function tests (</w:t>
      </w:r>
      <w:r w:rsidRPr="00531701">
        <w:rPr>
          <w:rFonts w:ascii="Times New Roman" w:hAnsi="Times New Roman" w:cs="Times New Roman"/>
          <w:sz w:val="20"/>
          <w:szCs w:val="20"/>
        </w:rPr>
        <w:t>KFTs</w:t>
      </w:r>
      <w:r w:rsidR="00803E5F" w:rsidRPr="00531701">
        <w:rPr>
          <w:rFonts w:ascii="Times New Roman" w:hAnsi="Times New Roman" w:cs="Times New Roman"/>
          <w:sz w:val="20"/>
          <w:szCs w:val="20"/>
        </w:rPr>
        <w:t>)</w:t>
      </w:r>
      <w:r w:rsidRPr="00531701">
        <w:rPr>
          <w:rFonts w:ascii="Times New Roman" w:hAnsi="Times New Roman" w:cs="Times New Roman"/>
          <w:sz w:val="20"/>
          <w:szCs w:val="20"/>
        </w:rPr>
        <w:t xml:space="preserve"> were started on </w:t>
      </w:r>
      <w:proofErr w:type="spellStart"/>
      <w:r w:rsidR="00DC0376"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D</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 xml:space="preserve"> group) as primary therapy. </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Each of these</w:t>
      </w:r>
      <w:r w:rsidR="0051765C" w:rsidRPr="00531701">
        <w:rPr>
          <w:rFonts w:ascii="Times New Roman" w:hAnsi="Times New Roman" w:cs="Times New Roman"/>
          <w:bCs/>
          <w:sz w:val="20"/>
          <w:szCs w:val="20"/>
        </w:rPr>
        <w:t xml:space="preserve"> groups was</w:t>
      </w:r>
      <w:r w:rsidRPr="00531701">
        <w:rPr>
          <w:rFonts w:ascii="Times New Roman" w:hAnsi="Times New Roman" w:cs="Times New Roman"/>
          <w:bCs/>
          <w:sz w:val="20"/>
          <w:szCs w:val="20"/>
        </w:rPr>
        <w:t xml:space="preserve"> analyzed for BMD changes (improvement or deterioration) as per earlier discussed protocol.</w:t>
      </w:r>
      <w:r w:rsidRPr="00531701">
        <w:rPr>
          <w:rFonts w:ascii="Times New Roman" w:hAnsi="Times New Roman" w:cs="Times New Roman"/>
          <w:sz w:val="20"/>
          <w:szCs w:val="20"/>
        </w:rPr>
        <w:t xml:space="preserve"> Changes in BMD were analyzed using ANOVA and independent T test using SPSS v20.</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lastRenderedPageBreak/>
        <w:t xml:space="preserve">The patients with positive increase in their BMD were labeled as </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improved</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 xml:space="preserve"> cases. Patients with positive change in T score or age matched score were also labeled as </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improved</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 xml:space="preserve"> cases. </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 xml:space="preserve">Patients showing negative change in BMD were labeled as </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deteriorated</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 xml:space="preserve"> cases. Similarly, cases with negative changes in T score or age matched score were also labeled as </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det</w:t>
      </w:r>
      <w:r w:rsidR="00803E5F" w:rsidRPr="00531701">
        <w:rPr>
          <w:rFonts w:ascii="Times New Roman" w:hAnsi="Times New Roman" w:cs="Times New Roman"/>
          <w:sz w:val="20"/>
          <w:szCs w:val="20"/>
        </w:rPr>
        <w:t>erior</w:t>
      </w:r>
      <w:r w:rsidRPr="00531701">
        <w:rPr>
          <w:rFonts w:ascii="Times New Roman" w:hAnsi="Times New Roman" w:cs="Times New Roman"/>
          <w:sz w:val="20"/>
          <w:szCs w:val="20"/>
        </w:rPr>
        <w:t>ated</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 xml:space="preserve"> cases.</w:t>
      </w:r>
    </w:p>
    <w:p w:rsidR="00531701"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 xml:space="preserve">If a patient had positive change at one site and negative change at </w:t>
      </w:r>
      <w:r w:rsidR="00803E5F" w:rsidRPr="00531701">
        <w:rPr>
          <w:rFonts w:ascii="Times New Roman" w:hAnsi="Times New Roman" w:cs="Times New Roman"/>
          <w:sz w:val="20"/>
          <w:szCs w:val="20"/>
        </w:rPr>
        <w:t>an</w:t>
      </w:r>
      <w:r w:rsidRPr="00531701">
        <w:rPr>
          <w:rFonts w:ascii="Times New Roman" w:hAnsi="Times New Roman" w:cs="Times New Roman"/>
          <w:sz w:val="20"/>
          <w:szCs w:val="20"/>
        </w:rPr>
        <w:t xml:space="preserve">other site then the patient was labeled as </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not improved</w:t>
      </w:r>
      <w:r w:rsidR="0090231F" w:rsidRPr="00531701">
        <w:rPr>
          <w:rFonts w:ascii="Times New Roman" w:hAnsi="Times New Roman" w:cs="Times New Roman"/>
          <w:sz w:val="20"/>
          <w:szCs w:val="20"/>
        </w:rPr>
        <w:t>”</w:t>
      </w:r>
      <w:r w:rsidRPr="00531701">
        <w:rPr>
          <w:rFonts w:ascii="Times New Roman" w:hAnsi="Times New Roman" w:cs="Times New Roman"/>
          <w:sz w:val="20"/>
          <w:szCs w:val="20"/>
        </w:rPr>
        <w:t>. Such cases were shifted to other modality of treatment.</w:t>
      </w:r>
    </w:p>
    <w:p w:rsidR="004E47B7" w:rsidRPr="00531701" w:rsidRDefault="004E47B7" w:rsidP="00531701">
      <w:pPr>
        <w:spacing w:after="0" w:line="360" w:lineRule="auto"/>
        <w:rPr>
          <w:rFonts w:ascii="Times New Roman" w:hAnsi="Times New Roman" w:cs="Times New Roman"/>
          <w:b/>
          <w:sz w:val="20"/>
          <w:szCs w:val="20"/>
        </w:rPr>
      </w:pPr>
      <w:r w:rsidRPr="00531701">
        <w:rPr>
          <w:rFonts w:ascii="Times New Roman" w:hAnsi="Times New Roman" w:cs="Times New Roman"/>
          <w:b/>
          <w:sz w:val="20"/>
          <w:szCs w:val="20"/>
        </w:rPr>
        <w:t>Results:</w:t>
      </w:r>
    </w:p>
    <w:p w:rsidR="004E47B7" w:rsidRPr="00531701" w:rsidRDefault="00803E5F"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In the present study, a total of</w:t>
      </w:r>
      <w:r w:rsidR="004E47B7" w:rsidRPr="00531701">
        <w:rPr>
          <w:rFonts w:ascii="Times New Roman" w:hAnsi="Times New Roman" w:cs="Times New Roman"/>
          <w:sz w:val="20"/>
          <w:szCs w:val="20"/>
        </w:rPr>
        <w:t xml:space="preserve"> 101 patients</w:t>
      </w:r>
      <w:r w:rsidRPr="00531701">
        <w:rPr>
          <w:rFonts w:ascii="Times New Roman" w:hAnsi="Times New Roman" w:cs="Times New Roman"/>
          <w:sz w:val="20"/>
          <w:szCs w:val="20"/>
        </w:rPr>
        <w:t xml:space="preserve"> with an age range of 45 to 85 years were enrolled</w:t>
      </w:r>
      <w:r w:rsidR="004E47B7" w:rsidRPr="00531701">
        <w:rPr>
          <w:rFonts w:ascii="Times New Roman" w:hAnsi="Times New Roman" w:cs="Times New Roman"/>
          <w:sz w:val="20"/>
          <w:szCs w:val="20"/>
        </w:rPr>
        <w:t>,</w:t>
      </w:r>
      <w:r w:rsidRPr="00531701">
        <w:rPr>
          <w:rFonts w:ascii="Times New Roman" w:hAnsi="Times New Roman" w:cs="Times New Roman"/>
          <w:sz w:val="20"/>
          <w:szCs w:val="20"/>
        </w:rPr>
        <w:t xml:space="preserve"> of which</w:t>
      </w:r>
      <w:r w:rsidR="004E47B7" w:rsidRPr="00531701">
        <w:rPr>
          <w:rFonts w:ascii="Times New Roman" w:hAnsi="Times New Roman" w:cs="Times New Roman"/>
          <w:sz w:val="20"/>
          <w:szCs w:val="20"/>
        </w:rPr>
        <w:t xml:space="preserve"> 11 patients had localized disease and had undergone radical prostatectomy as </w:t>
      </w:r>
      <w:r w:rsidRPr="00531701">
        <w:rPr>
          <w:rFonts w:ascii="Times New Roman" w:hAnsi="Times New Roman" w:cs="Times New Roman"/>
          <w:sz w:val="20"/>
          <w:szCs w:val="20"/>
        </w:rPr>
        <w:t>a primary treatment. Ninety</w:t>
      </w:r>
      <w:r w:rsidR="004E47B7" w:rsidRPr="00531701">
        <w:rPr>
          <w:rFonts w:ascii="Times New Roman" w:hAnsi="Times New Roman" w:cs="Times New Roman"/>
          <w:sz w:val="20"/>
          <w:szCs w:val="20"/>
        </w:rPr>
        <w:t xml:space="preserve"> patients had metastatic </w:t>
      </w:r>
      <w:r w:rsidRPr="00531701">
        <w:rPr>
          <w:rFonts w:ascii="Times New Roman" w:hAnsi="Times New Roman" w:cs="Times New Roman"/>
          <w:sz w:val="20"/>
          <w:szCs w:val="20"/>
        </w:rPr>
        <w:t>disease or were found to be non-</w:t>
      </w:r>
      <w:r w:rsidR="004E47B7" w:rsidRPr="00531701">
        <w:rPr>
          <w:rFonts w:ascii="Times New Roman" w:hAnsi="Times New Roman" w:cs="Times New Roman"/>
          <w:sz w:val="20"/>
          <w:szCs w:val="20"/>
        </w:rPr>
        <w:t>operable</w:t>
      </w:r>
      <w:r w:rsidRPr="00531701">
        <w:rPr>
          <w:rFonts w:ascii="Times New Roman" w:hAnsi="Times New Roman" w:cs="Times New Roman"/>
          <w:sz w:val="20"/>
          <w:szCs w:val="20"/>
        </w:rPr>
        <w:t xml:space="preserve"> and were given </w:t>
      </w:r>
      <w:r w:rsidR="004E47B7" w:rsidRPr="00531701">
        <w:rPr>
          <w:rFonts w:ascii="Times New Roman" w:hAnsi="Times New Roman" w:cs="Times New Roman"/>
          <w:sz w:val="20"/>
          <w:szCs w:val="20"/>
        </w:rPr>
        <w:t xml:space="preserve">Androgen Deprivation Therapy (ADT). Out of 90 patients who were started on ADT, 16 patients were surgically castrated and 74 patients were on medical ADT. One patient succumbed to </w:t>
      </w:r>
      <w:r w:rsidRPr="00531701">
        <w:rPr>
          <w:rFonts w:ascii="Times New Roman" w:hAnsi="Times New Roman" w:cs="Times New Roman"/>
          <w:sz w:val="20"/>
          <w:szCs w:val="20"/>
        </w:rPr>
        <w:t>Castrate resistant prostate cancer (</w:t>
      </w:r>
      <w:r w:rsidR="004E47B7" w:rsidRPr="00531701">
        <w:rPr>
          <w:rFonts w:ascii="Times New Roman" w:hAnsi="Times New Roman" w:cs="Times New Roman"/>
          <w:sz w:val="20"/>
          <w:szCs w:val="20"/>
        </w:rPr>
        <w:t>CRPC</w:t>
      </w:r>
      <w:r w:rsidRPr="00531701">
        <w:rPr>
          <w:rFonts w:ascii="Times New Roman" w:hAnsi="Times New Roman" w:cs="Times New Roman"/>
          <w:sz w:val="20"/>
          <w:szCs w:val="20"/>
        </w:rPr>
        <w:t>)</w:t>
      </w:r>
      <w:r w:rsidR="004E47B7" w:rsidRPr="00531701">
        <w:rPr>
          <w:rFonts w:ascii="Times New Roman" w:hAnsi="Times New Roman" w:cs="Times New Roman"/>
          <w:sz w:val="20"/>
          <w:szCs w:val="20"/>
        </w:rPr>
        <w:t xml:space="preserve"> disease and hence follow up data could not be recorded. The distribution of patients among all the treatment modality groups is shown in Table 1.</w:t>
      </w:r>
    </w:p>
    <w:p w:rsidR="004E47B7" w:rsidRPr="00531701" w:rsidRDefault="00803E5F"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D</w:t>
      </w:r>
      <w:r w:rsidR="004E47B7" w:rsidRPr="00531701">
        <w:rPr>
          <w:rFonts w:ascii="Times New Roman" w:hAnsi="Times New Roman" w:cs="Times New Roman"/>
          <w:sz w:val="20"/>
          <w:szCs w:val="20"/>
        </w:rPr>
        <w:t>ifferent modalities of treatment and supplementation</w:t>
      </w:r>
      <w:r w:rsidRPr="00531701">
        <w:rPr>
          <w:rFonts w:ascii="Times New Roman" w:hAnsi="Times New Roman" w:cs="Times New Roman"/>
          <w:sz w:val="20"/>
          <w:szCs w:val="20"/>
        </w:rPr>
        <w:t xml:space="preserve"> </w:t>
      </w:r>
      <w:r w:rsidR="00E60FB1" w:rsidRPr="00531701">
        <w:rPr>
          <w:rFonts w:ascii="Times New Roman" w:hAnsi="Times New Roman" w:cs="Times New Roman"/>
          <w:sz w:val="20"/>
          <w:szCs w:val="20"/>
        </w:rPr>
        <w:t>improved the BMD of 92.1% patients</w:t>
      </w:r>
      <w:r w:rsidR="004E47B7" w:rsidRPr="00531701">
        <w:rPr>
          <w:rFonts w:ascii="Times New Roman" w:hAnsi="Times New Roman" w:cs="Times New Roman"/>
          <w:sz w:val="20"/>
          <w:szCs w:val="20"/>
        </w:rPr>
        <w:t xml:space="preserve">, while 7.9 % of patients continued deteriorating despite different therapies. </w:t>
      </w:r>
      <w:r w:rsidR="00E60FB1" w:rsidRPr="00531701">
        <w:rPr>
          <w:rFonts w:ascii="Times New Roman" w:hAnsi="Times New Roman" w:cs="Times New Roman"/>
          <w:sz w:val="20"/>
          <w:szCs w:val="20"/>
        </w:rPr>
        <w:t>C</w:t>
      </w:r>
      <w:r w:rsidR="004E47B7" w:rsidRPr="00531701">
        <w:rPr>
          <w:rFonts w:ascii="Times New Roman" w:hAnsi="Times New Roman" w:cs="Times New Roman"/>
          <w:bCs/>
          <w:sz w:val="20"/>
          <w:szCs w:val="20"/>
        </w:rPr>
        <w:t>alcium an</w:t>
      </w:r>
      <w:r w:rsidR="00E60FB1" w:rsidRPr="00531701">
        <w:rPr>
          <w:rFonts w:ascii="Times New Roman" w:hAnsi="Times New Roman" w:cs="Times New Roman"/>
          <w:bCs/>
          <w:sz w:val="20"/>
          <w:szCs w:val="20"/>
        </w:rPr>
        <w:t>d vitamin D supplementation were given in 15 patients with good baseline BMD</w:t>
      </w:r>
      <w:r w:rsidR="004E47B7" w:rsidRPr="00531701">
        <w:rPr>
          <w:rFonts w:ascii="Times New Roman" w:hAnsi="Times New Roman" w:cs="Times New Roman"/>
          <w:bCs/>
          <w:sz w:val="20"/>
          <w:szCs w:val="20"/>
        </w:rPr>
        <w:t xml:space="preserve">. </w:t>
      </w:r>
      <w:r w:rsidR="004E47B7" w:rsidRPr="00531701">
        <w:rPr>
          <w:rFonts w:ascii="Times New Roman" w:hAnsi="Times New Roman" w:cs="Times New Roman"/>
          <w:sz w:val="20"/>
          <w:szCs w:val="20"/>
        </w:rPr>
        <w:t>Although, BMD improved in certain patients with supplementation only, but p value for change in BMD was not significant. At the s</w:t>
      </w:r>
      <w:r w:rsidR="00E60FB1" w:rsidRPr="00531701">
        <w:rPr>
          <w:rFonts w:ascii="Times New Roman" w:hAnsi="Times New Roman" w:cs="Times New Roman"/>
          <w:sz w:val="20"/>
          <w:szCs w:val="20"/>
        </w:rPr>
        <w:t xml:space="preserve">ame time, </w:t>
      </w:r>
      <w:r w:rsidR="004E47B7" w:rsidRPr="00531701">
        <w:rPr>
          <w:rFonts w:ascii="Times New Roman" w:hAnsi="Times New Roman" w:cs="Times New Roman"/>
          <w:sz w:val="20"/>
          <w:szCs w:val="20"/>
        </w:rPr>
        <w:t xml:space="preserve">change over normal BMD </w:t>
      </w:r>
      <w:r w:rsidR="00E60FB1" w:rsidRPr="00531701">
        <w:rPr>
          <w:rFonts w:ascii="Times New Roman" w:hAnsi="Times New Roman" w:cs="Times New Roman"/>
          <w:sz w:val="20"/>
          <w:szCs w:val="20"/>
        </w:rPr>
        <w:t xml:space="preserve">was not expected in </w:t>
      </w:r>
      <w:r w:rsidR="004E47B7" w:rsidRPr="00531701">
        <w:rPr>
          <w:rFonts w:ascii="Times New Roman" w:hAnsi="Times New Roman" w:cs="Times New Roman"/>
          <w:sz w:val="20"/>
          <w:szCs w:val="20"/>
        </w:rPr>
        <w:t>this group.</w:t>
      </w:r>
      <w:r w:rsidR="0090231F" w:rsidRPr="00531701">
        <w:rPr>
          <w:rFonts w:ascii="Times New Roman" w:hAnsi="Times New Roman" w:cs="Times New Roman"/>
          <w:sz w:val="20"/>
          <w:szCs w:val="20"/>
        </w:rPr>
        <w:t xml:space="preserve"> Also, administration</w:t>
      </w:r>
      <w:r w:rsidR="00BA542A" w:rsidRPr="00531701">
        <w:rPr>
          <w:rFonts w:ascii="Times New Roman" w:hAnsi="Times New Roman" w:cs="Times New Roman"/>
          <w:sz w:val="20"/>
          <w:szCs w:val="20"/>
        </w:rPr>
        <w:t xml:space="preserve"> of </w:t>
      </w:r>
      <w:proofErr w:type="spellStart"/>
      <w:r w:rsidR="00BA542A" w:rsidRPr="00531701">
        <w:rPr>
          <w:rFonts w:ascii="Times New Roman" w:hAnsi="Times New Roman" w:cs="Times New Roman"/>
          <w:sz w:val="20"/>
          <w:szCs w:val="20"/>
        </w:rPr>
        <w:t>bicalutamide</w:t>
      </w:r>
      <w:proofErr w:type="spellEnd"/>
      <w:r w:rsidR="00BA542A" w:rsidRPr="00531701">
        <w:rPr>
          <w:rFonts w:ascii="Times New Roman" w:hAnsi="Times New Roman" w:cs="Times New Roman"/>
          <w:sz w:val="20"/>
          <w:szCs w:val="20"/>
        </w:rPr>
        <w:t xml:space="preserve"> was comparable in all groups under study.</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The</w:t>
      </w:r>
      <w:r w:rsidR="00E60FB1" w:rsidRPr="00531701">
        <w:rPr>
          <w:rFonts w:ascii="Times New Roman" w:hAnsi="Times New Roman" w:cs="Times New Roman"/>
          <w:sz w:val="20"/>
          <w:szCs w:val="20"/>
        </w:rPr>
        <w:t xml:space="preserve"> change in BMD with </w:t>
      </w:r>
      <w:r w:rsidR="00EB45A6" w:rsidRPr="00531701">
        <w:rPr>
          <w:rFonts w:ascii="Times New Roman" w:hAnsi="Times New Roman" w:cs="Times New Roman"/>
          <w:sz w:val="20"/>
          <w:szCs w:val="20"/>
        </w:rPr>
        <w:t>“</w:t>
      </w:r>
      <w:proofErr w:type="spellStart"/>
      <w:r w:rsidR="00DC0376" w:rsidRPr="00531701">
        <w:rPr>
          <w:rFonts w:ascii="Times New Roman" w:hAnsi="Times New Roman" w:cs="Times New Roman"/>
          <w:sz w:val="20"/>
          <w:szCs w:val="20"/>
        </w:rPr>
        <w:t>zoledronic</w:t>
      </w:r>
      <w:proofErr w:type="spellEnd"/>
      <w:r w:rsidR="00E60FB1" w:rsidRPr="00531701">
        <w:rPr>
          <w:rFonts w:ascii="Times New Roman" w:hAnsi="Times New Roman" w:cs="Times New Roman"/>
          <w:sz w:val="20"/>
          <w:szCs w:val="20"/>
        </w:rPr>
        <w:t xml:space="preserve"> a</w:t>
      </w:r>
      <w:r w:rsidRPr="00531701">
        <w:rPr>
          <w:rFonts w:ascii="Times New Roman" w:hAnsi="Times New Roman" w:cs="Times New Roman"/>
          <w:sz w:val="20"/>
          <w:szCs w:val="20"/>
        </w:rPr>
        <w:t>cid</w:t>
      </w:r>
      <w:r w:rsidR="00EB45A6" w:rsidRPr="00531701">
        <w:rPr>
          <w:rFonts w:ascii="Times New Roman" w:hAnsi="Times New Roman" w:cs="Times New Roman"/>
          <w:sz w:val="20"/>
          <w:szCs w:val="20"/>
        </w:rPr>
        <w:t>”</w:t>
      </w:r>
      <w:r w:rsidRPr="00531701">
        <w:rPr>
          <w:rFonts w:ascii="Times New Roman" w:hAnsi="Times New Roman" w:cs="Times New Roman"/>
          <w:sz w:val="20"/>
          <w:szCs w:val="20"/>
        </w:rPr>
        <w:t xml:space="preserve"> group (n=27) was compared at all the three sites and FRAX (</w:t>
      </w:r>
      <w:r w:rsidRPr="00531701">
        <w:rPr>
          <w:rFonts w:ascii="Times New Roman" w:hAnsi="Times New Roman" w:cs="Times New Roman"/>
          <w:color w:val="545454"/>
          <w:sz w:val="20"/>
          <w:szCs w:val="20"/>
          <w:shd w:val="clear" w:color="auto" w:fill="FFFFFF"/>
        </w:rPr>
        <w:t>Fracture Risk Assessment Tool</w:t>
      </w:r>
      <w:r w:rsidRPr="00531701">
        <w:rPr>
          <w:rFonts w:ascii="Times New Roman" w:hAnsi="Times New Roman" w:cs="Times New Roman"/>
          <w:sz w:val="20"/>
          <w:szCs w:val="20"/>
        </w:rPr>
        <w:t>) score was calculated. In lumbar region (L1- L4) the change in BMD from baseline to third month was found to be clinically significant (p=</w:t>
      </w:r>
      <w:r w:rsidR="00E60FB1" w:rsidRPr="00531701">
        <w:rPr>
          <w:rFonts w:ascii="Times New Roman" w:hAnsi="Times New Roman" w:cs="Times New Roman"/>
          <w:sz w:val="20"/>
          <w:szCs w:val="20"/>
        </w:rPr>
        <w:t>0</w:t>
      </w:r>
      <w:r w:rsidRPr="00531701">
        <w:rPr>
          <w:rFonts w:ascii="Times New Roman" w:hAnsi="Times New Roman" w:cs="Times New Roman"/>
          <w:sz w:val="20"/>
          <w:szCs w:val="20"/>
        </w:rPr>
        <w:t>.005). At the same time, changes from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to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were also significant (p=</w:t>
      </w:r>
      <w:r w:rsidR="00E60FB1" w:rsidRPr="00531701">
        <w:rPr>
          <w:rFonts w:ascii="Times New Roman" w:hAnsi="Times New Roman" w:cs="Times New Roman"/>
          <w:sz w:val="20"/>
          <w:szCs w:val="20"/>
        </w:rPr>
        <w:t>0</w:t>
      </w:r>
      <w:r w:rsidRPr="00531701">
        <w:rPr>
          <w:rFonts w:ascii="Times New Roman" w:hAnsi="Times New Roman" w:cs="Times New Roman"/>
          <w:sz w:val="20"/>
          <w:szCs w:val="20"/>
        </w:rPr>
        <w:t>.047). When BMD at 1</w:t>
      </w:r>
      <w:r w:rsidRPr="00531701">
        <w:rPr>
          <w:rFonts w:ascii="Times New Roman" w:hAnsi="Times New Roman" w:cs="Times New Roman"/>
          <w:sz w:val="20"/>
          <w:szCs w:val="20"/>
          <w:vertAlign w:val="superscript"/>
        </w:rPr>
        <w:t>st</w:t>
      </w:r>
      <w:r w:rsidRPr="00531701">
        <w:rPr>
          <w:rFonts w:ascii="Times New Roman" w:hAnsi="Times New Roman" w:cs="Times New Roman"/>
          <w:sz w:val="20"/>
          <w:szCs w:val="20"/>
        </w:rPr>
        <w:t xml:space="preserve"> visit was compared with BMD at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visit, the changes were highly significant (p=</w:t>
      </w:r>
      <w:r w:rsidR="00E60FB1" w:rsidRPr="00531701">
        <w:rPr>
          <w:rFonts w:ascii="Times New Roman" w:hAnsi="Times New Roman" w:cs="Times New Roman"/>
          <w:sz w:val="20"/>
          <w:szCs w:val="20"/>
        </w:rPr>
        <w:t>0</w:t>
      </w:r>
      <w:r w:rsidRPr="00531701">
        <w:rPr>
          <w:rFonts w:ascii="Times New Roman" w:hAnsi="Times New Roman" w:cs="Times New Roman"/>
          <w:sz w:val="20"/>
          <w:szCs w:val="20"/>
        </w:rPr>
        <w:t>.0001). Similarly, in left femoral neck significant improvement was noted in BMD at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and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follow up (p=</w:t>
      </w:r>
      <w:r w:rsidR="00E60FB1" w:rsidRPr="00531701">
        <w:rPr>
          <w:rFonts w:ascii="Times New Roman" w:hAnsi="Times New Roman" w:cs="Times New Roman"/>
          <w:sz w:val="20"/>
          <w:szCs w:val="20"/>
        </w:rPr>
        <w:t>0</w:t>
      </w:r>
      <w:r w:rsidRPr="00531701">
        <w:rPr>
          <w:rFonts w:ascii="Times New Roman" w:hAnsi="Times New Roman" w:cs="Times New Roman"/>
          <w:sz w:val="20"/>
          <w:szCs w:val="20"/>
        </w:rPr>
        <w:t xml:space="preserve">.022 &amp; </w:t>
      </w:r>
      <w:r w:rsidR="00E60FB1" w:rsidRPr="00531701">
        <w:rPr>
          <w:rFonts w:ascii="Times New Roman" w:hAnsi="Times New Roman" w:cs="Times New Roman"/>
          <w:sz w:val="20"/>
          <w:szCs w:val="20"/>
        </w:rPr>
        <w:t>0</w:t>
      </w:r>
      <w:r w:rsidRPr="00531701">
        <w:rPr>
          <w:rFonts w:ascii="Times New Roman" w:hAnsi="Times New Roman" w:cs="Times New Roman"/>
          <w:sz w:val="20"/>
          <w:szCs w:val="20"/>
        </w:rPr>
        <w:t>.049 respectively). The results at right femoral neck also matched the improvement in lumbar and femoral region.</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The mean change in</w:t>
      </w:r>
      <w:r w:rsidR="00E60FB1" w:rsidRPr="00531701">
        <w:rPr>
          <w:rFonts w:ascii="Times New Roman" w:hAnsi="Times New Roman" w:cs="Times New Roman"/>
          <w:sz w:val="20"/>
          <w:szCs w:val="20"/>
        </w:rPr>
        <w:t xml:space="preserve"> BMD at different regions with </w:t>
      </w:r>
      <w:r w:rsidR="00EB45A6" w:rsidRPr="00531701">
        <w:rPr>
          <w:rFonts w:ascii="Times New Roman" w:hAnsi="Times New Roman" w:cs="Times New Roman"/>
          <w:sz w:val="20"/>
          <w:szCs w:val="20"/>
        </w:rPr>
        <w:t>“</w:t>
      </w:r>
      <w:proofErr w:type="spellStart"/>
      <w:r w:rsidR="00DC0376" w:rsidRPr="00531701">
        <w:rPr>
          <w:rFonts w:ascii="Times New Roman" w:hAnsi="Times New Roman" w:cs="Times New Roman"/>
          <w:sz w:val="20"/>
          <w:szCs w:val="20"/>
        </w:rPr>
        <w:t>denosumab</w:t>
      </w:r>
      <w:proofErr w:type="spellEnd"/>
      <w:r w:rsidR="00EB45A6" w:rsidRPr="00531701">
        <w:rPr>
          <w:rFonts w:ascii="Times New Roman" w:hAnsi="Times New Roman" w:cs="Times New Roman"/>
          <w:sz w:val="20"/>
          <w:szCs w:val="20"/>
        </w:rPr>
        <w:t>”</w:t>
      </w:r>
      <w:r w:rsidRPr="00531701">
        <w:rPr>
          <w:rFonts w:ascii="Times New Roman" w:hAnsi="Times New Roman" w:cs="Times New Roman"/>
          <w:sz w:val="20"/>
          <w:szCs w:val="20"/>
        </w:rPr>
        <w:t xml:space="preserve"> (n=39) treatment was calculated. In lumbar region there was significant change from baseline BMD value (p=.011). The change in BMD of femur region in first three months was insignificant but was significant from baseline to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follow up visit (p=.013) though. In right femur neck region the improvement was significant from 0 to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month,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to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and also from 1</w:t>
      </w:r>
      <w:r w:rsidRPr="00531701">
        <w:rPr>
          <w:rFonts w:ascii="Times New Roman" w:hAnsi="Times New Roman" w:cs="Times New Roman"/>
          <w:sz w:val="20"/>
          <w:szCs w:val="20"/>
          <w:vertAlign w:val="superscript"/>
        </w:rPr>
        <w:t>st</w:t>
      </w:r>
      <w:r w:rsidRPr="00531701">
        <w:rPr>
          <w:rFonts w:ascii="Times New Roman" w:hAnsi="Times New Roman" w:cs="Times New Roman"/>
          <w:sz w:val="20"/>
          <w:szCs w:val="20"/>
        </w:rPr>
        <w:t xml:space="preserve"> to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(p= .008</w:t>
      </w:r>
      <w:r w:rsidR="00E60FB1" w:rsidRPr="00531701">
        <w:rPr>
          <w:rFonts w:ascii="Times New Roman" w:hAnsi="Times New Roman" w:cs="Times New Roman"/>
          <w:sz w:val="20"/>
          <w:szCs w:val="20"/>
        </w:rPr>
        <w:t xml:space="preserve">). However, in one patient the </w:t>
      </w:r>
      <w:proofErr w:type="spellStart"/>
      <w:r w:rsidR="00DC0376"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was stopped because the patient developed osteonecrosis of jaw (ONJ).</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In another group</w:t>
      </w:r>
      <w:r w:rsidR="00EB45A6" w:rsidRPr="00531701">
        <w:rPr>
          <w:rFonts w:ascii="Times New Roman" w:hAnsi="Times New Roman" w:cs="Times New Roman"/>
          <w:sz w:val="20"/>
          <w:szCs w:val="20"/>
        </w:rPr>
        <w:t xml:space="preserve"> (“</w:t>
      </w:r>
      <w:proofErr w:type="spellStart"/>
      <w:r w:rsidR="00EB45A6" w:rsidRPr="00531701">
        <w:rPr>
          <w:rFonts w:ascii="Times New Roman" w:hAnsi="Times New Roman" w:cs="Times New Roman"/>
          <w:sz w:val="20"/>
          <w:szCs w:val="20"/>
        </w:rPr>
        <w:t>Obs</w:t>
      </w:r>
      <w:proofErr w:type="spellEnd"/>
      <w:r w:rsidR="00EB45A6" w:rsidRPr="00531701">
        <w:rPr>
          <w:rFonts w:ascii="Times New Roman" w:hAnsi="Times New Roman" w:cs="Times New Roman"/>
          <w:sz w:val="20"/>
          <w:szCs w:val="20"/>
        </w:rPr>
        <w:t xml:space="preserve"> to Z”)</w:t>
      </w:r>
      <w:r w:rsidRPr="00531701">
        <w:rPr>
          <w:rFonts w:ascii="Times New Roman" w:hAnsi="Times New Roman" w:cs="Times New Roman"/>
          <w:sz w:val="20"/>
          <w:szCs w:val="20"/>
        </w:rPr>
        <w:t>,</w:t>
      </w:r>
      <w:r w:rsidR="00E60FB1" w:rsidRPr="00531701">
        <w:rPr>
          <w:rFonts w:ascii="Times New Roman" w:hAnsi="Times New Roman" w:cs="Times New Roman"/>
          <w:sz w:val="20"/>
          <w:szCs w:val="20"/>
        </w:rPr>
        <w:t xml:space="preserve"> a total of four</w:t>
      </w:r>
      <w:r w:rsidRPr="00531701">
        <w:rPr>
          <w:rFonts w:ascii="Times New Roman" w:hAnsi="Times New Roman" w:cs="Times New Roman"/>
          <w:sz w:val="20"/>
          <w:szCs w:val="20"/>
        </w:rPr>
        <w:t xml:space="preserve"> patients showed deterioration of BMD on observation </w:t>
      </w:r>
      <w:r w:rsidR="00E60FB1" w:rsidRPr="00531701">
        <w:rPr>
          <w:rFonts w:ascii="Times New Roman" w:hAnsi="Times New Roman" w:cs="Times New Roman"/>
          <w:sz w:val="20"/>
          <w:szCs w:val="20"/>
        </w:rPr>
        <w:t xml:space="preserve">and were shifted to </w:t>
      </w:r>
      <w:proofErr w:type="spellStart"/>
      <w:r w:rsidR="00DC0376" w:rsidRPr="00531701">
        <w:rPr>
          <w:rFonts w:ascii="Times New Roman" w:hAnsi="Times New Roman" w:cs="Times New Roman"/>
          <w:sz w:val="20"/>
          <w:szCs w:val="20"/>
        </w:rPr>
        <w:t>zoledronic</w:t>
      </w:r>
      <w:proofErr w:type="spellEnd"/>
      <w:r w:rsidR="00E60FB1" w:rsidRPr="00531701">
        <w:rPr>
          <w:rFonts w:ascii="Times New Roman" w:hAnsi="Times New Roman" w:cs="Times New Roman"/>
          <w:sz w:val="20"/>
          <w:szCs w:val="20"/>
        </w:rPr>
        <w:t xml:space="preserve"> a</w:t>
      </w:r>
      <w:r w:rsidRPr="00531701">
        <w:rPr>
          <w:rFonts w:ascii="Times New Roman" w:hAnsi="Times New Roman" w:cs="Times New Roman"/>
          <w:sz w:val="20"/>
          <w:szCs w:val="20"/>
        </w:rPr>
        <w:t>cid (n= 4).</w:t>
      </w:r>
    </w:p>
    <w:p w:rsidR="004E47B7" w:rsidRPr="00531701" w:rsidRDefault="00E60FB1"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lastRenderedPageBreak/>
        <w:t>Of patients</w:t>
      </w:r>
      <w:r w:rsidR="00EB45A6" w:rsidRPr="00531701">
        <w:rPr>
          <w:rFonts w:ascii="Times New Roman" w:hAnsi="Times New Roman" w:cs="Times New Roman"/>
          <w:sz w:val="20"/>
          <w:szCs w:val="20"/>
        </w:rPr>
        <w:t xml:space="preserve"> (“Z to D” group)</w:t>
      </w:r>
      <w:r w:rsidRPr="00531701">
        <w:rPr>
          <w:rFonts w:ascii="Times New Roman" w:hAnsi="Times New Roman" w:cs="Times New Roman"/>
          <w:sz w:val="20"/>
          <w:szCs w:val="20"/>
        </w:rPr>
        <w:t xml:space="preserve"> in whom </w:t>
      </w:r>
      <w:proofErr w:type="spellStart"/>
      <w:r w:rsidR="00DC0376"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w:t>
      </w:r>
      <w:r w:rsidR="004E47B7" w:rsidRPr="00531701">
        <w:rPr>
          <w:rFonts w:ascii="Times New Roman" w:hAnsi="Times New Roman" w:cs="Times New Roman"/>
          <w:sz w:val="20"/>
          <w:szCs w:val="20"/>
        </w:rPr>
        <w:t xml:space="preserve">cid was started at first visit but did not show improvement at 3 months, 20 patients were shifted to </w:t>
      </w:r>
      <w:proofErr w:type="spellStart"/>
      <w:r w:rsidR="00DC0376" w:rsidRPr="00531701">
        <w:rPr>
          <w:rFonts w:ascii="Times New Roman" w:hAnsi="Times New Roman" w:cs="Times New Roman"/>
          <w:sz w:val="20"/>
          <w:szCs w:val="20"/>
        </w:rPr>
        <w:t>Denosumab</w:t>
      </w:r>
      <w:proofErr w:type="spellEnd"/>
      <w:r w:rsidR="004E47B7" w:rsidRPr="00531701">
        <w:rPr>
          <w:rFonts w:ascii="Times New Roman" w:hAnsi="Times New Roman" w:cs="Times New Roman"/>
          <w:sz w:val="20"/>
          <w:szCs w:val="20"/>
        </w:rPr>
        <w:t xml:space="preserve"> therapy further and again analyzed for change in BMD at 6 months. This change was significant when compared from baseline to 6</w:t>
      </w:r>
      <w:r w:rsidR="004E47B7" w:rsidRPr="00531701">
        <w:rPr>
          <w:rFonts w:ascii="Times New Roman" w:hAnsi="Times New Roman" w:cs="Times New Roman"/>
          <w:sz w:val="20"/>
          <w:szCs w:val="20"/>
          <w:vertAlign w:val="superscript"/>
        </w:rPr>
        <w:t>th</w:t>
      </w:r>
      <w:r w:rsidR="004E47B7" w:rsidRPr="00531701">
        <w:rPr>
          <w:rFonts w:ascii="Times New Roman" w:hAnsi="Times New Roman" w:cs="Times New Roman"/>
          <w:sz w:val="20"/>
          <w:szCs w:val="20"/>
        </w:rPr>
        <w:t xml:space="preserve"> month (p=.001)</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The results with different treatment modalities a</w:t>
      </w:r>
      <w:r w:rsidR="004177A3" w:rsidRPr="00531701">
        <w:rPr>
          <w:rFonts w:ascii="Times New Roman" w:hAnsi="Times New Roman" w:cs="Times New Roman"/>
          <w:sz w:val="20"/>
          <w:szCs w:val="20"/>
        </w:rPr>
        <w:t>re combined in the bar charts</w:t>
      </w:r>
      <w:r w:rsidR="001B159B" w:rsidRPr="00531701">
        <w:rPr>
          <w:rFonts w:ascii="Times New Roman" w:hAnsi="Times New Roman" w:cs="Times New Roman"/>
          <w:sz w:val="20"/>
          <w:szCs w:val="20"/>
        </w:rPr>
        <w:t xml:space="preserve"> {</w:t>
      </w:r>
      <w:r w:rsidR="00EB45A6" w:rsidRPr="00531701">
        <w:rPr>
          <w:rFonts w:ascii="Times New Roman" w:hAnsi="Times New Roman" w:cs="Times New Roman"/>
          <w:sz w:val="20"/>
          <w:szCs w:val="20"/>
        </w:rPr>
        <w:t xml:space="preserve">bar </w:t>
      </w:r>
      <w:r w:rsidRPr="00531701">
        <w:rPr>
          <w:rFonts w:ascii="Times New Roman" w:hAnsi="Times New Roman" w:cs="Times New Roman"/>
          <w:sz w:val="20"/>
          <w:szCs w:val="20"/>
        </w:rPr>
        <w:t>diagram</w:t>
      </w:r>
      <w:r w:rsidR="001B159B" w:rsidRPr="00531701">
        <w:rPr>
          <w:rFonts w:ascii="Times New Roman" w:hAnsi="Times New Roman" w:cs="Times New Roman"/>
          <w:sz w:val="20"/>
          <w:szCs w:val="20"/>
        </w:rPr>
        <w:t xml:space="preserve"> (</w:t>
      </w:r>
      <w:r w:rsidR="00E60FB1" w:rsidRPr="00531701">
        <w:rPr>
          <w:rFonts w:ascii="Times New Roman" w:hAnsi="Times New Roman" w:cs="Times New Roman"/>
          <w:sz w:val="20"/>
          <w:szCs w:val="20"/>
        </w:rPr>
        <w:t>F</w:t>
      </w:r>
      <w:r w:rsidR="001B159B" w:rsidRPr="00531701">
        <w:rPr>
          <w:rFonts w:ascii="Times New Roman" w:hAnsi="Times New Roman" w:cs="Times New Roman"/>
          <w:sz w:val="20"/>
          <w:szCs w:val="20"/>
        </w:rPr>
        <w:t>igure</w:t>
      </w:r>
      <w:r w:rsidRPr="00531701">
        <w:rPr>
          <w:rFonts w:ascii="Times New Roman" w:hAnsi="Times New Roman" w:cs="Times New Roman"/>
          <w:sz w:val="20"/>
          <w:szCs w:val="20"/>
        </w:rPr>
        <w:t xml:space="preserve"> 1)</w:t>
      </w:r>
      <w:r w:rsidR="001B159B" w:rsidRPr="00531701">
        <w:rPr>
          <w:rFonts w:ascii="Times New Roman" w:hAnsi="Times New Roman" w:cs="Times New Roman"/>
          <w:sz w:val="20"/>
          <w:szCs w:val="20"/>
        </w:rPr>
        <w:t>}</w:t>
      </w:r>
      <w:r w:rsidR="004177A3" w:rsidRPr="00531701">
        <w:rPr>
          <w:rFonts w:ascii="Times New Roman" w:hAnsi="Times New Roman" w:cs="Times New Roman"/>
          <w:sz w:val="20"/>
          <w:szCs w:val="20"/>
        </w:rPr>
        <w:t>.</w:t>
      </w:r>
      <w:r w:rsidRPr="00531701">
        <w:rPr>
          <w:rFonts w:ascii="Times New Roman" w:hAnsi="Times New Roman" w:cs="Times New Roman"/>
          <w:sz w:val="20"/>
          <w:szCs w:val="20"/>
        </w:rPr>
        <w:t xml:space="preserve"> The change in T score at 3 visits was also calculated as represented in </w:t>
      </w:r>
      <w:r w:rsidR="004177A3" w:rsidRPr="00531701">
        <w:rPr>
          <w:rFonts w:ascii="Times New Roman" w:hAnsi="Times New Roman" w:cs="Times New Roman"/>
          <w:sz w:val="20"/>
          <w:szCs w:val="20"/>
        </w:rPr>
        <w:t xml:space="preserve">bar </w:t>
      </w:r>
      <w:r w:rsidR="001B159B" w:rsidRPr="00531701">
        <w:rPr>
          <w:rFonts w:ascii="Times New Roman" w:hAnsi="Times New Roman" w:cs="Times New Roman"/>
          <w:sz w:val="20"/>
          <w:szCs w:val="20"/>
        </w:rPr>
        <w:t>diagram (</w:t>
      </w:r>
      <w:r w:rsidR="00E60FB1" w:rsidRPr="00531701">
        <w:rPr>
          <w:rFonts w:ascii="Times New Roman" w:hAnsi="Times New Roman" w:cs="Times New Roman"/>
          <w:sz w:val="20"/>
          <w:szCs w:val="20"/>
        </w:rPr>
        <w:t>F</w:t>
      </w:r>
      <w:r w:rsidR="001B159B" w:rsidRPr="00531701">
        <w:rPr>
          <w:rFonts w:ascii="Times New Roman" w:hAnsi="Times New Roman" w:cs="Times New Roman"/>
          <w:sz w:val="20"/>
          <w:szCs w:val="20"/>
        </w:rPr>
        <w:t>igure</w:t>
      </w:r>
      <w:r w:rsidRPr="00531701">
        <w:rPr>
          <w:rFonts w:ascii="Times New Roman" w:hAnsi="Times New Roman" w:cs="Times New Roman"/>
          <w:sz w:val="20"/>
          <w:szCs w:val="20"/>
        </w:rPr>
        <w:t>2</w:t>
      </w:r>
      <w:r w:rsidR="001B159B" w:rsidRPr="00531701">
        <w:rPr>
          <w:rFonts w:ascii="Times New Roman" w:hAnsi="Times New Roman" w:cs="Times New Roman"/>
          <w:sz w:val="20"/>
          <w:szCs w:val="20"/>
        </w:rPr>
        <w:t>)</w:t>
      </w:r>
      <w:r w:rsidRPr="00531701">
        <w:rPr>
          <w:rFonts w:ascii="Times New Roman" w:hAnsi="Times New Roman" w:cs="Times New Roman"/>
          <w:sz w:val="20"/>
          <w:szCs w:val="20"/>
        </w:rPr>
        <w:t>. Similar observations were made in left femur neck region.</w:t>
      </w:r>
      <w:r w:rsidR="004D0C03">
        <w:rPr>
          <w:rFonts w:ascii="Times New Roman" w:hAnsi="Times New Roman" w:cs="Times New Roman"/>
          <w:sz w:val="20"/>
          <w:szCs w:val="20"/>
        </w:rPr>
        <w:t xml:space="preserve"> </w:t>
      </w:r>
      <w:r w:rsidR="006F27B1" w:rsidRPr="00531701">
        <w:rPr>
          <w:rFonts w:ascii="Times New Roman" w:hAnsi="Times New Roman" w:cs="Times New Roman"/>
          <w:sz w:val="20"/>
          <w:szCs w:val="20"/>
        </w:rPr>
        <w:t>The p</w:t>
      </w:r>
      <w:r w:rsidRPr="00531701">
        <w:rPr>
          <w:rFonts w:ascii="Times New Roman" w:hAnsi="Times New Roman" w:cs="Times New Roman"/>
          <w:sz w:val="20"/>
          <w:szCs w:val="20"/>
        </w:rPr>
        <w:t>ercentage improvement in BMD from baseline was compared in patien</w:t>
      </w:r>
      <w:r w:rsidR="00E60FB1" w:rsidRPr="00531701">
        <w:rPr>
          <w:rFonts w:ascii="Times New Roman" w:hAnsi="Times New Roman" w:cs="Times New Roman"/>
          <w:sz w:val="20"/>
          <w:szCs w:val="20"/>
        </w:rPr>
        <w:t xml:space="preserve">ts (n= 47) who were started on </w:t>
      </w:r>
      <w:proofErr w:type="spellStart"/>
      <w:r w:rsidR="00DC0376" w:rsidRPr="00531701">
        <w:rPr>
          <w:rFonts w:ascii="Times New Roman" w:hAnsi="Times New Roman" w:cs="Times New Roman"/>
          <w:sz w:val="20"/>
          <w:szCs w:val="20"/>
        </w:rPr>
        <w:t>zoledronic</w:t>
      </w:r>
      <w:proofErr w:type="spellEnd"/>
      <w:r w:rsidR="00E60FB1" w:rsidRPr="00531701">
        <w:rPr>
          <w:rFonts w:ascii="Times New Roman" w:hAnsi="Times New Roman" w:cs="Times New Roman"/>
          <w:sz w:val="20"/>
          <w:szCs w:val="20"/>
        </w:rPr>
        <w:t xml:space="preserve"> a</w:t>
      </w:r>
      <w:r w:rsidRPr="00531701">
        <w:rPr>
          <w:rFonts w:ascii="Times New Roman" w:hAnsi="Times New Roman" w:cs="Times New Roman"/>
          <w:sz w:val="20"/>
          <w:szCs w:val="20"/>
        </w:rPr>
        <w:t>ci</w:t>
      </w:r>
      <w:r w:rsidR="00E60FB1" w:rsidRPr="00531701">
        <w:rPr>
          <w:rFonts w:ascii="Times New Roman" w:hAnsi="Times New Roman" w:cs="Times New Roman"/>
          <w:sz w:val="20"/>
          <w:szCs w:val="20"/>
        </w:rPr>
        <w:t xml:space="preserve">d with patients (n=39) in whom </w:t>
      </w:r>
      <w:proofErr w:type="spellStart"/>
      <w:r w:rsidR="00DC0376"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was started as primary therapy. The results were calculated using independent sample t test. The improvement was more in </w:t>
      </w:r>
      <w:proofErr w:type="spellStart"/>
      <w:r w:rsidR="00DC0376"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group (p &lt;</w:t>
      </w:r>
      <w:r w:rsidR="00E60FB1" w:rsidRPr="00531701">
        <w:rPr>
          <w:rFonts w:ascii="Times New Roman" w:hAnsi="Times New Roman" w:cs="Times New Roman"/>
          <w:sz w:val="20"/>
          <w:szCs w:val="20"/>
        </w:rPr>
        <w:t>0.</w:t>
      </w:r>
      <w:r w:rsidRPr="00531701">
        <w:rPr>
          <w:rFonts w:ascii="Times New Roman" w:hAnsi="Times New Roman" w:cs="Times New Roman"/>
          <w:sz w:val="20"/>
          <w:szCs w:val="20"/>
        </w:rPr>
        <w:t xml:space="preserve">05). </w:t>
      </w:r>
    </w:p>
    <w:p w:rsidR="004E47B7" w:rsidRPr="00531701" w:rsidRDefault="00E60FB1"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Gradual improvement wa</w:t>
      </w:r>
      <w:r w:rsidR="004E47B7" w:rsidRPr="00531701">
        <w:rPr>
          <w:rFonts w:ascii="Times New Roman" w:hAnsi="Times New Roman" w:cs="Times New Roman"/>
          <w:sz w:val="20"/>
          <w:szCs w:val="20"/>
        </w:rPr>
        <w:t>s noted in T-S</w:t>
      </w:r>
      <w:r w:rsidRPr="00531701">
        <w:rPr>
          <w:rFonts w:ascii="Times New Roman" w:hAnsi="Times New Roman" w:cs="Times New Roman"/>
          <w:sz w:val="20"/>
          <w:szCs w:val="20"/>
        </w:rPr>
        <w:t>core in patients included in this study as depicted</w:t>
      </w:r>
      <w:r w:rsidR="004E47B7" w:rsidRPr="00531701">
        <w:rPr>
          <w:rFonts w:ascii="Times New Roman" w:hAnsi="Times New Roman" w:cs="Times New Roman"/>
          <w:sz w:val="20"/>
          <w:szCs w:val="20"/>
        </w:rPr>
        <w:t xml:space="preserve"> in Table 2.  </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Overall, in lumbar region, BMD measurement was 1.0537 g/cm</w:t>
      </w:r>
      <w:r w:rsidRPr="00531701">
        <w:rPr>
          <w:rFonts w:ascii="Times New Roman" w:hAnsi="Times New Roman" w:cs="Times New Roman"/>
          <w:sz w:val="20"/>
          <w:szCs w:val="20"/>
          <w:vertAlign w:val="superscript"/>
        </w:rPr>
        <w:t>2</w:t>
      </w:r>
      <w:r w:rsidRPr="00531701">
        <w:rPr>
          <w:rFonts w:ascii="Times New Roman" w:hAnsi="Times New Roman" w:cs="Times New Roman"/>
          <w:sz w:val="20"/>
          <w:szCs w:val="20"/>
        </w:rPr>
        <w:t xml:space="preserve"> at 1</w:t>
      </w:r>
      <w:r w:rsidRPr="00531701">
        <w:rPr>
          <w:rFonts w:ascii="Times New Roman" w:hAnsi="Times New Roman" w:cs="Times New Roman"/>
          <w:sz w:val="20"/>
          <w:szCs w:val="20"/>
          <w:vertAlign w:val="superscript"/>
        </w:rPr>
        <w:t>st</w:t>
      </w:r>
      <w:r w:rsidRPr="00531701">
        <w:rPr>
          <w:rFonts w:ascii="Times New Roman" w:hAnsi="Times New Roman" w:cs="Times New Roman"/>
          <w:sz w:val="20"/>
          <w:szCs w:val="20"/>
        </w:rPr>
        <w:t xml:space="preserve"> visit which was increased to 1.1501 g/cm</w:t>
      </w:r>
      <w:r w:rsidRPr="00531701">
        <w:rPr>
          <w:rFonts w:ascii="Times New Roman" w:hAnsi="Times New Roman" w:cs="Times New Roman"/>
          <w:sz w:val="20"/>
          <w:szCs w:val="20"/>
          <w:vertAlign w:val="superscript"/>
        </w:rPr>
        <w:t>2</w:t>
      </w:r>
      <w:r w:rsidRPr="00531701">
        <w:rPr>
          <w:rFonts w:ascii="Times New Roman" w:hAnsi="Times New Roman" w:cs="Times New Roman"/>
          <w:sz w:val="20"/>
          <w:szCs w:val="20"/>
        </w:rPr>
        <w:t xml:space="preserve"> at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month (p&lt;.05), with further increase to 1.1926  g/cm</w:t>
      </w:r>
      <w:r w:rsidRPr="00531701">
        <w:rPr>
          <w:rFonts w:ascii="Times New Roman" w:hAnsi="Times New Roman" w:cs="Times New Roman"/>
          <w:sz w:val="20"/>
          <w:szCs w:val="20"/>
          <w:vertAlign w:val="superscript"/>
        </w:rPr>
        <w:t>2</w:t>
      </w:r>
      <w:r w:rsidRPr="00531701">
        <w:rPr>
          <w:rFonts w:ascii="Times New Roman" w:hAnsi="Times New Roman" w:cs="Times New Roman"/>
          <w:sz w:val="20"/>
          <w:szCs w:val="20"/>
        </w:rPr>
        <w:t xml:space="preserve"> (p&lt;.05) at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follow up. Similarly in left femur neck region, the baseline BMD was 0.7749 g/cm</w:t>
      </w:r>
      <w:r w:rsidRPr="00531701">
        <w:rPr>
          <w:rFonts w:ascii="Times New Roman" w:hAnsi="Times New Roman" w:cs="Times New Roman"/>
          <w:sz w:val="20"/>
          <w:szCs w:val="20"/>
          <w:vertAlign w:val="superscript"/>
        </w:rPr>
        <w:t>2</w:t>
      </w:r>
      <w:r w:rsidRPr="00531701">
        <w:rPr>
          <w:rFonts w:ascii="Times New Roman" w:hAnsi="Times New Roman" w:cs="Times New Roman"/>
          <w:sz w:val="20"/>
          <w:szCs w:val="20"/>
        </w:rPr>
        <w:t xml:space="preserve"> which showed increment at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month to 0.8292 g/cm</w:t>
      </w:r>
      <w:r w:rsidRPr="00531701">
        <w:rPr>
          <w:rFonts w:ascii="Times New Roman" w:hAnsi="Times New Roman" w:cs="Times New Roman"/>
          <w:sz w:val="20"/>
          <w:szCs w:val="20"/>
          <w:vertAlign w:val="superscript"/>
        </w:rPr>
        <w:t>2</w:t>
      </w:r>
      <w:r w:rsidRPr="00531701">
        <w:rPr>
          <w:rFonts w:ascii="Times New Roman" w:hAnsi="Times New Roman" w:cs="Times New Roman"/>
          <w:sz w:val="20"/>
          <w:szCs w:val="20"/>
        </w:rPr>
        <w:t>(p&lt;</w:t>
      </w:r>
      <w:r w:rsidR="00E60FB1" w:rsidRPr="00531701">
        <w:rPr>
          <w:rFonts w:ascii="Times New Roman" w:hAnsi="Times New Roman" w:cs="Times New Roman"/>
          <w:sz w:val="20"/>
          <w:szCs w:val="20"/>
        </w:rPr>
        <w:t>0</w:t>
      </w:r>
      <w:r w:rsidRPr="00531701">
        <w:rPr>
          <w:rFonts w:ascii="Times New Roman" w:hAnsi="Times New Roman" w:cs="Times New Roman"/>
          <w:sz w:val="20"/>
          <w:szCs w:val="20"/>
        </w:rPr>
        <w:t>.05) which further increased to 0.902 g/cm</w:t>
      </w:r>
      <w:r w:rsidRPr="00531701">
        <w:rPr>
          <w:rFonts w:ascii="Times New Roman" w:hAnsi="Times New Roman" w:cs="Times New Roman"/>
          <w:sz w:val="20"/>
          <w:szCs w:val="20"/>
          <w:vertAlign w:val="superscript"/>
        </w:rPr>
        <w:t>2</w:t>
      </w:r>
      <w:r w:rsidRPr="00531701">
        <w:rPr>
          <w:rFonts w:ascii="Times New Roman" w:hAnsi="Times New Roman" w:cs="Times New Roman"/>
          <w:sz w:val="20"/>
          <w:szCs w:val="20"/>
        </w:rPr>
        <w:t xml:space="preserve"> (p&lt;.05) at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follow up. </w:t>
      </w:r>
    </w:p>
    <w:p w:rsidR="00531701" w:rsidRDefault="00531701" w:rsidP="00531701">
      <w:pPr>
        <w:spacing w:after="0" w:line="360" w:lineRule="auto"/>
        <w:rPr>
          <w:rFonts w:ascii="Times New Roman" w:hAnsi="Times New Roman" w:cs="Times New Roman"/>
          <w:b/>
          <w:sz w:val="20"/>
          <w:szCs w:val="20"/>
        </w:rPr>
      </w:pPr>
    </w:p>
    <w:p w:rsidR="00531701" w:rsidRPr="00531701" w:rsidRDefault="00531701" w:rsidP="00531701">
      <w:pPr>
        <w:spacing w:line="240" w:lineRule="auto"/>
        <w:rPr>
          <w:rFonts w:ascii="Times New Roman" w:hAnsi="Times New Roman" w:cs="Times New Roman"/>
          <w:b/>
          <w:sz w:val="20"/>
          <w:szCs w:val="20"/>
        </w:rPr>
      </w:pPr>
      <w:r w:rsidRPr="00531701">
        <w:rPr>
          <w:rFonts w:ascii="Times New Roman" w:hAnsi="Times New Roman" w:cs="Times New Roman"/>
          <w:b/>
          <w:sz w:val="20"/>
          <w:szCs w:val="20"/>
        </w:rPr>
        <w:t xml:space="preserve">Table 1 </w:t>
      </w:r>
      <w:r w:rsidRPr="00531701">
        <w:rPr>
          <w:rFonts w:ascii="Times New Roman" w:hAnsi="Times New Roman" w:cs="Times New Roman"/>
          <w:sz w:val="20"/>
          <w:szCs w:val="20"/>
        </w:rPr>
        <w:t>Distribution of patients among all the treatment modalities</w:t>
      </w:r>
    </w:p>
    <w:tbl>
      <w:tblPr>
        <w:tblStyle w:val="TableGrid"/>
        <w:tblW w:w="8280" w:type="dxa"/>
        <w:jc w:val="center"/>
        <w:tblLayout w:type="fixed"/>
        <w:tblLook w:val="0000" w:firstRow="0" w:lastRow="0" w:firstColumn="0" w:lastColumn="0" w:noHBand="0" w:noVBand="0"/>
      </w:tblPr>
      <w:tblGrid>
        <w:gridCol w:w="1440"/>
        <w:gridCol w:w="1440"/>
        <w:gridCol w:w="1800"/>
        <w:gridCol w:w="1713"/>
        <w:gridCol w:w="1887"/>
      </w:tblGrid>
      <w:tr w:rsidR="00531701" w:rsidRPr="00531701" w:rsidTr="00FA5D67">
        <w:trPr>
          <w:jc w:val="center"/>
        </w:trPr>
        <w:tc>
          <w:tcPr>
            <w:tcW w:w="1440" w:type="dxa"/>
          </w:tcPr>
          <w:p w:rsidR="00531701" w:rsidRPr="00531701" w:rsidRDefault="00531701" w:rsidP="00FA5D67">
            <w:pPr>
              <w:spacing w:line="320" w:lineRule="atLeast"/>
              <w:ind w:left="60" w:right="60"/>
              <w:jc w:val="center"/>
              <w:rPr>
                <w:rFonts w:ascii="Times New Roman" w:hAnsi="Times New Roman" w:cs="Times New Roman"/>
                <w:sz w:val="20"/>
                <w:szCs w:val="20"/>
              </w:rPr>
            </w:pPr>
            <w:r w:rsidRPr="00531701">
              <w:rPr>
                <w:rFonts w:ascii="Times New Roman" w:hAnsi="Times New Roman" w:cs="Times New Roman"/>
                <w:sz w:val="20"/>
                <w:szCs w:val="20"/>
              </w:rPr>
              <w:t>Group</w:t>
            </w:r>
          </w:p>
        </w:tc>
        <w:tc>
          <w:tcPr>
            <w:tcW w:w="1440" w:type="dxa"/>
          </w:tcPr>
          <w:p w:rsidR="00531701" w:rsidRPr="00531701" w:rsidRDefault="00531701" w:rsidP="00FA5D67">
            <w:pPr>
              <w:spacing w:line="320" w:lineRule="atLeast"/>
              <w:ind w:left="60" w:right="60"/>
              <w:jc w:val="center"/>
              <w:rPr>
                <w:rFonts w:ascii="Times New Roman" w:hAnsi="Times New Roman" w:cs="Times New Roman"/>
                <w:sz w:val="20"/>
                <w:szCs w:val="20"/>
              </w:rPr>
            </w:pPr>
            <w:r w:rsidRPr="00531701">
              <w:rPr>
                <w:rFonts w:ascii="Times New Roman" w:hAnsi="Times New Roman" w:cs="Times New Roman"/>
                <w:sz w:val="20"/>
                <w:szCs w:val="20"/>
              </w:rPr>
              <w:t>Frequency</w:t>
            </w:r>
          </w:p>
        </w:tc>
        <w:tc>
          <w:tcPr>
            <w:tcW w:w="1800" w:type="dxa"/>
          </w:tcPr>
          <w:p w:rsidR="00531701" w:rsidRPr="00531701" w:rsidRDefault="00531701" w:rsidP="00FA5D67">
            <w:pPr>
              <w:spacing w:line="320" w:lineRule="atLeast"/>
              <w:ind w:left="60" w:right="60"/>
              <w:jc w:val="center"/>
              <w:rPr>
                <w:rFonts w:ascii="Times New Roman" w:hAnsi="Times New Roman" w:cs="Times New Roman"/>
                <w:sz w:val="20"/>
                <w:szCs w:val="20"/>
              </w:rPr>
            </w:pPr>
            <w:proofErr w:type="spellStart"/>
            <w:r w:rsidRPr="00531701">
              <w:rPr>
                <w:rFonts w:ascii="Times New Roman" w:hAnsi="Times New Roman" w:cs="Times New Roman"/>
                <w:sz w:val="20"/>
                <w:szCs w:val="20"/>
              </w:rPr>
              <w:t>Percent</w:t>
            </w:r>
            <w:proofErr w:type="spellEnd"/>
          </w:p>
        </w:tc>
        <w:tc>
          <w:tcPr>
            <w:tcW w:w="1713" w:type="dxa"/>
          </w:tcPr>
          <w:p w:rsidR="00531701" w:rsidRPr="00531701" w:rsidRDefault="00531701" w:rsidP="00FA5D67">
            <w:pPr>
              <w:spacing w:line="320" w:lineRule="atLeast"/>
              <w:ind w:left="60" w:right="60"/>
              <w:jc w:val="center"/>
              <w:rPr>
                <w:rFonts w:ascii="Times New Roman" w:hAnsi="Times New Roman" w:cs="Times New Roman"/>
                <w:sz w:val="20"/>
                <w:szCs w:val="20"/>
              </w:rPr>
            </w:pPr>
            <w:r w:rsidRPr="00531701">
              <w:rPr>
                <w:rFonts w:ascii="Times New Roman" w:hAnsi="Times New Roman" w:cs="Times New Roman"/>
                <w:sz w:val="20"/>
                <w:szCs w:val="20"/>
              </w:rPr>
              <w:t>Frequency</w:t>
            </w:r>
          </w:p>
        </w:tc>
        <w:tc>
          <w:tcPr>
            <w:tcW w:w="1887" w:type="dxa"/>
          </w:tcPr>
          <w:p w:rsidR="00531701" w:rsidRPr="00531701" w:rsidRDefault="00531701" w:rsidP="00FA5D67">
            <w:pPr>
              <w:spacing w:line="320" w:lineRule="atLeast"/>
              <w:ind w:left="60" w:right="60"/>
              <w:jc w:val="center"/>
              <w:rPr>
                <w:rFonts w:ascii="Times New Roman" w:hAnsi="Times New Roman" w:cs="Times New Roman"/>
                <w:sz w:val="20"/>
                <w:szCs w:val="20"/>
              </w:rPr>
            </w:pPr>
            <w:proofErr w:type="spellStart"/>
            <w:r w:rsidRPr="00531701">
              <w:rPr>
                <w:rFonts w:ascii="Times New Roman" w:hAnsi="Times New Roman" w:cs="Times New Roman"/>
                <w:sz w:val="20"/>
                <w:szCs w:val="20"/>
              </w:rPr>
              <w:t>Percent</w:t>
            </w:r>
            <w:proofErr w:type="spellEnd"/>
          </w:p>
        </w:tc>
      </w:tr>
      <w:tr w:rsidR="00531701" w:rsidRPr="00531701" w:rsidTr="00FA5D67">
        <w:trPr>
          <w:jc w:val="center"/>
        </w:trPr>
        <w:tc>
          <w:tcPr>
            <w:tcW w:w="1440" w:type="dxa"/>
          </w:tcPr>
          <w:p w:rsidR="00531701" w:rsidRPr="00531701" w:rsidRDefault="00531701" w:rsidP="00FA5D67">
            <w:pPr>
              <w:spacing w:line="320" w:lineRule="atLeast"/>
              <w:ind w:left="60" w:right="60"/>
              <w:rPr>
                <w:rFonts w:ascii="Times New Roman" w:hAnsi="Times New Roman" w:cs="Times New Roman"/>
                <w:sz w:val="20"/>
                <w:szCs w:val="20"/>
              </w:rPr>
            </w:pPr>
          </w:p>
        </w:tc>
        <w:tc>
          <w:tcPr>
            <w:tcW w:w="3240" w:type="dxa"/>
            <w:gridSpan w:val="2"/>
          </w:tcPr>
          <w:p w:rsidR="00531701" w:rsidRPr="00531701" w:rsidRDefault="00531701" w:rsidP="00FA5D67">
            <w:pPr>
              <w:spacing w:line="320" w:lineRule="atLeast"/>
              <w:ind w:left="60" w:right="60"/>
              <w:jc w:val="center"/>
              <w:rPr>
                <w:rFonts w:ascii="Times New Roman" w:hAnsi="Times New Roman" w:cs="Times New Roman"/>
                <w:b/>
                <w:sz w:val="20"/>
                <w:szCs w:val="20"/>
              </w:rPr>
            </w:pPr>
            <w:r w:rsidRPr="00531701">
              <w:rPr>
                <w:rFonts w:ascii="Times New Roman" w:hAnsi="Times New Roman" w:cs="Times New Roman"/>
                <w:b/>
                <w:sz w:val="20"/>
                <w:szCs w:val="20"/>
              </w:rPr>
              <w:t>For  First 3 months</w:t>
            </w:r>
          </w:p>
        </w:tc>
        <w:tc>
          <w:tcPr>
            <w:tcW w:w="3600" w:type="dxa"/>
            <w:gridSpan w:val="2"/>
          </w:tcPr>
          <w:p w:rsidR="00531701" w:rsidRPr="00531701" w:rsidRDefault="00531701" w:rsidP="00FA5D67">
            <w:pPr>
              <w:spacing w:line="320" w:lineRule="atLeast"/>
              <w:ind w:left="60" w:right="60"/>
              <w:jc w:val="center"/>
              <w:rPr>
                <w:rFonts w:ascii="Times New Roman" w:hAnsi="Times New Roman" w:cs="Times New Roman"/>
                <w:b/>
                <w:sz w:val="20"/>
                <w:szCs w:val="20"/>
              </w:rPr>
            </w:pPr>
            <w:r w:rsidRPr="00531701">
              <w:rPr>
                <w:rFonts w:ascii="Times New Roman" w:hAnsi="Times New Roman" w:cs="Times New Roman"/>
                <w:b/>
                <w:sz w:val="20"/>
                <w:szCs w:val="20"/>
              </w:rPr>
              <w:t>From 3</w:t>
            </w:r>
            <w:r w:rsidRPr="00531701">
              <w:rPr>
                <w:rFonts w:ascii="Times New Roman" w:hAnsi="Times New Roman" w:cs="Times New Roman"/>
                <w:b/>
                <w:sz w:val="20"/>
                <w:szCs w:val="20"/>
                <w:vertAlign w:val="superscript"/>
              </w:rPr>
              <w:t>rd</w:t>
            </w:r>
            <w:r w:rsidRPr="00531701">
              <w:rPr>
                <w:rFonts w:ascii="Times New Roman" w:hAnsi="Times New Roman" w:cs="Times New Roman"/>
                <w:b/>
                <w:sz w:val="20"/>
                <w:szCs w:val="20"/>
              </w:rPr>
              <w:t xml:space="preserve"> to 6</w:t>
            </w:r>
            <w:r w:rsidRPr="00531701">
              <w:rPr>
                <w:rFonts w:ascii="Times New Roman" w:hAnsi="Times New Roman" w:cs="Times New Roman"/>
                <w:b/>
                <w:sz w:val="20"/>
                <w:szCs w:val="20"/>
                <w:vertAlign w:val="superscript"/>
              </w:rPr>
              <w:t>th</w:t>
            </w:r>
            <w:r w:rsidRPr="00531701">
              <w:rPr>
                <w:rFonts w:ascii="Times New Roman" w:hAnsi="Times New Roman" w:cs="Times New Roman"/>
                <w:b/>
                <w:sz w:val="20"/>
                <w:szCs w:val="20"/>
              </w:rPr>
              <w:t xml:space="preserve">  month</w:t>
            </w:r>
          </w:p>
        </w:tc>
      </w:tr>
      <w:tr w:rsidR="00531701" w:rsidRPr="00531701" w:rsidTr="00FA5D67">
        <w:trPr>
          <w:jc w:val="center"/>
        </w:trPr>
        <w:tc>
          <w:tcPr>
            <w:tcW w:w="1440" w:type="dxa"/>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D</w:t>
            </w:r>
          </w:p>
        </w:tc>
        <w:tc>
          <w:tcPr>
            <w:tcW w:w="144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39</w:t>
            </w:r>
          </w:p>
        </w:tc>
        <w:tc>
          <w:tcPr>
            <w:tcW w:w="180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38.6</w:t>
            </w:r>
          </w:p>
        </w:tc>
        <w:tc>
          <w:tcPr>
            <w:tcW w:w="1713"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39</w:t>
            </w:r>
          </w:p>
        </w:tc>
        <w:tc>
          <w:tcPr>
            <w:tcW w:w="1887"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38.6</w:t>
            </w:r>
          </w:p>
        </w:tc>
      </w:tr>
      <w:tr w:rsidR="00531701" w:rsidRPr="00531701" w:rsidTr="00FA5D67">
        <w:trPr>
          <w:jc w:val="center"/>
        </w:trPr>
        <w:tc>
          <w:tcPr>
            <w:tcW w:w="1440" w:type="dxa"/>
          </w:tcPr>
          <w:p w:rsidR="00531701" w:rsidRPr="00531701" w:rsidRDefault="00531701" w:rsidP="00FA5D67">
            <w:pPr>
              <w:spacing w:line="320" w:lineRule="atLeast"/>
              <w:ind w:left="60" w:right="60"/>
              <w:rPr>
                <w:rFonts w:ascii="Times New Roman" w:hAnsi="Times New Roman" w:cs="Times New Roman"/>
                <w:sz w:val="20"/>
                <w:szCs w:val="20"/>
              </w:rPr>
            </w:pPr>
            <w:proofErr w:type="spellStart"/>
            <w:r w:rsidRPr="00531701">
              <w:rPr>
                <w:rFonts w:ascii="Times New Roman" w:hAnsi="Times New Roman" w:cs="Times New Roman"/>
                <w:sz w:val="20"/>
                <w:szCs w:val="20"/>
              </w:rPr>
              <w:t>Obs</w:t>
            </w:r>
            <w:proofErr w:type="spellEnd"/>
          </w:p>
        </w:tc>
        <w:tc>
          <w:tcPr>
            <w:tcW w:w="144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15</w:t>
            </w:r>
          </w:p>
        </w:tc>
        <w:tc>
          <w:tcPr>
            <w:tcW w:w="180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14.9</w:t>
            </w:r>
          </w:p>
        </w:tc>
        <w:tc>
          <w:tcPr>
            <w:tcW w:w="1713"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11</w:t>
            </w:r>
          </w:p>
        </w:tc>
        <w:tc>
          <w:tcPr>
            <w:tcW w:w="1887"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10.9</w:t>
            </w:r>
          </w:p>
        </w:tc>
      </w:tr>
      <w:tr w:rsidR="00531701" w:rsidRPr="00531701" w:rsidTr="00FA5D67">
        <w:trPr>
          <w:jc w:val="center"/>
        </w:trPr>
        <w:tc>
          <w:tcPr>
            <w:tcW w:w="1440" w:type="dxa"/>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Z</w:t>
            </w:r>
          </w:p>
        </w:tc>
        <w:tc>
          <w:tcPr>
            <w:tcW w:w="144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47</w:t>
            </w:r>
          </w:p>
        </w:tc>
        <w:tc>
          <w:tcPr>
            <w:tcW w:w="180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46.5</w:t>
            </w:r>
          </w:p>
        </w:tc>
        <w:tc>
          <w:tcPr>
            <w:tcW w:w="1713"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27</w:t>
            </w:r>
          </w:p>
        </w:tc>
        <w:tc>
          <w:tcPr>
            <w:tcW w:w="1887"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26.7</w:t>
            </w:r>
          </w:p>
        </w:tc>
      </w:tr>
      <w:tr w:rsidR="00531701" w:rsidRPr="00531701" w:rsidTr="00FA5D67">
        <w:trPr>
          <w:jc w:val="center"/>
        </w:trPr>
        <w:tc>
          <w:tcPr>
            <w:tcW w:w="1440" w:type="dxa"/>
          </w:tcPr>
          <w:p w:rsidR="00531701" w:rsidRPr="00531701" w:rsidRDefault="00531701" w:rsidP="00FA5D67">
            <w:pPr>
              <w:spacing w:line="320" w:lineRule="atLeast"/>
              <w:ind w:left="60" w:right="60"/>
              <w:rPr>
                <w:rFonts w:ascii="Times New Roman" w:hAnsi="Times New Roman" w:cs="Times New Roman"/>
                <w:sz w:val="20"/>
                <w:szCs w:val="20"/>
              </w:rPr>
            </w:pPr>
            <w:proofErr w:type="spellStart"/>
            <w:r w:rsidRPr="00531701">
              <w:rPr>
                <w:rFonts w:ascii="Times New Roman" w:hAnsi="Times New Roman" w:cs="Times New Roman"/>
                <w:sz w:val="20"/>
                <w:szCs w:val="20"/>
              </w:rPr>
              <w:t>Obs</w:t>
            </w:r>
            <w:proofErr w:type="spellEnd"/>
            <w:r w:rsidRPr="00531701">
              <w:rPr>
                <w:rFonts w:ascii="Times New Roman" w:hAnsi="Times New Roman" w:cs="Times New Roman"/>
                <w:sz w:val="20"/>
                <w:szCs w:val="20"/>
              </w:rPr>
              <w:t xml:space="preserve"> to Z</w:t>
            </w:r>
          </w:p>
        </w:tc>
        <w:tc>
          <w:tcPr>
            <w:tcW w:w="144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p>
        </w:tc>
        <w:tc>
          <w:tcPr>
            <w:tcW w:w="180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p>
        </w:tc>
        <w:tc>
          <w:tcPr>
            <w:tcW w:w="1713"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4</w:t>
            </w:r>
          </w:p>
        </w:tc>
        <w:tc>
          <w:tcPr>
            <w:tcW w:w="1887"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4</w:t>
            </w:r>
          </w:p>
        </w:tc>
      </w:tr>
      <w:tr w:rsidR="00531701" w:rsidRPr="00531701" w:rsidTr="00FA5D67">
        <w:trPr>
          <w:jc w:val="center"/>
        </w:trPr>
        <w:tc>
          <w:tcPr>
            <w:tcW w:w="1440" w:type="dxa"/>
            <w:vAlign w:val="center"/>
          </w:tcPr>
          <w:p w:rsidR="00531701" w:rsidRPr="00531701" w:rsidRDefault="00531701" w:rsidP="00FA5D67">
            <w:pPr>
              <w:rPr>
                <w:rFonts w:ascii="Times New Roman" w:hAnsi="Times New Roman" w:cs="Times New Roman"/>
                <w:sz w:val="20"/>
                <w:szCs w:val="20"/>
              </w:rPr>
            </w:pPr>
            <w:r w:rsidRPr="00531701">
              <w:rPr>
                <w:rFonts w:ascii="Times New Roman" w:hAnsi="Times New Roman" w:cs="Times New Roman"/>
                <w:sz w:val="20"/>
                <w:szCs w:val="20"/>
              </w:rPr>
              <w:t xml:space="preserve"> Z to D</w:t>
            </w:r>
          </w:p>
        </w:tc>
        <w:tc>
          <w:tcPr>
            <w:tcW w:w="144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p>
        </w:tc>
        <w:tc>
          <w:tcPr>
            <w:tcW w:w="180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p>
        </w:tc>
        <w:tc>
          <w:tcPr>
            <w:tcW w:w="1713" w:type="dxa"/>
            <w:vAlign w:val="center"/>
          </w:tcPr>
          <w:p w:rsidR="00531701" w:rsidRPr="00531701" w:rsidRDefault="00531701" w:rsidP="00FA5D67">
            <w:pPr>
              <w:tabs>
                <w:tab w:val="center" w:pos="748"/>
                <w:tab w:val="left" w:pos="1440"/>
              </w:tabs>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20</w:t>
            </w:r>
          </w:p>
        </w:tc>
        <w:tc>
          <w:tcPr>
            <w:tcW w:w="1887"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19.8</w:t>
            </w:r>
          </w:p>
        </w:tc>
      </w:tr>
      <w:tr w:rsidR="00531701" w:rsidRPr="00531701" w:rsidTr="00FA5D67">
        <w:trPr>
          <w:jc w:val="center"/>
        </w:trPr>
        <w:tc>
          <w:tcPr>
            <w:tcW w:w="1440" w:type="dxa"/>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Total</w:t>
            </w:r>
          </w:p>
        </w:tc>
        <w:tc>
          <w:tcPr>
            <w:tcW w:w="144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101</w:t>
            </w:r>
          </w:p>
        </w:tc>
        <w:tc>
          <w:tcPr>
            <w:tcW w:w="1800"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100.0</w:t>
            </w:r>
          </w:p>
        </w:tc>
        <w:tc>
          <w:tcPr>
            <w:tcW w:w="1713"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101</w:t>
            </w:r>
          </w:p>
        </w:tc>
        <w:tc>
          <w:tcPr>
            <w:tcW w:w="1887" w:type="dxa"/>
            <w:vAlign w:val="center"/>
          </w:tcPr>
          <w:p w:rsidR="00531701" w:rsidRPr="00531701" w:rsidRDefault="00531701" w:rsidP="00FA5D67">
            <w:pPr>
              <w:spacing w:line="320" w:lineRule="atLeast"/>
              <w:ind w:left="60" w:right="60"/>
              <w:rPr>
                <w:rFonts w:ascii="Times New Roman" w:hAnsi="Times New Roman" w:cs="Times New Roman"/>
                <w:sz w:val="20"/>
                <w:szCs w:val="20"/>
              </w:rPr>
            </w:pPr>
            <w:r w:rsidRPr="00531701">
              <w:rPr>
                <w:rFonts w:ascii="Times New Roman" w:hAnsi="Times New Roman" w:cs="Times New Roman"/>
                <w:sz w:val="20"/>
                <w:szCs w:val="20"/>
              </w:rPr>
              <w:t>100.0</w:t>
            </w:r>
          </w:p>
        </w:tc>
      </w:tr>
    </w:tbl>
    <w:p w:rsidR="004D0C03" w:rsidRDefault="004D0C03" w:rsidP="00531701">
      <w:pPr>
        <w:rPr>
          <w:rFonts w:ascii="Times New Roman" w:hAnsi="Times New Roman" w:cs="Times New Roman"/>
          <w:sz w:val="20"/>
          <w:szCs w:val="20"/>
        </w:rPr>
      </w:pPr>
    </w:p>
    <w:p w:rsidR="00531701" w:rsidRPr="00531701" w:rsidRDefault="00531701" w:rsidP="004D0C03">
      <w:pPr>
        <w:spacing w:line="360" w:lineRule="auto"/>
        <w:rPr>
          <w:rFonts w:ascii="Times New Roman" w:hAnsi="Times New Roman" w:cs="Times New Roman"/>
          <w:sz w:val="20"/>
          <w:szCs w:val="20"/>
        </w:rPr>
      </w:pPr>
      <w:r w:rsidRPr="00531701">
        <w:rPr>
          <w:rFonts w:ascii="Times New Roman" w:hAnsi="Times New Roman" w:cs="Times New Roman"/>
          <w:sz w:val="20"/>
          <w:szCs w:val="20"/>
        </w:rPr>
        <w:t>There were 3 groups for first 3 months of study period, which were increased to 5 groups from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to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of study period after shifting to different treatment modality as per BMD measurements at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month.  D, </w:t>
      </w:r>
      <w:proofErr w:type="spellStart"/>
      <w:r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group, </w:t>
      </w:r>
      <w:proofErr w:type="spellStart"/>
      <w:r w:rsidRPr="00531701">
        <w:rPr>
          <w:rFonts w:ascii="Times New Roman" w:hAnsi="Times New Roman" w:cs="Times New Roman"/>
          <w:sz w:val="20"/>
          <w:szCs w:val="20"/>
        </w:rPr>
        <w:t>Obs</w:t>
      </w:r>
      <w:proofErr w:type="spellEnd"/>
      <w:r w:rsidRPr="00531701">
        <w:rPr>
          <w:rFonts w:ascii="Times New Roman" w:hAnsi="Times New Roman" w:cs="Times New Roman"/>
          <w:sz w:val="20"/>
          <w:szCs w:val="20"/>
        </w:rPr>
        <w:t xml:space="preserve">, Observation group, Z, </w:t>
      </w:r>
      <w:proofErr w:type="spellStart"/>
      <w:r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Acid group, </w:t>
      </w:r>
      <w:proofErr w:type="spellStart"/>
      <w:r w:rsidRPr="00531701">
        <w:rPr>
          <w:rFonts w:ascii="Times New Roman" w:hAnsi="Times New Roman" w:cs="Times New Roman"/>
          <w:sz w:val="20"/>
          <w:szCs w:val="20"/>
        </w:rPr>
        <w:t>Obs</w:t>
      </w:r>
      <w:proofErr w:type="spellEnd"/>
      <w:r w:rsidRPr="00531701">
        <w:rPr>
          <w:rFonts w:ascii="Times New Roman" w:hAnsi="Times New Roman" w:cs="Times New Roman"/>
          <w:sz w:val="20"/>
          <w:szCs w:val="20"/>
        </w:rPr>
        <w:t xml:space="preserve"> to Z, Observation to </w:t>
      </w:r>
      <w:proofErr w:type="spellStart"/>
      <w:r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Acid group, Z to D,  </w:t>
      </w:r>
      <w:proofErr w:type="spellStart"/>
      <w:r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Acid to </w:t>
      </w:r>
      <w:proofErr w:type="spellStart"/>
      <w:r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group</w:t>
      </w:r>
      <w:r w:rsidR="004D0C03">
        <w:rPr>
          <w:rFonts w:ascii="Times New Roman" w:hAnsi="Times New Roman" w:cs="Times New Roman"/>
          <w:sz w:val="20"/>
          <w:szCs w:val="20"/>
        </w:rPr>
        <w:t>.</w:t>
      </w:r>
    </w:p>
    <w:p w:rsidR="004D0C03" w:rsidRDefault="004D0C03" w:rsidP="00531701">
      <w:pPr>
        <w:rPr>
          <w:rFonts w:ascii="Times New Roman" w:hAnsi="Times New Roman" w:cs="Times New Roman"/>
          <w:b/>
          <w:sz w:val="20"/>
          <w:szCs w:val="20"/>
        </w:rPr>
      </w:pPr>
    </w:p>
    <w:p w:rsidR="004D0C03" w:rsidRDefault="004D0C03" w:rsidP="00531701">
      <w:pPr>
        <w:rPr>
          <w:rFonts w:ascii="Times New Roman" w:hAnsi="Times New Roman" w:cs="Times New Roman"/>
          <w:b/>
          <w:sz w:val="20"/>
          <w:szCs w:val="20"/>
        </w:rPr>
      </w:pPr>
    </w:p>
    <w:p w:rsidR="004D0C03" w:rsidRDefault="004D0C03" w:rsidP="00531701">
      <w:pPr>
        <w:rPr>
          <w:rFonts w:ascii="Times New Roman" w:hAnsi="Times New Roman" w:cs="Times New Roman"/>
          <w:b/>
          <w:sz w:val="20"/>
          <w:szCs w:val="20"/>
        </w:rPr>
      </w:pPr>
    </w:p>
    <w:p w:rsidR="004D0C03" w:rsidRDefault="004D0C03" w:rsidP="00531701">
      <w:pPr>
        <w:rPr>
          <w:rFonts w:ascii="Times New Roman" w:hAnsi="Times New Roman" w:cs="Times New Roman"/>
          <w:b/>
          <w:sz w:val="20"/>
          <w:szCs w:val="20"/>
        </w:rPr>
      </w:pPr>
    </w:p>
    <w:p w:rsidR="00531701" w:rsidRPr="00531701" w:rsidRDefault="00531701" w:rsidP="00531701">
      <w:pPr>
        <w:rPr>
          <w:rFonts w:ascii="Times New Roman" w:hAnsi="Times New Roman" w:cs="Times New Roman"/>
          <w:sz w:val="20"/>
          <w:szCs w:val="20"/>
        </w:rPr>
      </w:pPr>
      <w:r w:rsidRPr="00531701">
        <w:rPr>
          <w:rFonts w:ascii="Times New Roman" w:hAnsi="Times New Roman" w:cs="Times New Roman"/>
          <w:b/>
          <w:sz w:val="20"/>
          <w:szCs w:val="20"/>
        </w:rPr>
        <w:lastRenderedPageBreak/>
        <w:t xml:space="preserve">Table 2   </w:t>
      </w:r>
      <w:r w:rsidRPr="00531701">
        <w:rPr>
          <w:rFonts w:ascii="Times New Roman" w:hAnsi="Times New Roman" w:cs="Times New Roman"/>
          <w:sz w:val="20"/>
          <w:szCs w:val="20"/>
        </w:rPr>
        <w:t>Change in T – Score (Lumbar region) distribution at different visits</w:t>
      </w:r>
    </w:p>
    <w:tbl>
      <w:tblPr>
        <w:tblStyle w:val="TableGrid"/>
        <w:tblW w:w="9688" w:type="dxa"/>
        <w:tblLook w:val="04A0" w:firstRow="1" w:lastRow="0" w:firstColumn="1" w:lastColumn="0" w:noHBand="0" w:noVBand="1"/>
      </w:tblPr>
      <w:tblGrid>
        <w:gridCol w:w="2358"/>
        <w:gridCol w:w="2430"/>
        <w:gridCol w:w="2430"/>
        <w:gridCol w:w="2470"/>
      </w:tblGrid>
      <w:tr w:rsidR="00531701" w:rsidRPr="00531701" w:rsidTr="00FA5D67">
        <w:tc>
          <w:tcPr>
            <w:tcW w:w="9688" w:type="dxa"/>
            <w:gridSpan w:val="4"/>
          </w:tcPr>
          <w:p w:rsidR="00531701" w:rsidRPr="00531701" w:rsidRDefault="00531701" w:rsidP="00FA5D67">
            <w:pPr>
              <w:spacing w:line="320" w:lineRule="atLeast"/>
              <w:ind w:left="60" w:right="60"/>
              <w:jc w:val="center"/>
              <w:rPr>
                <w:rFonts w:ascii="Times New Roman" w:hAnsi="Times New Roman" w:cs="Times New Roman"/>
                <w:sz w:val="20"/>
                <w:szCs w:val="20"/>
              </w:rPr>
            </w:pPr>
            <w:r w:rsidRPr="00531701">
              <w:rPr>
                <w:rFonts w:ascii="Times New Roman" w:hAnsi="Times New Roman" w:cs="Times New Roman"/>
                <w:sz w:val="20"/>
                <w:szCs w:val="20"/>
              </w:rPr>
              <w:t>T score distribution at first visit (baseline)</w:t>
            </w:r>
          </w:p>
        </w:tc>
      </w:tr>
      <w:tr w:rsidR="00531701" w:rsidRPr="00531701" w:rsidTr="00FA5D67">
        <w:tc>
          <w:tcPr>
            <w:tcW w:w="2358" w:type="dxa"/>
          </w:tcPr>
          <w:p w:rsidR="00531701" w:rsidRPr="00531701" w:rsidRDefault="00531701" w:rsidP="00FA5D67">
            <w:pPr>
              <w:spacing w:line="320" w:lineRule="atLeast"/>
              <w:ind w:left="60" w:right="60"/>
              <w:jc w:val="center"/>
              <w:rPr>
                <w:rFonts w:ascii="Times New Roman" w:hAnsi="Times New Roman" w:cs="Times New Roman"/>
                <w:sz w:val="20"/>
                <w:szCs w:val="20"/>
              </w:rPr>
            </w:pPr>
            <w:r w:rsidRPr="00531701">
              <w:rPr>
                <w:rFonts w:ascii="Times New Roman" w:hAnsi="Times New Roman" w:cs="Times New Roman"/>
                <w:sz w:val="20"/>
                <w:szCs w:val="20"/>
              </w:rPr>
              <w:t xml:space="preserve">T score Range </w:t>
            </w:r>
          </w:p>
        </w:tc>
        <w:tc>
          <w:tcPr>
            <w:tcW w:w="2430" w:type="dxa"/>
          </w:tcPr>
          <w:p w:rsidR="00531701" w:rsidRPr="00531701" w:rsidRDefault="00531701" w:rsidP="00FA5D67">
            <w:pPr>
              <w:spacing w:line="320" w:lineRule="atLeast"/>
              <w:ind w:left="60" w:right="60"/>
              <w:jc w:val="center"/>
              <w:rPr>
                <w:rFonts w:ascii="Times New Roman" w:hAnsi="Times New Roman" w:cs="Times New Roman"/>
                <w:sz w:val="20"/>
                <w:szCs w:val="20"/>
              </w:rPr>
            </w:pPr>
            <w:r w:rsidRPr="00531701">
              <w:rPr>
                <w:rFonts w:ascii="Times New Roman" w:hAnsi="Times New Roman" w:cs="Times New Roman"/>
                <w:sz w:val="20"/>
                <w:szCs w:val="20"/>
              </w:rPr>
              <w:t>Frequency</w:t>
            </w:r>
          </w:p>
        </w:tc>
        <w:tc>
          <w:tcPr>
            <w:tcW w:w="2430" w:type="dxa"/>
          </w:tcPr>
          <w:p w:rsidR="00531701" w:rsidRPr="00531701" w:rsidRDefault="00531701" w:rsidP="00FA5D67">
            <w:pPr>
              <w:spacing w:line="320" w:lineRule="atLeast"/>
              <w:ind w:left="60" w:right="60"/>
              <w:jc w:val="center"/>
              <w:rPr>
                <w:rFonts w:ascii="Times New Roman" w:hAnsi="Times New Roman" w:cs="Times New Roman"/>
                <w:sz w:val="20"/>
                <w:szCs w:val="20"/>
              </w:rPr>
            </w:pPr>
            <w:proofErr w:type="spellStart"/>
            <w:r w:rsidRPr="00531701">
              <w:rPr>
                <w:rFonts w:ascii="Times New Roman" w:hAnsi="Times New Roman" w:cs="Times New Roman"/>
                <w:sz w:val="20"/>
                <w:szCs w:val="20"/>
              </w:rPr>
              <w:t>Percent</w:t>
            </w:r>
            <w:proofErr w:type="spellEnd"/>
          </w:p>
        </w:tc>
        <w:tc>
          <w:tcPr>
            <w:tcW w:w="2470" w:type="dxa"/>
          </w:tcPr>
          <w:p w:rsidR="00531701" w:rsidRPr="00531701" w:rsidRDefault="00531701" w:rsidP="00FA5D67">
            <w:pPr>
              <w:spacing w:line="320" w:lineRule="atLeast"/>
              <w:ind w:left="60" w:right="60"/>
              <w:jc w:val="center"/>
              <w:rPr>
                <w:rFonts w:ascii="Times New Roman" w:hAnsi="Times New Roman" w:cs="Times New Roman"/>
                <w:sz w:val="20"/>
                <w:szCs w:val="20"/>
              </w:rPr>
            </w:pPr>
            <w:r w:rsidRPr="00531701">
              <w:rPr>
                <w:rFonts w:ascii="Times New Roman" w:hAnsi="Times New Roman" w:cs="Times New Roman"/>
                <w:sz w:val="20"/>
                <w:szCs w:val="20"/>
              </w:rPr>
              <w:t xml:space="preserve">Valid </w:t>
            </w:r>
            <w:proofErr w:type="spellStart"/>
            <w:r w:rsidRPr="00531701">
              <w:rPr>
                <w:rFonts w:ascii="Times New Roman" w:hAnsi="Times New Roman" w:cs="Times New Roman"/>
                <w:sz w:val="20"/>
                <w:szCs w:val="20"/>
              </w:rPr>
              <w:t>Percent</w:t>
            </w:r>
            <w:proofErr w:type="spellEnd"/>
          </w:p>
        </w:tc>
      </w:tr>
      <w:tr w:rsidR="00531701" w:rsidRPr="00531701" w:rsidTr="00FA5D67">
        <w:tc>
          <w:tcPr>
            <w:tcW w:w="2358" w:type="dxa"/>
            <w:vAlign w:val="center"/>
          </w:tcPr>
          <w:p w:rsidR="00531701" w:rsidRPr="00531701" w:rsidRDefault="00531701" w:rsidP="00FA5D67">
            <w:pPr>
              <w:spacing w:line="320" w:lineRule="atLeast"/>
              <w:ind w:right="60"/>
              <w:rPr>
                <w:rFonts w:ascii="Times New Roman" w:hAnsi="Times New Roman" w:cs="Times New Roman"/>
                <w:sz w:val="20"/>
                <w:szCs w:val="20"/>
              </w:rPr>
            </w:pPr>
            <w:r w:rsidRPr="00531701">
              <w:rPr>
                <w:rFonts w:ascii="Times New Roman" w:hAnsi="Times New Roman" w:cs="Times New Roman"/>
                <w:sz w:val="20"/>
                <w:szCs w:val="20"/>
              </w:rPr>
              <w:t>Normal</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28</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27.7</w:t>
            </w:r>
          </w:p>
        </w:tc>
        <w:tc>
          <w:tcPr>
            <w:tcW w:w="247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27.7</w:t>
            </w:r>
          </w:p>
        </w:tc>
      </w:tr>
      <w:tr w:rsidR="00531701" w:rsidRPr="00531701" w:rsidTr="00FA5D67">
        <w:tc>
          <w:tcPr>
            <w:tcW w:w="2358" w:type="dxa"/>
            <w:vAlign w:val="center"/>
          </w:tcPr>
          <w:p w:rsidR="00531701" w:rsidRPr="00531701" w:rsidRDefault="00531701" w:rsidP="00FA5D67">
            <w:pPr>
              <w:spacing w:line="320" w:lineRule="atLeast"/>
              <w:ind w:right="60"/>
              <w:rPr>
                <w:rFonts w:ascii="Times New Roman" w:hAnsi="Times New Roman" w:cs="Times New Roman"/>
                <w:sz w:val="20"/>
                <w:szCs w:val="20"/>
              </w:rPr>
            </w:pPr>
            <w:proofErr w:type="spellStart"/>
            <w:r w:rsidRPr="00531701">
              <w:rPr>
                <w:rFonts w:ascii="Times New Roman" w:hAnsi="Times New Roman" w:cs="Times New Roman"/>
                <w:sz w:val="20"/>
                <w:szCs w:val="20"/>
              </w:rPr>
              <w:t>Osteopenic</w:t>
            </w:r>
            <w:proofErr w:type="spellEnd"/>
            <w:r w:rsidRPr="00531701">
              <w:rPr>
                <w:rFonts w:ascii="Times New Roman" w:hAnsi="Times New Roman" w:cs="Times New Roman"/>
                <w:sz w:val="20"/>
                <w:szCs w:val="20"/>
              </w:rPr>
              <w:t xml:space="preserve"> (&lt;-1 to &gt;-2.4)</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44</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43.6</w:t>
            </w:r>
          </w:p>
        </w:tc>
        <w:tc>
          <w:tcPr>
            <w:tcW w:w="247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43.6</w:t>
            </w:r>
          </w:p>
        </w:tc>
      </w:tr>
      <w:tr w:rsidR="00531701" w:rsidRPr="00531701" w:rsidTr="00FA5D67">
        <w:tc>
          <w:tcPr>
            <w:tcW w:w="2358" w:type="dxa"/>
            <w:vAlign w:val="center"/>
          </w:tcPr>
          <w:p w:rsidR="00531701" w:rsidRPr="00531701" w:rsidRDefault="00531701" w:rsidP="00FA5D67">
            <w:pPr>
              <w:spacing w:line="320" w:lineRule="atLeast"/>
              <w:ind w:right="60"/>
              <w:rPr>
                <w:rFonts w:ascii="Times New Roman" w:hAnsi="Times New Roman" w:cs="Times New Roman"/>
                <w:sz w:val="20"/>
                <w:szCs w:val="20"/>
              </w:rPr>
            </w:pPr>
            <w:r w:rsidRPr="00531701">
              <w:rPr>
                <w:rFonts w:ascii="Times New Roman" w:hAnsi="Times New Roman" w:cs="Times New Roman"/>
                <w:sz w:val="20"/>
                <w:szCs w:val="20"/>
              </w:rPr>
              <w:t>Osteoporotic (≤ -2.5)</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29</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28.7</w:t>
            </w:r>
          </w:p>
        </w:tc>
        <w:tc>
          <w:tcPr>
            <w:tcW w:w="247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28.7</w:t>
            </w:r>
          </w:p>
        </w:tc>
      </w:tr>
      <w:tr w:rsidR="00531701" w:rsidRPr="00531701" w:rsidTr="00FA5D67">
        <w:tc>
          <w:tcPr>
            <w:tcW w:w="9688" w:type="dxa"/>
            <w:gridSpan w:val="4"/>
            <w:vAlign w:val="center"/>
          </w:tcPr>
          <w:p w:rsidR="00531701" w:rsidRPr="00531701" w:rsidRDefault="00531701" w:rsidP="00FA5D67">
            <w:pPr>
              <w:spacing w:line="320" w:lineRule="atLeast"/>
              <w:ind w:left="60" w:right="60"/>
              <w:jc w:val="center"/>
              <w:rPr>
                <w:rFonts w:ascii="Times New Roman" w:hAnsi="Times New Roman" w:cs="Times New Roman"/>
                <w:sz w:val="20"/>
                <w:szCs w:val="20"/>
              </w:rPr>
            </w:pPr>
            <w:r w:rsidRPr="00531701">
              <w:rPr>
                <w:rFonts w:ascii="Times New Roman" w:hAnsi="Times New Roman" w:cs="Times New Roman"/>
                <w:sz w:val="20"/>
                <w:szCs w:val="20"/>
              </w:rPr>
              <w:t>T score distribution at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month.</w:t>
            </w:r>
          </w:p>
        </w:tc>
      </w:tr>
      <w:tr w:rsidR="00531701" w:rsidRPr="00531701" w:rsidTr="00FA5D67">
        <w:tc>
          <w:tcPr>
            <w:tcW w:w="2358" w:type="dxa"/>
            <w:vAlign w:val="center"/>
          </w:tcPr>
          <w:p w:rsidR="00531701" w:rsidRPr="00531701" w:rsidRDefault="00531701" w:rsidP="00FA5D67">
            <w:pPr>
              <w:spacing w:line="320" w:lineRule="atLeast"/>
              <w:ind w:right="60"/>
              <w:rPr>
                <w:rFonts w:ascii="Times New Roman" w:hAnsi="Times New Roman" w:cs="Times New Roman"/>
                <w:sz w:val="20"/>
                <w:szCs w:val="20"/>
              </w:rPr>
            </w:pPr>
            <w:r w:rsidRPr="00531701">
              <w:rPr>
                <w:rFonts w:ascii="Times New Roman" w:hAnsi="Times New Roman" w:cs="Times New Roman"/>
                <w:sz w:val="20"/>
                <w:szCs w:val="20"/>
              </w:rPr>
              <w:t>Normal</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33</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32.7</w:t>
            </w:r>
          </w:p>
        </w:tc>
        <w:tc>
          <w:tcPr>
            <w:tcW w:w="247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33.0</w:t>
            </w:r>
          </w:p>
        </w:tc>
      </w:tr>
      <w:tr w:rsidR="00531701" w:rsidRPr="00531701" w:rsidTr="00FA5D67">
        <w:tc>
          <w:tcPr>
            <w:tcW w:w="2358" w:type="dxa"/>
            <w:vAlign w:val="center"/>
          </w:tcPr>
          <w:p w:rsidR="00531701" w:rsidRPr="00531701" w:rsidRDefault="00531701" w:rsidP="00FA5D67">
            <w:pPr>
              <w:spacing w:line="320" w:lineRule="atLeast"/>
              <w:ind w:right="60"/>
              <w:rPr>
                <w:rFonts w:ascii="Times New Roman" w:hAnsi="Times New Roman" w:cs="Times New Roman"/>
                <w:sz w:val="20"/>
                <w:szCs w:val="20"/>
              </w:rPr>
            </w:pPr>
            <w:proofErr w:type="spellStart"/>
            <w:r w:rsidRPr="00531701">
              <w:rPr>
                <w:rFonts w:ascii="Times New Roman" w:hAnsi="Times New Roman" w:cs="Times New Roman"/>
                <w:sz w:val="20"/>
                <w:szCs w:val="20"/>
              </w:rPr>
              <w:t>Osteopenic</w:t>
            </w:r>
            <w:proofErr w:type="spellEnd"/>
            <w:r w:rsidRPr="00531701">
              <w:rPr>
                <w:rFonts w:ascii="Times New Roman" w:hAnsi="Times New Roman" w:cs="Times New Roman"/>
                <w:sz w:val="20"/>
                <w:szCs w:val="20"/>
              </w:rPr>
              <w:t xml:space="preserve"> (&lt;-1 to &gt;-2.4)</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51</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50.5</w:t>
            </w:r>
          </w:p>
        </w:tc>
        <w:tc>
          <w:tcPr>
            <w:tcW w:w="247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51.0</w:t>
            </w:r>
          </w:p>
        </w:tc>
      </w:tr>
      <w:tr w:rsidR="00531701" w:rsidRPr="00531701" w:rsidTr="00FA5D67">
        <w:tc>
          <w:tcPr>
            <w:tcW w:w="2358" w:type="dxa"/>
            <w:vAlign w:val="center"/>
          </w:tcPr>
          <w:p w:rsidR="00531701" w:rsidRPr="00531701" w:rsidRDefault="00531701" w:rsidP="00FA5D67">
            <w:pPr>
              <w:spacing w:line="320" w:lineRule="atLeast"/>
              <w:ind w:right="60"/>
              <w:rPr>
                <w:rFonts w:ascii="Times New Roman" w:hAnsi="Times New Roman" w:cs="Times New Roman"/>
                <w:sz w:val="20"/>
                <w:szCs w:val="20"/>
              </w:rPr>
            </w:pPr>
            <w:r w:rsidRPr="00531701">
              <w:rPr>
                <w:rFonts w:ascii="Times New Roman" w:hAnsi="Times New Roman" w:cs="Times New Roman"/>
                <w:sz w:val="20"/>
                <w:szCs w:val="20"/>
              </w:rPr>
              <w:t>Osteoporotic (≤ -2.5)</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16</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15.8</w:t>
            </w:r>
          </w:p>
        </w:tc>
        <w:tc>
          <w:tcPr>
            <w:tcW w:w="247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16.0</w:t>
            </w:r>
          </w:p>
        </w:tc>
      </w:tr>
      <w:tr w:rsidR="00531701" w:rsidRPr="00531701" w:rsidTr="00FA5D67">
        <w:tc>
          <w:tcPr>
            <w:tcW w:w="9688" w:type="dxa"/>
            <w:gridSpan w:val="4"/>
            <w:vAlign w:val="center"/>
          </w:tcPr>
          <w:p w:rsidR="00531701" w:rsidRPr="00531701" w:rsidRDefault="00531701" w:rsidP="00FA5D67">
            <w:pPr>
              <w:jc w:val="center"/>
              <w:rPr>
                <w:rFonts w:ascii="Times New Roman" w:hAnsi="Times New Roman" w:cs="Times New Roman"/>
                <w:sz w:val="20"/>
                <w:szCs w:val="20"/>
              </w:rPr>
            </w:pPr>
            <w:r w:rsidRPr="00531701">
              <w:rPr>
                <w:rFonts w:ascii="Times New Roman" w:hAnsi="Times New Roman" w:cs="Times New Roman"/>
                <w:sz w:val="20"/>
                <w:szCs w:val="20"/>
              </w:rPr>
              <w:t>T score distribution at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w:t>
            </w:r>
          </w:p>
        </w:tc>
      </w:tr>
      <w:tr w:rsidR="00531701" w:rsidRPr="00531701" w:rsidTr="00FA5D67">
        <w:tc>
          <w:tcPr>
            <w:tcW w:w="2358" w:type="dxa"/>
            <w:vAlign w:val="center"/>
          </w:tcPr>
          <w:p w:rsidR="00531701" w:rsidRPr="00531701" w:rsidRDefault="00531701" w:rsidP="00FA5D67">
            <w:pPr>
              <w:spacing w:line="320" w:lineRule="atLeast"/>
              <w:ind w:right="60"/>
              <w:rPr>
                <w:rFonts w:ascii="Times New Roman" w:hAnsi="Times New Roman" w:cs="Times New Roman"/>
                <w:sz w:val="20"/>
                <w:szCs w:val="20"/>
              </w:rPr>
            </w:pPr>
            <w:r w:rsidRPr="00531701">
              <w:rPr>
                <w:rFonts w:ascii="Times New Roman" w:hAnsi="Times New Roman" w:cs="Times New Roman"/>
                <w:sz w:val="20"/>
                <w:szCs w:val="20"/>
              </w:rPr>
              <w:t>Normal</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39</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38.6</w:t>
            </w:r>
          </w:p>
        </w:tc>
        <w:tc>
          <w:tcPr>
            <w:tcW w:w="247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39.4</w:t>
            </w:r>
          </w:p>
        </w:tc>
      </w:tr>
      <w:tr w:rsidR="00531701" w:rsidRPr="00531701" w:rsidTr="00FA5D67">
        <w:tc>
          <w:tcPr>
            <w:tcW w:w="2358" w:type="dxa"/>
            <w:vAlign w:val="center"/>
          </w:tcPr>
          <w:p w:rsidR="00531701" w:rsidRPr="00531701" w:rsidRDefault="00531701" w:rsidP="00FA5D67">
            <w:pPr>
              <w:spacing w:line="320" w:lineRule="atLeast"/>
              <w:ind w:right="60"/>
              <w:rPr>
                <w:rFonts w:ascii="Times New Roman" w:hAnsi="Times New Roman" w:cs="Times New Roman"/>
                <w:sz w:val="20"/>
                <w:szCs w:val="20"/>
              </w:rPr>
            </w:pPr>
            <w:proofErr w:type="spellStart"/>
            <w:r w:rsidRPr="00531701">
              <w:rPr>
                <w:rFonts w:ascii="Times New Roman" w:hAnsi="Times New Roman" w:cs="Times New Roman"/>
                <w:sz w:val="20"/>
                <w:szCs w:val="20"/>
              </w:rPr>
              <w:t>Osteopenic</w:t>
            </w:r>
            <w:proofErr w:type="spellEnd"/>
            <w:r w:rsidRPr="00531701">
              <w:rPr>
                <w:rFonts w:ascii="Times New Roman" w:hAnsi="Times New Roman" w:cs="Times New Roman"/>
                <w:sz w:val="20"/>
                <w:szCs w:val="20"/>
              </w:rPr>
              <w:t xml:space="preserve"> (&lt;-1 to &gt;-2.4)</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47</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46.5</w:t>
            </w:r>
          </w:p>
        </w:tc>
        <w:tc>
          <w:tcPr>
            <w:tcW w:w="247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47.5</w:t>
            </w:r>
          </w:p>
        </w:tc>
      </w:tr>
      <w:tr w:rsidR="00531701" w:rsidRPr="00531701" w:rsidTr="00FA5D67">
        <w:tc>
          <w:tcPr>
            <w:tcW w:w="2358" w:type="dxa"/>
            <w:vAlign w:val="center"/>
          </w:tcPr>
          <w:p w:rsidR="00531701" w:rsidRPr="00531701" w:rsidRDefault="00531701" w:rsidP="00FA5D67">
            <w:pPr>
              <w:spacing w:line="320" w:lineRule="atLeast"/>
              <w:ind w:right="60"/>
              <w:rPr>
                <w:rFonts w:ascii="Times New Roman" w:hAnsi="Times New Roman" w:cs="Times New Roman"/>
                <w:sz w:val="20"/>
                <w:szCs w:val="20"/>
              </w:rPr>
            </w:pPr>
            <w:r w:rsidRPr="00531701">
              <w:rPr>
                <w:rFonts w:ascii="Times New Roman" w:hAnsi="Times New Roman" w:cs="Times New Roman"/>
                <w:sz w:val="20"/>
                <w:szCs w:val="20"/>
              </w:rPr>
              <w:t>Osteoporotic (≤ -2.5)</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13</w:t>
            </w:r>
          </w:p>
        </w:tc>
        <w:tc>
          <w:tcPr>
            <w:tcW w:w="243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12.9</w:t>
            </w:r>
          </w:p>
        </w:tc>
        <w:tc>
          <w:tcPr>
            <w:tcW w:w="2470" w:type="dxa"/>
            <w:vAlign w:val="center"/>
          </w:tcPr>
          <w:p w:rsidR="00531701" w:rsidRPr="00531701" w:rsidRDefault="00531701" w:rsidP="00FA5D67">
            <w:pPr>
              <w:spacing w:line="320" w:lineRule="atLeast"/>
              <w:ind w:left="60" w:right="60"/>
              <w:jc w:val="right"/>
              <w:rPr>
                <w:rFonts w:ascii="Times New Roman" w:hAnsi="Times New Roman" w:cs="Times New Roman"/>
                <w:sz w:val="20"/>
                <w:szCs w:val="20"/>
              </w:rPr>
            </w:pPr>
            <w:r w:rsidRPr="00531701">
              <w:rPr>
                <w:rFonts w:ascii="Times New Roman" w:hAnsi="Times New Roman" w:cs="Times New Roman"/>
                <w:sz w:val="20"/>
                <w:szCs w:val="20"/>
              </w:rPr>
              <w:t>13.1</w:t>
            </w:r>
          </w:p>
        </w:tc>
      </w:tr>
    </w:tbl>
    <w:p w:rsidR="004D0C03" w:rsidRDefault="004D0C03" w:rsidP="00531701">
      <w:pPr>
        <w:spacing w:line="240" w:lineRule="auto"/>
        <w:rPr>
          <w:rFonts w:ascii="Times New Roman" w:hAnsi="Times New Roman" w:cs="Times New Roman"/>
          <w:sz w:val="20"/>
          <w:szCs w:val="20"/>
        </w:rPr>
      </w:pPr>
    </w:p>
    <w:p w:rsidR="00531701" w:rsidRPr="00531701" w:rsidRDefault="00531701" w:rsidP="004D0C03">
      <w:pPr>
        <w:spacing w:line="360" w:lineRule="auto"/>
        <w:rPr>
          <w:rFonts w:ascii="Times New Roman" w:hAnsi="Times New Roman" w:cs="Times New Roman"/>
          <w:sz w:val="20"/>
          <w:szCs w:val="20"/>
        </w:rPr>
      </w:pPr>
      <w:r w:rsidRPr="00531701">
        <w:rPr>
          <w:rFonts w:ascii="Times New Roman" w:hAnsi="Times New Roman" w:cs="Times New Roman"/>
          <w:sz w:val="20"/>
          <w:szCs w:val="20"/>
        </w:rPr>
        <w:t xml:space="preserve">With different treatment modalities, the percentage of patients with normal BMD was increased, while that of osteoporotic population was decreased. Paradoxical increase of </w:t>
      </w:r>
      <w:proofErr w:type="spellStart"/>
      <w:r w:rsidRPr="00531701">
        <w:rPr>
          <w:rFonts w:ascii="Times New Roman" w:hAnsi="Times New Roman" w:cs="Times New Roman"/>
          <w:sz w:val="20"/>
          <w:szCs w:val="20"/>
        </w:rPr>
        <w:t>osteopenic</w:t>
      </w:r>
      <w:proofErr w:type="spellEnd"/>
      <w:r w:rsidRPr="00531701">
        <w:rPr>
          <w:rFonts w:ascii="Times New Roman" w:hAnsi="Times New Roman" w:cs="Times New Roman"/>
          <w:sz w:val="20"/>
          <w:szCs w:val="20"/>
        </w:rPr>
        <w:t xml:space="preserve"> population at 3</w:t>
      </w:r>
      <w:r w:rsidRPr="00531701">
        <w:rPr>
          <w:rFonts w:ascii="Times New Roman" w:hAnsi="Times New Roman" w:cs="Times New Roman"/>
          <w:sz w:val="20"/>
          <w:szCs w:val="20"/>
          <w:vertAlign w:val="superscript"/>
        </w:rPr>
        <w:t>rd</w:t>
      </w:r>
      <w:r w:rsidRPr="00531701">
        <w:rPr>
          <w:rFonts w:ascii="Times New Roman" w:hAnsi="Times New Roman" w:cs="Times New Roman"/>
          <w:sz w:val="20"/>
          <w:szCs w:val="20"/>
        </w:rPr>
        <w:t xml:space="preserve"> and 6</w:t>
      </w:r>
      <w:r w:rsidRPr="00531701">
        <w:rPr>
          <w:rFonts w:ascii="Times New Roman" w:hAnsi="Times New Roman" w:cs="Times New Roman"/>
          <w:sz w:val="20"/>
          <w:szCs w:val="20"/>
          <w:vertAlign w:val="superscript"/>
        </w:rPr>
        <w:t>th</w:t>
      </w:r>
      <w:r w:rsidRPr="00531701">
        <w:rPr>
          <w:rFonts w:ascii="Times New Roman" w:hAnsi="Times New Roman" w:cs="Times New Roman"/>
          <w:sz w:val="20"/>
          <w:szCs w:val="20"/>
        </w:rPr>
        <w:t xml:space="preserve"> month reflects shift from osteoporotic to </w:t>
      </w:r>
      <w:proofErr w:type="spellStart"/>
      <w:r w:rsidRPr="00531701">
        <w:rPr>
          <w:rFonts w:ascii="Times New Roman" w:hAnsi="Times New Roman" w:cs="Times New Roman"/>
          <w:sz w:val="20"/>
          <w:szCs w:val="20"/>
        </w:rPr>
        <w:t>osteopenic</w:t>
      </w:r>
      <w:proofErr w:type="spellEnd"/>
      <w:r w:rsidRPr="00531701">
        <w:rPr>
          <w:rFonts w:ascii="Times New Roman" w:hAnsi="Times New Roman" w:cs="Times New Roman"/>
          <w:sz w:val="20"/>
          <w:szCs w:val="20"/>
        </w:rPr>
        <w:t xml:space="preserve"> range.</w:t>
      </w:r>
    </w:p>
    <w:p w:rsidR="004D0C03" w:rsidRDefault="004D0C03" w:rsidP="00531701">
      <w:pPr>
        <w:spacing w:line="240" w:lineRule="auto"/>
        <w:rPr>
          <w:rFonts w:ascii="Times New Roman" w:hAnsi="Times New Roman" w:cs="Times New Roman"/>
          <w:b/>
          <w:sz w:val="20"/>
          <w:szCs w:val="20"/>
        </w:rPr>
      </w:pPr>
    </w:p>
    <w:p w:rsidR="004D0C03" w:rsidRDefault="004D0C03" w:rsidP="00531701">
      <w:pPr>
        <w:spacing w:line="240" w:lineRule="auto"/>
        <w:rPr>
          <w:rFonts w:ascii="Times New Roman" w:hAnsi="Times New Roman" w:cs="Times New Roman"/>
          <w:b/>
          <w:sz w:val="20"/>
          <w:szCs w:val="20"/>
        </w:rPr>
      </w:pPr>
    </w:p>
    <w:p w:rsidR="00531701" w:rsidRPr="00531701" w:rsidRDefault="00531701" w:rsidP="00531701">
      <w:pPr>
        <w:spacing w:line="240" w:lineRule="auto"/>
        <w:rPr>
          <w:rFonts w:ascii="Times New Roman" w:hAnsi="Times New Roman" w:cs="Times New Roman"/>
          <w:sz w:val="20"/>
          <w:szCs w:val="20"/>
        </w:rPr>
      </w:pPr>
      <w:r w:rsidRPr="00531701">
        <w:rPr>
          <w:rFonts w:ascii="Times New Roman" w:hAnsi="Times New Roman" w:cs="Times New Roman"/>
          <w:b/>
          <w:sz w:val="20"/>
          <w:szCs w:val="20"/>
        </w:rPr>
        <w:t xml:space="preserve">Table 3 </w:t>
      </w:r>
      <w:r w:rsidRPr="00531701">
        <w:rPr>
          <w:rFonts w:ascii="Times New Roman" w:hAnsi="Times New Roman" w:cs="Times New Roman"/>
          <w:sz w:val="20"/>
          <w:szCs w:val="20"/>
        </w:rPr>
        <w:t>WHO diagnostic categories based on bone mass density measurements</w:t>
      </w:r>
    </w:p>
    <w:tbl>
      <w:tblPr>
        <w:tblStyle w:val="TableGrid"/>
        <w:tblW w:w="0" w:type="auto"/>
        <w:tblInd w:w="198" w:type="dxa"/>
        <w:tblLook w:val="04A0" w:firstRow="1" w:lastRow="0" w:firstColumn="1" w:lastColumn="0" w:noHBand="0" w:noVBand="1"/>
      </w:tblPr>
      <w:tblGrid>
        <w:gridCol w:w="3240"/>
        <w:gridCol w:w="5310"/>
      </w:tblGrid>
      <w:tr w:rsidR="00531701" w:rsidRPr="00531701" w:rsidTr="00FA5D67">
        <w:tc>
          <w:tcPr>
            <w:tcW w:w="3240" w:type="dxa"/>
          </w:tcPr>
          <w:p w:rsidR="00531701" w:rsidRPr="00531701" w:rsidRDefault="00531701" w:rsidP="00FA5D67">
            <w:pPr>
              <w:jc w:val="center"/>
              <w:rPr>
                <w:rFonts w:ascii="Times New Roman" w:hAnsi="Times New Roman" w:cs="Times New Roman"/>
                <w:b/>
                <w:sz w:val="20"/>
                <w:szCs w:val="20"/>
              </w:rPr>
            </w:pPr>
            <w:r w:rsidRPr="00531701">
              <w:rPr>
                <w:rFonts w:ascii="Times New Roman" w:hAnsi="Times New Roman" w:cs="Times New Roman"/>
                <w:b/>
                <w:sz w:val="20"/>
                <w:szCs w:val="20"/>
              </w:rPr>
              <w:t>Classification</w:t>
            </w:r>
          </w:p>
        </w:tc>
        <w:tc>
          <w:tcPr>
            <w:tcW w:w="5310" w:type="dxa"/>
          </w:tcPr>
          <w:p w:rsidR="00531701" w:rsidRPr="00531701" w:rsidRDefault="00531701" w:rsidP="00FA5D67">
            <w:pPr>
              <w:jc w:val="center"/>
              <w:rPr>
                <w:rFonts w:ascii="Times New Roman" w:hAnsi="Times New Roman" w:cs="Times New Roman"/>
                <w:b/>
                <w:sz w:val="20"/>
                <w:szCs w:val="20"/>
              </w:rPr>
            </w:pPr>
            <w:r w:rsidRPr="00531701">
              <w:rPr>
                <w:rFonts w:ascii="Times New Roman" w:hAnsi="Times New Roman" w:cs="Times New Roman"/>
                <w:b/>
                <w:sz w:val="20"/>
                <w:szCs w:val="20"/>
              </w:rPr>
              <w:t>T-Score</w:t>
            </w:r>
          </w:p>
        </w:tc>
      </w:tr>
      <w:tr w:rsidR="00531701" w:rsidRPr="00531701" w:rsidTr="00FA5D67">
        <w:tc>
          <w:tcPr>
            <w:tcW w:w="3240" w:type="dxa"/>
          </w:tcPr>
          <w:p w:rsidR="00531701" w:rsidRPr="00531701" w:rsidRDefault="00531701" w:rsidP="00FA5D67">
            <w:pPr>
              <w:jc w:val="center"/>
              <w:rPr>
                <w:rFonts w:ascii="Times New Roman" w:hAnsi="Times New Roman" w:cs="Times New Roman"/>
                <w:sz w:val="20"/>
                <w:szCs w:val="20"/>
              </w:rPr>
            </w:pPr>
            <w:r w:rsidRPr="00531701">
              <w:rPr>
                <w:rFonts w:ascii="Times New Roman" w:hAnsi="Times New Roman" w:cs="Times New Roman"/>
                <w:sz w:val="20"/>
                <w:szCs w:val="20"/>
              </w:rPr>
              <w:t>Normal</w:t>
            </w:r>
          </w:p>
        </w:tc>
        <w:tc>
          <w:tcPr>
            <w:tcW w:w="5310" w:type="dxa"/>
          </w:tcPr>
          <w:p w:rsidR="00531701" w:rsidRPr="00531701" w:rsidRDefault="00531701" w:rsidP="00FA5D67">
            <w:pPr>
              <w:jc w:val="center"/>
              <w:rPr>
                <w:rFonts w:ascii="Times New Roman" w:hAnsi="Times New Roman" w:cs="Times New Roman"/>
                <w:sz w:val="20"/>
                <w:szCs w:val="20"/>
              </w:rPr>
            </w:pPr>
            <w:r w:rsidRPr="00531701">
              <w:rPr>
                <w:rFonts w:ascii="Times New Roman" w:hAnsi="Times New Roman" w:cs="Times New Roman"/>
                <w:sz w:val="20"/>
                <w:szCs w:val="20"/>
              </w:rPr>
              <w:t>-1.0 or higher</w:t>
            </w:r>
          </w:p>
        </w:tc>
      </w:tr>
      <w:tr w:rsidR="00531701" w:rsidRPr="00531701" w:rsidTr="00FA5D67">
        <w:tc>
          <w:tcPr>
            <w:tcW w:w="3240" w:type="dxa"/>
          </w:tcPr>
          <w:p w:rsidR="00531701" w:rsidRPr="00531701" w:rsidRDefault="00531701" w:rsidP="00FA5D67">
            <w:pPr>
              <w:jc w:val="center"/>
              <w:rPr>
                <w:rFonts w:ascii="Times New Roman" w:hAnsi="Times New Roman" w:cs="Times New Roman"/>
                <w:sz w:val="20"/>
                <w:szCs w:val="20"/>
              </w:rPr>
            </w:pPr>
            <w:r w:rsidRPr="00531701">
              <w:rPr>
                <w:rFonts w:ascii="Times New Roman" w:hAnsi="Times New Roman" w:cs="Times New Roman"/>
                <w:sz w:val="20"/>
                <w:szCs w:val="20"/>
              </w:rPr>
              <w:t>Osteopenia</w:t>
            </w:r>
          </w:p>
        </w:tc>
        <w:tc>
          <w:tcPr>
            <w:tcW w:w="5310" w:type="dxa"/>
          </w:tcPr>
          <w:p w:rsidR="00531701" w:rsidRPr="00531701" w:rsidRDefault="00531701" w:rsidP="00FA5D67">
            <w:pPr>
              <w:jc w:val="center"/>
              <w:rPr>
                <w:rFonts w:ascii="Times New Roman" w:hAnsi="Times New Roman" w:cs="Times New Roman"/>
                <w:sz w:val="20"/>
                <w:szCs w:val="20"/>
              </w:rPr>
            </w:pPr>
            <w:r w:rsidRPr="00531701">
              <w:rPr>
                <w:rFonts w:ascii="Times New Roman" w:hAnsi="Times New Roman" w:cs="Times New Roman"/>
                <w:sz w:val="20"/>
                <w:szCs w:val="20"/>
              </w:rPr>
              <w:t>Between -1.0 and -2.5</w:t>
            </w:r>
          </w:p>
        </w:tc>
      </w:tr>
      <w:tr w:rsidR="00531701" w:rsidRPr="00531701" w:rsidTr="00FA5D67">
        <w:tc>
          <w:tcPr>
            <w:tcW w:w="3240" w:type="dxa"/>
          </w:tcPr>
          <w:p w:rsidR="00531701" w:rsidRPr="00531701" w:rsidRDefault="00531701" w:rsidP="00FA5D67">
            <w:pPr>
              <w:jc w:val="center"/>
              <w:rPr>
                <w:rFonts w:ascii="Times New Roman" w:hAnsi="Times New Roman" w:cs="Times New Roman"/>
                <w:sz w:val="20"/>
                <w:szCs w:val="20"/>
              </w:rPr>
            </w:pPr>
            <w:r w:rsidRPr="00531701">
              <w:rPr>
                <w:rFonts w:ascii="Times New Roman" w:hAnsi="Times New Roman" w:cs="Times New Roman"/>
                <w:sz w:val="20"/>
                <w:szCs w:val="20"/>
              </w:rPr>
              <w:t>Osteoporosis</w:t>
            </w:r>
          </w:p>
        </w:tc>
        <w:tc>
          <w:tcPr>
            <w:tcW w:w="5310" w:type="dxa"/>
          </w:tcPr>
          <w:p w:rsidR="00531701" w:rsidRPr="00531701" w:rsidRDefault="00531701" w:rsidP="00FA5D67">
            <w:pPr>
              <w:jc w:val="center"/>
              <w:rPr>
                <w:rFonts w:ascii="Times New Roman" w:hAnsi="Times New Roman" w:cs="Times New Roman"/>
                <w:sz w:val="20"/>
                <w:szCs w:val="20"/>
              </w:rPr>
            </w:pPr>
            <w:r w:rsidRPr="00531701">
              <w:rPr>
                <w:rFonts w:ascii="Times New Roman" w:hAnsi="Times New Roman" w:cs="Times New Roman"/>
                <w:sz w:val="20"/>
                <w:szCs w:val="20"/>
              </w:rPr>
              <w:t>-2.5 or lower</w:t>
            </w:r>
          </w:p>
        </w:tc>
      </w:tr>
    </w:tbl>
    <w:p w:rsidR="004D0C03" w:rsidRDefault="00531701" w:rsidP="004D0C03">
      <w:pPr>
        <w:ind w:firstLine="720"/>
        <w:rPr>
          <w:rFonts w:ascii="Times New Roman" w:hAnsi="Times New Roman" w:cs="Times New Roman"/>
          <w:sz w:val="20"/>
          <w:szCs w:val="20"/>
        </w:rPr>
      </w:pPr>
      <w:r w:rsidRPr="00531701">
        <w:rPr>
          <w:rFonts w:ascii="Times New Roman" w:hAnsi="Times New Roman" w:cs="Times New Roman"/>
          <w:sz w:val="20"/>
          <w:szCs w:val="20"/>
        </w:rPr>
        <w:t xml:space="preserve">WHO, World Health Organization </w:t>
      </w:r>
    </w:p>
    <w:p w:rsidR="004D0C03" w:rsidRDefault="004D0C03" w:rsidP="004D0C03">
      <w:pPr>
        <w:rPr>
          <w:rFonts w:ascii="Times New Roman" w:hAnsi="Times New Roman" w:cs="Times New Roman"/>
          <w:b/>
          <w:sz w:val="20"/>
          <w:szCs w:val="20"/>
        </w:rPr>
      </w:pPr>
    </w:p>
    <w:p w:rsidR="004D0C03" w:rsidRDefault="004D0C03" w:rsidP="004D0C03">
      <w:pPr>
        <w:rPr>
          <w:rFonts w:ascii="Times New Roman" w:hAnsi="Times New Roman" w:cs="Times New Roman"/>
          <w:b/>
          <w:sz w:val="20"/>
          <w:szCs w:val="20"/>
        </w:rPr>
      </w:pPr>
    </w:p>
    <w:p w:rsidR="004D0C03" w:rsidRDefault="004D0C03" w:rsidP="004D0C03">
      <w:pPr>
        <w:rPr>
          <w:rFonts w:ascii="Times New Roman" w:hAnsi="Times New Roman" w:cs="Times New Roman"/>
          <w:b/>
          <w:sz w:val="20"/>
          <w:szCs w:val="20"/>
        </w:rPr>
      </w:pPr>
    </w:p>
    <w:p w:rsidR="004D0C03" w:rsidRDefault="004D0C03" w:rsidP="004D0C03">
      <w:pPr>
        <w:rPr>
          <w:rFonts w:ascii="Times New Roman" w:hAnsi="Times New Roman" w:cs="Times New Roman"/>
          <w:b/>
          <w:sz w:val="20"/>
          <w:szCs w:val="20"/>
        </w:rPr>
      </w:pPr>
    </w:p>
    <w:p w:rsidR="004D0C03" w:rsidRDefault="004D0C03" w:rsidP="004D0C03">
      <w:pPr>
        <w:rPr>
          <w:rFonts w:ascii="Times New Roman" w:hAnsi="Times New Roman" w:cs="Times New Roman"/>
          <w:b/>
          <w:sz w:val="20"/>
          <w:szCs w:val="20"/>
        </w:rPr>
      </w:pPr>
    </w:p>
    <w:p w:rsidR="004D0C03" w:rsidRDefault="004D0C03" w:rsidP="004D0C03">
      <w:pPr>
        <w:rPr>
          <w:rFonts w:ascii="Times New Roman" w:hAnsi="Times New Roman" w:cs="Times New Roman"/>
          <w:b/>
          <w:sz w:val="20"/>
          <w:szCs w:val="20"/>
        </w:rPr>
      </w:pPr>
    </w:p>
    <w:p w:rsidR="004D0C03" w:rsidRDefault="004D0C03" w:rsidP="004D0C03">
      <w:pPr>
        <w:rPr>
          <w:rFonts w:ascii="Times New Roman" w:hAnsi="Times New Roman" w:cs="Times New Roman"/>
          <w:b/>
          <w:sz w:val="20"/>
          <w:szCs w:val="20"/>
        </w:rPr>
      </w:pPr>
    </w:p>
    <w:p w:rsidR="004D0C03" w:rsidRDefault="004D0C03" w:rsidP="004D0C03">
      <w:pPr>
        <w:rPr>
          <w:rFonts w:ascii="Times New Roman" w:hAnsi="Times New Roman" w:cs="Times New Roman"/>
          <w:b/>
          <w:sz w:val="20"/>
          <w:szCs w:val="20"/>
        </w:rPr>
      </w:pPr>
    </w:p>
    <w:p w:rsidR="00531701" w:rsidRPr="00531701" w:rsidRDefault="00531701" w:rsidP="004D0C03">
      <w:pPr>
        <w:spacing w:line="360" w:lineRule="auto"/>
        <w:rPr>
          <w:rFonts w:ascii="Times New Roman" w:hAnsi="Times New Roman" w:cs="Times New Roman"/>
          <w:sz w:val="20"/>
          <w:szCs w:val="20"/>
        </w:rPr>
      </w:pPr>
      <w:r w:rsidRPr="00531701">
        <w:rPr>
          <w:rFonts w:ascii="Times New Roman" w:hAnsi="Times New Roman" w:cs="Times New Roman"/>
          <w:b/>
          <w:sz w:val="20"/>
          <w:szCs w:val="20"/>
        </w:rPr>
        <w:lastRenderedPageBreak/>
        <w:t>Figure 1</w:t>
      </w:r>
      <w:r w:rsidRPr="00531701">
        <w:rPr>
          <w:rFonts w:ascii="Times New Roman" w:hAnsi="Times New Roman" w:cs="Times New Roman"/>
          <w:sz w:val="20"/>
          <w:szCs w:val="20"/>
        </w:rPr>
        <w:t xml:space="preserve">- showing BMD in lumbar region showing stable or improvement in BMD in different </w:t>
      </w:r>
      <w:proofErr w:type="spellStart"/>
      <w:r w:rsidRPr="00531701">
        <w:rPr>
          <w:rFonts w:ascii="Times New Roman" w:hAnsi="Times New Roman" w:cs="Times New Roman"/>
          <w:sz w:val="20"/>
          <w:szCs w:val="20"/>
        </w:rPr>
        <w:t>subgroups.D</w:t>
      </w:r>
      <w:proofErr w:type="spellEnd"/>
      <w:r w:rsidRPr="00531701">
        <w:rPr>
          <w:rFonts w:ascii="Times New Roman" w:hAnsi="Times New Roman" w:cs="Times New Roman"/>
          <w:sz w:val="20"/>
          <w:szCs w:val="20"/>
        </w:rPr>
        <w:t xml:space="preserve">, </w:t>
      </w:r>
      <w:proofErr w:type="spellStart"/>
      <w:r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group, </w:t>
      </w:r>
      <w:proofErr w:type="spellStart"/>
      <w:r w:rsidRPr="00531701">
        <w:rPr>
          <w:rFonts w:ascii="Times New Roman" w:hAnsi="Times New Roman" w:cs="Times New Roman"/>
          <w:sz w:val="20"/>
          <w:szCs w:val="20"/>
        </w:rPr>
        <w:t>Obs</w:t>
      </w:r>
      <w:proofErr w:type="spellEnd"/>
      <w:r w:rsidRPr="00531701">
        <w:rPr>
          <w:rFonts w:ascii="Times New Roman" w:hAnsi="Times New Roman" w:cs="Times New Roman"/>
          <w:sz w:val="20"/>
          <w:szCs w:val="20"/>
        </w:rPr>
        <w:t xml:space="preserve">, Observation group, Z, </w:t>
      </w:r>
      <w:proofErr w:type="spellStart"/>
      <w:r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Acid group, </w:t>
      </w:r>
      <w:proofErr w:type="spellStart"/>
      <w:r w:rsidRPr="00531701">
        <w:rPr>
          <w:rFonts w:ascii="Times New Roman" w:hAnsi="Times New Roman" w:cs="Times New Roman"/>
          <w:sz w:val="20"/>
          <w:szCs w:val="20"/>
        </w:rPr>
        <w:t>Obs</w:t>
      </w:r>
      <w:proofErr w:type="spellEnd"/>
      <w:r w:rsidRPr="00531701">
        <w:rPr>
          <w:rFonts w:ascii="Times New Roman" w:hAnsi="Times New Roman" w:cs="Times New Roman"/>
          <w:sz w:val="20"/>
          <w:szCs w:val="20"/>
        </w:rPr>
        <w:t xml:space="preserve"> to Z, Observation to </w:t>
      </w:r>
      <w:proofErr w:type="spellStart"/>
      <w:r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Acid group, Z to D,  </w:t>
      </w:r>
      <w:proofErr w:type="spellStart"/>
      <w:r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Acid to </w:t>
      </w:r>
      <w:proofErr w:type="spellStart"/>
      <w:r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group</w:t>
      </w:r>
    </w:p>
    <w:p w:rsidR="00531701" w:rsidRPr="00531701" w:rsidRDefault="00531701" w:rsidP="00531701">
      <w:pPr>
        <w:rPr>
          <w:rFonts w:ascii="Times New Roman" w:hAnsi="Times New Roman" w:cs="Times New Roman"/>
          <w:sz w:val="20"/>
          <w:szCs w:val="20"/>
        </w:rPr>
      </w:pPr>
      <w:r w:rsidRPr="00531701">
        <w:rPr>
          <w:rFonts w:ascii="Times New Roman" w:hAnsi="Times New Roman" w:cs="Times New Roman"/>
          <w:noProof/>
          <w:sz w:val="20"/>
          <w:szCs w:val="20"/>
          <w:lang w:val="en-IN" w:eastAsia="en-IN"/>
        </w:rPr>
        <w:drawing>
          <wp:inline distT="0" distB="0" distL="0" distR="0" wp14:anchorId="1D9E4D81" wp14:editId="5D1016C4">
            <wp:extent cx="4572000" cy="2743200"/>
            <wp:effectExtent l="19050" t="0" r="1905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1701" w:rsidRPr="00531701" w:rsidRDefault="00531701" w:rsidP="004D0C03">
      <w:pPr>
        <w:spacing w:line="360" w:lineRule="auto"/>
        <w:rPr>
          <w:rFonts w:ascii="Times New Roman" w:hAnsi="Times New Roman" w:cs="Times New Roman"/>
          <w:sz w:val="20"/>
          <w:szCs w:val="20"/>
        </w:rPr>
      </w:pPr>
      <w:r w:rsidRPr="00531701">
        <w:rPr>
          <w:rFonts w:ascii="Times New Roman" w:hAnsi="Times New Roman" w:cs="Times New Roman"/>
          <w:b/>
          <w:sz w:val="20"/>
          <w:szCs w:val="20"/>
        </w:rPr>
        <w:t>Figure 2</w:t>
      </w:r>
      <w:r w:rsidRPr="00531701">
        <w:rPr>
          <w:rFonts w:ascii="Times New Roman" w:hAnsi="Times New Roman" w:cs="Times New Roman"/>
          <w:sz w:val="20"/>
          <w:szCs w:val="20"/>
        </w:rPr>
        <w:t>- showing T-score in lumbar region showing gradual improvement in different subgroups</w:t>
      </w:r>
      <w:r w:rsidRPr="00531701">
        <w:rPr>
          <w:rFonts w:ascii="Times New Roman" w:hAnsi="Times New Roman" w:cs="Times New Roman"/>
          <w:b/>
          <w:sz w:val="20"/>
          <w:szCs w:val="20"/>
        </w:rPr>
        <w:t xml:space="preserve">. </w:t>
      </w:r>
      <w:r w:rsidRPr="00531701">
        <w:rPr>
          <w:rFonts w:ascii="Times New Roman" w:hAnsi="Times New Roman" w:cs="Times New Roman"/>
          <w:sz w:val="20"/>
          <w:szCs w:val="20"/>
        </w:rPr>
        <w:t xml:space="preserve">D, </w:t>
      </w:r>
      <w:proofErr w:type="spellStart"/>
      <w:r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group, </w:t>
      </w:r>
      <w:proofErr w:type="spellStart"/>
      <w:r w:rsidRPr="00531701">
        <w:rPr>
          <w:rFonts w:ascii="Times New Roman" w:hAnsi="Times New Roman" w:cs="Times New Roman"/>
          <w:sz w:val="20"/>
          <w:szCs w:val="20"/>
        </w:rPr>
        <w:t>Obs</w:t>
      </w:r>
      <w:proofErr w:type="spellEnd"/>
      <w:r w:rsidRPr="00531701">
        <w:rPr>
          <w:rFonts w:ascii="Times New Roman" w:hAnsi="Times New Roman" w:cs="Times New Roman"/>
          <w:sz w:val="20"/>
          <w:szCs w:val="20"/>
        </w:rPr>
        <w:t xml:space="preserve">, Observation group, Z, </w:t>
      </w:r>
      <w:proofErr w:type="spellStart"/>
      <w:r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Acid group, </w:t>
      </w:r>
      <w:proofErr w:type="spellStart"/>
      <w:r w:rsidRPr="00531701">
        <w:rPr>
          <w:rFonts w:ascii="Times New Roman" w:hAnsi="Times New Roman" w:cs="Times New Roman"/>
          <w:sz w:val="20"/>
          <w:szCs w:val="20"/>
        </w:rPr>
        <w:t>Obs</w:t>
      </w:r>
      <w:proofErr w:type="spellEnd"/>
      <w:r w:rsidRPr="00531701">
        <w:rPr>
          <w:rFonts w:ascii="Times New Roman" w:hAnsi="Times New Roman" w:cs="Times New Roman"/>
          <w:sz w:val="20"/>
          <w:szCs w:val="20"/>
        </w:rPr>
        <w:t xml:space="preserve"> to Z, Observation to </w:t>
      </w:r>
      <w:proofErr w:type="spellStart"/>
      <w:r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Acid group, Z to D,  </w:t>
      </w:r>
      <w:proofErr w:type="spellStart"/>
      <w:r w:rsidRPr="00531701">
        <w:rPr>
          <w:rFonts w:ascii="Times New Roman" w:hAnsi="Times New Roman" w:cs="Times New Roman"/>
          <w:sz w:val="20"/>
          <w:szCs w:val="20"/>
        </w:rPr>
        <w:t>Zoledronic</w:t>
      </w:r>
      <w:proofErr w:type="spellEnd"/>
      <w:r w:rsidRPr="00531701">
        <w:rPr>
          <w:rFonts w:ascii="Times New Roman" w:hAnsi="Times New Roman" w:cs="Times New Roman"/>
          <w:sz w:val="20"/>
          <w:szCs w:val="20"/>
        </w:rPr>
        <w:t xml:space="preserve"> Acid to </w:t>
      </w:r>
      <w:proofErr w:type="spellStart"/>
      <w:r w:rsidRPr="00531701">
        <w:rPr>
          <w:rFonts w:ascii="Times New Roman" w:hAnsi="Times New Roman" w:cs="Times New Roman"/>
          <w:sz w:val="20"/>
          <w:szCs w:val="20"/>
        </w:rPr>
        <w:t>Denosumab</w:t>
      </w:r>
      <w:proofErr w:type="spellEnd"/>
      <w:r w:rsidRPr="00531701">
        <w:rPr>
          <w:rFonts w:ascii="Times New Roman" w:hAnsi="Times New Roman" w:cs="Times New Roman"/>
          <w:sz w:val="20"/>
          <w:szCs w:val="20"/>
        </w:rPr>
        <w:t xml:space="preserve"> group</w:t>
      </w:r>
    </w:p>
    <w:p w:rsidR="00531701" w:rsidRDefault="00531701" w:rsidP="00531701">
      <w:pPr>
        <w:spacing w:line="240" w:lineRule="auto"/>
        <w:rPr>
          <w:rFonts w:ascii="Times New Roman" w:hAnsi="Times New Roman" w:cs="Times New Roman"/>
          <w:sz w:val="20"/>
        </w:rPr>
      </w:pPr>
      <w:r w:rsidRPr="00373A8A">
        <w:rPr>
          <w:noProof/>
          <w:lang w:val="en-IN" w:eastAsia="en-IN"/>
        </w:rPr>
        <w:drawing>
          <wp:inline distT="0" distB="0" distL="0" distR="0" wp14:anchorId="4D46534A" wp14:editId="1DF621EA">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1701" w:rsidRDefault="00531701" w:rsidP="00531701">
      <w:pPr>
        <w:spacing w:after="0" w:line="360" w:lineRule="auto"/>
        <w:rPr>
          <w:rFonts w:ascii="Times New Roman" w:hAnsi="Times New Roman" w:cs="Times New Roman"/>
          <w:b/>
          <w:sz w:val="20"/>
          <w:szCs w:val="20"/>
        </w:rPr>
      </w:pPr>
    </w:p>
    <w:p w:rsidR="00531701" w:rsidRDefault="00531701" w:rsidP="00531701">
      <w:pPr>
        <w:spacing w:after="0" w:line="360" w:lineRule="auto"/>
        <w:rPr>
          <w:rFonts w:ascii="Times New Roman" w:hAnsi="Times New Roman" w:cs="Times New Roman"/>
          <w:b/>
          <w:sz w:val="20"/>
          <w:szCs w:val="20"/>
        </w:rPr>
      </w:pPr>
    </w:p>
    <w:p w:rsidR="00531701" w:rsidRDefault="00531701" w:rsidP="00531701">
      <w:pPr>
        <w:spacing w:after="0" w:line="360" w:lineRule="auto"/>
        <w:rPr>
          <w:rFonts w:ascii="Times New Roman" w:hAnsi="Times New Roman" w:cs="Times New Roman"/>
          <w:b/>
          <w:sz w:val="20"/>
          <w:szCs w:val="20"/>
        </w:rPr>
      </w:pPr>
    </w:p>
    <w:p w:rsidR="004E47B7" w:rsidRPr="00531701" w:rsidRDefault="004E47B7" w:rsidP="00531701">
      <w:pPr>
        <w:spacing w:after="0" w:line="360" w:lineRule="auto"/>
        <w:rPr>
          <w:rFonts w:ascii="Times New Roman" w:hAnsi="Times New Roman" w:cs="Times New Roman"/>
          <w:b/>
          <w:sz w:val="20"/>
          <w:szCs w:val="20"/>
        </w:rPr>
      </w:pPr>
      <w:r w:rsidRPr="00531701">
        <w:rPr>
          <w:rFonts w:ascii="Times New Roman" w:hAnsi="Times New Roman" w:cs="Times New Roman"/>
          <w:b/>
          <w:sz w:val="20"/>
          <w:szCs w:val="20"/>
        </w:rPr>
        <w:lastRenderedPageBreak/>
        <w:t>Discussion:</w:t>
      </w:r>
    </w:p>
    <w:p w:rsidR="004E47B7" w:rsidRPr="004D0C03" w:rsidRDefault="004E47B7" w:rsidP="004D0C03">
      <w:pPr>
        <w:spacing w:after="0" w:line="360" w:lineRule="auto"/>
        <w:rPr>
          <w:rFonts w:ascii="Times New Roman" w:hAnsi="Times New Roman" w:cs="Times New Roman"/>
          <w:color w:val="231F20"/>
          <w:sz w:val="20"/>
          <w:szCs w:val="20"/>
        </w:rPr>
      </w:pPr>
      <w:r w:rsidRPr="00531701">
        <w:rPr>
          <w:rFonts w:ascii="Times New Roman" w:hAnsi="Times New Roman" w:cs="Times New Roman"/>
          <w:color w:val="231F20"/>
          <w:sz w:val="20"/>
          <w:szCs w:val="20"/>
        </w:rPr>
        <w:t>The majority of patients undergoing ADT do not receive guidance for prevention and treatment of osteoporosis. In addition, these patients have risk factors such as advanced age, bone metastasis and multiple co</w:t>
      </w:r>
      <w:r w:rsidR="00E60FB1" w:rsidRPr="00531701">
        <w:rPr>
          <w:rFonts w:ascii="Times New Roman" w:hAnsi="Times New Roman" w:cs="Times New Roman"/>
          <w:color w:val="231F20"/>
          <w:sz w:val="20"/>
          <w:szCs w:val="20"/>
        </w:rPr>
        <w:t>-</w:t>
      </w:r>
      <w:r w:rsidRPr="00531701">
        <w:rPr>
          <w:rFonts w:ascii="Times New Roman" w:hAnsi="Times New Roman" w:cs="Times New Roman"/>
          <w:color w:val="231F20"/>
          <w:sz w:val="20"/>
          <w:szCs w:val="20"/>
        </w:rPr>
        <w:t>morbid diseases</w:t>
      </w:r>
      <w:proofErr w:type="gramStart"/>
      <w:r w:rsidRPr="00531701">
        <w:rPr>
          <w:rFonts w:ascii="Times New Roman" w:hAnsi="Times New Roman" w:cs="Times New Roman"/>
          <w:color w:val="231F20"/>
          <w:sz w:val="20"/>
          <w:szCs w:val="20"/>
        </w:rPr>
        <w:t>.</w:t>
      </w:r>
      <w:r w:rsidRPr="00531701">
        <w:rPr>
          <w:rFonts w:ascii="Times New Roman" w:hAnsi="Times New Roman" w:cs="Times New Roman"/>
          <w:color w:val="231F20"/>
          <w:sz w:val="20"/>
          <w:szCs w:val="20"/>
          <w:vertAlign w:val="superscript"/>
        </w:rPr>
        <w:t>[</w:t>
      </w:r>
      <w:proofErr w:type="gramEnd"/>
      <w:r w:rsidRPr="00531701">
        <w:rPr>
          <w:rFonts w:ascii="Times New Roman" w:hAnsi="Times New Roman" w:cs="Times New Roman"/>
          <w:color w:val="231F20"/>
          <w:sz w:val="20"/>
          <w:szCs w:val="20"/>
          <w:vertAlign w:val="superscript"/>
        </w:rPr>
        <w:t>15-18]</w:t>
      </w:r>
      <w:r w:rsidR="004D0C03">
        <w:rPr>
          <w:rFonts w:ascii="Times New Roman" w:hAnsi="Times New Roman" w:cs="Times New Roman"/>
          <w:color w:val="231F20"/>
          <w:sz w:val="20"/>
          <w:szCs w:val="20"/>
        </w:rPr>
        <w:t xml:space="preserve"> </w:t>
      </w:r>
      <w:r w:rsidRPr="00531701">
        <w:rPr>
          <w:rFonts w:ascii="Times New Roman" w:hAnsi="Times New Roman" w:cs="Times New Roman"/>
          <w:sz w:val="20"/>
          <w:szCs w:val="20"/>
        </w:rPr>
        <w:t xml:space="preserve">In this study, total </w:t>
      </w:r>
      <w:r w:rsidR="00E60FB1" w:rsidRPr="00531701">
        <w:rPr>
          <w:rFonts w:ascii="Times New Roman" w:hAnsi="Times New Roman" w:cs="Times New Roman"/>
          <w:sz w:val="20"/>
          <w:szCs w:val="20"/>
        </w:rPr>
        <w:t xml:space="preserve">of 47 patients were started on </w:t>
      </w:r>
      <w:proofErr w:type="spellStart"/>
      <w:r w:rsidR="00DC0376" w:rsidRPr="00531701">
        <w:rPr>
          <w:rFonts w:ascii="Times New Roman" w:hAnsi="Times New Roman" w:cs="Times New Roman"/>
          <w:sz w:val="20"/>
          <w:szCs w:val="20"/>
        </w:rPr>
        <w:t>zoledronic</w:t>
      </w:r>
      <w:proofErr w:type="spellEnd"/>
      <w:r w:rsidR="00E60FB1" w:rsidRPr="00531701">
        <w:rPr>
          <w:rFonts w:ascii="Times New Roman" w:hAnsi="Times New Roman" w:cs="Times New Roman"/>
          <w:sz w:val="20"/>
          <w:szCs w:val="20"/>
        </w:rPr>
        <w:t xml:space="preserve"> a</w:t>
      </w:r>
      <w:r w:rsidRPr="00531701">
        <w:rPr>
          <w:rFonts w:ascii="Times New Roman" w:hAnsi="Times New Roman" w:cs="Times New Roman"/>
          <w:sz w:val="20"/>
          <w:szCs w:val="20"/>
        </w:rPr>
        <w:t xml:space="preserve">cid as </w:t>
      </w:r>
      <w:r w:rsidR="00E60FB1" w:rsidRPr="00531701">
        <w:rPr>
          <w:rFonts w:ascii="Times New Roman" w:hAnsi="Times New Roman" w:cs="Times New Roman"/>
          <w:sz w:val="20"/>
          <w:szCs w:val="20"/>
        </w:rPr>
        <w:t xml:space="preserve">a </w:t>
      </w:r>
      <w:r w:rsidRPr="00531701">
        <w:rPr>
          <w:rFonts w:ascii="Times New Roman" w:hAnsi="Times New Roman" w:cs="Times New Roman"/>
          <w:sz w:val="20"/>
          <w:szCs w:val="20"/>
        </w:rPr>
        <w:t xml:space="preserve">treatment for </w:t>
      </w:r>
      <w:proofErr w:type="spellStart"/>
      <w:r w:rsidRPr="00531701">
        <w:rPr>
          <w:rFonts w:ascii="Times New Roman" w:hAnsi="Times New Roman" w:cs="Times New Roman"/>
          <w:sz w:val="20"/>
          <w:szCs w:val="20"/>
        </w:rPr>
        <w:t>osteopenic</w:t>
      </w:r>
      <w:proofErr w:type="spellEnd"/>
      <w:r w:rsidRPr="00531701">
        <w:rPr>
          <w:rFonts w:ascii="Times New Roman" w:hAnsi="Times New Roman" w:cs="Times New Roman"/>
          <w:sz w:val="20"/>
          <w:szCs w:val="20"/>
        </w:rPr>
        <w:t xml:space="preserve"> and osteoporotic BMD assessment. Out of </w:t>
      </w:r>
      <w:r w:rsidR="00E60FB1" w:rsidRPr="00531701">
        <w:rPr>
          <w:rFonts w:ascii="Times New Roman" w:hAnsi="Times New Roman" w:cs="Times New Roman"/>
          <w:sz w:val="20"/>
          <w:szCs w:val="20"/>
        </w:rPr>
        <w:t>47 patients, 27 (57.5 %) showed a significant improvement</w:t>
      </w:r>
      <w:r w:rsidRPr="00531701">
        <w:rPr>
          <w:rFonts w:ascii="Times New Roman" w:hAnsi="Times New Roman" w:cs="Times New Roman"/>
          <w:sz w:val="20"/>
          <w:szCs w:val="20"/>
        </w:rPr>
        <w:t xml:space="preserve"> at 3</w:t>
      </w:r>
      <w:r w:rsidRPr="00531701">
        <w:rPr>
          <w:rFonts w:ascii="Times New Roman" w:hAnsi="Times New Roman" w:cs="Times New Roman"/>
          <w:sz w:val="20"/>
          <w:szCs w:val="20"/>
          <w:vertAlign w:val="superscript"/>
        </w:rPr>
        <w:t>rd</w:t>
      </w:r>
      <w:r w:rsidR="000460C4" w:rsidRPr="00531701">
        <w:rPr>
          <w:rFonts w:ascii="Times New Roman" w:hAnsi="Times New Roman" w:cs="Times New Roman"/>
          <w:sz w:val="20"/>
          <w:szCs w:val="20"/>
        </w:rPr>
        <w:t xml:space="preserve"> month with </w:t>
      </w:r>
      <w:r w:rsidRPr="00531701">
        <w:rPr>
          <w:rFonts w:ascii="Times New Roman" w:hAnsi="Times New Roman" w:cs="Times New Roman"/>
          <w:sz w:val="20"/>
          <w:szCs w:val="20"/>
        </w:rPr>
        <w:t xml:space="preserve">positive change in BMD along with improvement in T score (p &lt; 0.05). </w:t>
      </w:r>
      <w:r w:rsidR="00531701">
        <w:rPr>
          <w:rFonts w:ascii="Times New Roman" w:hAnsi="Times New Roman" w:cs="Times New Roman"/>
          <w:sz w:val="20"/>
          <w:szCs w:val="20"/>
        </w:rPr>
        <w:t xml:space="preserve"> </w:t>
      </w:r>
      <w:r w:rsidRPr="00531701">
        <w:rPr>
          <w:rFonts w:ascii="Times New Roman" w:hAnsi="Times New Roman" w:cs="Times New Roman"/>
          <w:sz w:val="20"/>
          <w:szCs w:val="20"/>
        </w:rPr>
        <w:t>A number of studies have investigated the effect of intravenous and oral bisphosphonates in men with non-metastatic prostate cancer receiving ADT. Intravenous</w:t>
      </w:r>
      <w:r w:rsidR="000460C4" w:rsidRPr="00531701">
        <w:rPr>
          <w:rFonts w:ascii="Times New Roman" w:hAnsi="Times New Roman" w:cs="Times New Roman"/>
          <w:sz w:val="20"/>
          <w:szCs w:val="20"/>
        </w:rPr>
        <w:t xml:space="preserve"> (IV) bisphosphonates like </w:t>
      </w:r>
      <w:proofErr w:type="spellStart"/>
      <w:r w:rsidR="000460C4" w:rsidRPr="00531701">
        <w:rPr>
          <w:rFonts w:ascii="Times New Roman" w:hAnsi="Times New Roman" w:cs="Times New Roman"/>
          <w:sz w:val="20"/>
          <w:szCs w:val="20"/>
        </w:rPr>
        <w:t>p</w:t>
      </w:r>
      <w:r w:rsidRPr="00531701">
        <w:rPr>
          <w:rFonts w:ascii="Times New Roman" w:hAnsi="Times New Roman" w:cs="Times New Roman"/>
          <w:sz w:val="20"/>
          <w:szCs w:val="20"/>
        </w:rPr>
        <w:t>amidronate</w:t>
      </w:r>
      <w:proofErr w:type="spellEnd"/>
      <w:r w:rsidRPr="00531701">
        <w:rPr>
          <w:rFonts w:ascii="Times New Roman" w:hAnsi="Times New Roman" w:cs="Times New Roman"/>
          <w:sz w:val="20"/>
          <w:szCs w:val="20"/>
        </w:rPr>
        <w:t xml:space="preserve"> 60 mg given every 12 weeks </w:t>
      </w:r>
      <w:r w:rsidRPr="00531701">
        <w:rPr>
          <w:rFonts w:ascii="Times New Roman" w:hAnsi="Times New Roman" w:cs="Times New Roman"/>
          <w:sz w:val="20"/>
          <w:szCs w:val="20"/>
          <w:vertAlign w:val="superscript"/>
        </w:rPr>
        <w:t>[12]</w:t>
      </w:r>
      <w:r w:rsidR="000460C4" w:rsidRPr="00531701">
        <w:rPr>
          <w:rFonts w:ascii="Times New Roman" w:hAnsi="Times New Roman" w:cs="Times New Roman"/>
          <w:sz w:val="20"/>
          <w:szCs w:val="20"/>
          <w:vertAlign w:val="superscript"/>
        </w:rPr>
        <w:t xml:space="preserve"> </w:t>
      </w:r>
      <w:r w:rsidR="000460C4" w:rsidRPr="00531701">
        <w:rPr>
          <w:rFonts w:ascii="Times New Roman" w:hAnsi="Times New Roman" w:cs="Times New Roman"/>
          <w:sz w:val="20"/>
          <w:szCs w:val="20"/>
        </w:rPr>
        <w:t xml:space="preserve">or </w:t>
      </w:r>
      <w:proofErr w:type="spellStart"/>
      <w:r w:rsidR="00DC0376" w:rsidRPr="00531701">
        <w:rPr>
          <w:rFonts w:ascii="Times New Roman" w:hAnsi="Times New Roman" w:cs="Times New Roman"/>
          <w:sz w:val="20"/>
          <w:szCs w:val="20"/>
        </w:rPr>
        <w:t>zoledronic</w:t>
      </w:r>
      <w:proofErr w:type="spellEnd"/>
      <w:r w:rsidR="000460C4" w:rsidRPr="00531701">
        <w:rPr>
          <w:rFonts w:ascii="Times New Roman" w:hAnsi="Times New Roman" w:cs="Times New Roman"/>
          <w:sz w:val="20"/>
          <w:szCs w:val="20"/>
        </w:rPr>
        <w:t xml:space="preserve"> a</w:t>
      </w:r>
      <w:r w:rsidRPr="00531701">
        <w:rPr>
          <w:rFonts w:ascii="Times New Roman" w:hAnsi="Times New Roman" w:cs="Times New Roman"/>
          <w:sz w:val="20"/>
          <w:szCs w:val="20"/>
        </w:rPr>
        <w:t xml:space="preserve">cid 4 mg given every 3 months for 1 year </w:t>
      </w:r>
      <w:r w:rsidRPr="00531701">
        <w:rPr>
          <w:rFonts w:ascii="Times New Roman" w:hAnsi="Times New Roman" w:cs="Times New Roman"/>
          <w:sz w:val="20"/>
          <w:szCs w:val="20"/>
          <w:vertAlign w:val="superscript"/>
        </w:rPr>
        <w:t xml:space="preserve">[11, 13, 14]   </w:t>
      </w:r>
      <w:r w:rsidRPr="00531701">
        <w:rPr>
          <w:rFonts w:ascii="Times New Roman" w:hAnsi="Times New Roman" w:cs="Times New Roman"/>
          <w:sz w:val="20"/>
          <w:szCs w:val="20"/>
        </w:rPr>
        <w:t>have prevented bone loss or increased BMD</w:t>
      </w:r>
      <w:r w:rsidR="000460C4" w:rsidRPr="00531701">
        <w:rPr>
          <w:rFonts w:ascii="Times New Roman" w:hAnsi="Times New Roman" w:cs="Times New Roman"/>
          <w:sz w:val="20"/>
          <w:szCs w:val="20"/>
        </w:rPr>
        <w:t xml:space="preserve"> </w:t>
      </w:r>
      <w:r w:rsidRPr="00531701">
        <w:rPr>
          <w:rFonts w:ascii="Times New Roman" w:hAnsi="Times New Roman" w:cs="Times New Roman"/>
          <w:sz w:val="20"/>
          <w:szCs w:val="20"/>
        </w:rPr>
        <w:t xml:space="preserve">in men with </w:t>
      </w:r>
      <w:proofErr w:type="spellStart"/>
      <w:r w:rsidRPr="00531701">
        <w:rPr>
          <w:rFonts w:ascii="Times New Roman" w:hAnsi="Times New Roman" w:cs="Times New Roman"/>
          <w:sz w:val="20"/>
          <w:szCs w:val="20"/>
        </w:rPr>
        <w:t>CaP</w:t>
      </w:r>
      <w:proofErr w:type="spellEnd"/>
      <w:r w:rsidRPr="00531701">
        <w:rPr>
          <w:rFonts w:ascii="Times New Roman" w:hAnsi="Times New Roman" w:cs="Times New Roman"/>
          <w:sz w:val="20"/>
          <w:szCs w:val="20"/>
        </w:rPr>
        <w:t xml:space="preserve"> (newly initiated or on chronic ADT).In another study by Lang </w:t>
      </w:r>
      <w:r w:rsidRPr="00531701">
        <w:rPr>
          <w:rFonts w:ascii="Times New Roman" w:hAnsi="Times New Roman" w:cs="Times New Roman"/>
          <w:i/>
          <w:sz w:val="20"/>
          <w:szCs w:val="20"/>
        </w:rPr>
        <w:t>et al</w:t>
      </w:r>
      <w:r w:rsidR="000460C4" w:rsidRPr="00531701">
        <w:rPr>
          <w:rFonts w:ascii="Times New Roman" w:hAnsi="Times New Roman" w:cs="Times New Roman"/>
          <w:sz w:val="20"/>
          <w:szCs w:val="20"/>
        </w:rPr>
        <w:t xml:space="preserve">, </w:t>
      </w:r>
      <w:proofErr w:type="spellStart"/>
      <w:r w:rsidR="00DC0376" w:rsidRPr="00531701">
        <w:rPr>
          <w:rFonts w:ascii="Times New Roman" w:hAnsi="Times New Roman" w:cs="Times New Roman"/>
          <w:sz w:val="20"/>
          <w:szCs w:val="20"/>
        </w:rPr>
        <w:t>zoledronic</w:t>
      </w:r>
      <w:proofErr w:type="spellEnd"/>
      <w:r w:rsidR="000460C4" w:rsidRPr="00531701">
        <w:rPr>
          <w:rFonts w:ascii="Times New Roman" w:hAnsi="Times New Roman" w:cs="Times New Roman"/>
          <w:sz w:val="20"/>
          <w:szCs w:val="20"/>
        </w:rPr>
        <w:t xml:space="preserve"> a</w:t>
      </w:r>
      <w:r w:rsidRPr="00531701">
        <w:rPr>
          <w:rFonts w:ascii="Times New Roman" w:hAnsi="Times New Roman" w:cs="Times New Roman"/>
          <w:sz w:val="20"/>
          <w:szCs w:val="20"/>
        </w:rPr>
        <w:t>cid 4mg IV monthly for 6 months was given in men receiving ADT as primary therapy. They found an increase of BMD of 2.9% (p=.009) over baseline after 12 months and increase of 1.1 % (p=</w:t>
      </w:r>
      <w:r w:rsidR="000460C4" w:rsidRPr="00531701">
        <w:rPr>
          <w:rFonts w:ascii="Times New Roman" w:hAnsi="Times New Roman" w:cs="Times New Roman"/>
          <w:sz w:val="20"/>
          <w:szCs w:val="20"/>
        </w:rPr>
        <w:t>0</w:t>
      </w:r>
      <w:r w:rsidRPr="00531701">
        <w:rPr>
          <w:rFonts w:ascii="Times New Roman" w:hAnsi="Times New Roman" w:cs="Times New Roman"/>
          <w:sz w:val="20"/>
          <w:szCs w:val="20"/>
        </w:rPr>
        <w:t xml:space="preserve">.05) over baseline after 6 months </w:t>
      </w:r>
      <w:r w:rsidRPr="00531701">
        <w:rPr>
          <w:rFonts w:ascii="Times New Roman" w:hAnsi="Times New Roman" w:cs="Times New Roman"/>
          <w:sz w:val="20"/>
          <w:szCs w:val="20"/>
          <w:vertAlign w:val="superscript"/>
        </w:rPr>
        <w:t>[19]</w:t>
      </w:r>
    </w:p>
    <w:p w:rsidR="004E47B7" w:rsidRPr="00531701" w:rsidRDefault="004E47B7" w:rsidP="00531701">
      <w:pPr>
        <w:spacing w:after="0" w:line="360" w:lineRule="auto"/>
        <w:rPr>
          <w:rFonts w:ascii="Times New Roman" w:hAnsi="Times New Roman" w:cs="Times New Roman"/>
          <w:sz w:val="20"/>
          <w:szCs w:val="20"/>
        </w:rPr>
      </w:pPr>
      <w:r w:rsidRPr="00531701">
        <w:rPr>
          <w:rFonts w:ascii="Times New Roman" w:hAnsi="Times New Roman" w:cs="Times New Roman"/>
          <w:sz w:val="20"/>
          <w:szCs w:val="20"/>
        </w:rPr>
        <w:t>The BMD kinetic study in Indian population clearly suggests that the patients who are on ADT need active treatment against the three major factors that includes metastatic disease, iatrogenic testosterone deficiency and their aging body as along with multiple co</w:t>
      </w:r>
      <w:r w:rsidR="000460C4" w:rsidRPr="00531701">
        <w:rPr>
          <w:rFonts w:ascii="Times New Roman" w:hAnsi="Times New Roman" w:cs="Times New Roman"/>
          <w:sz w:val="20"/>
          <w:szCs w:val="20"/>
        </w:rPr>
        <w:t>-</w:t>
      </w:r>
      <w:r w:rsidRPr="00531701">
        <w:rPr>
          <w:rFonts w:ascii="Times New Roman" w:hAnsi="Times New Roman" w:cs="Times New Roman"/>
          <w:sz w:val="20"/>
          <w:szCs w:val="20"/>
        </w:rPr>
        <w:t>morbidities of old age.</w:t>
      </w:r>
      <w:r w:rsidR="00531701">
        <w:rPr>
          <w:rFonts w:ascii="Times New Roman" w:hAnsi="Times New Roman" w:cs="Times New Roman"/>
          <w:sz w:val="20"/>
          <w:szCs w:val="20"/>
        </w:rPr>
        <w:t xml:space="preserve"> </w:t>
      </w:r>
      <w:r w:rsidRPr="00531701">
        <w:rPr>
          <w:rFonts w:ascii="Times New Roman" w:hAnsi="Times New Roman" w:cs="Times New Roman"/>
          <w:sz w:val="20"/>
          <w:szCs w:val="20"/>
        </w:rPr>
        <w:t>In 6 month study period, none of our patient suffered pathol</w:t>
      </w:r>
      <w:r w:rsidR="00BA542A" w:rsidRPr="00531701">
        <w:rPr>
          <w:rFonts w:ascii="Times New Roman" w:hAnsi="Times New Roman" w:cs="Times New Roman"/>
          <w:sz w:val="20"/>
          <w:szCs w:val="20"/>
        </w:rPr>
        <w:t>ogic fractures or new</w:t>
      </w:r>
      <w:r w:rsidRPr="00531701">
        <w:rPr>
          <w:rFonts w:ascii="Times New Roman" w:hAnsi="Times New Roman" w:cs="Times New Roman"/>
          <w:sz w:val="20"/>
          <w:szCs w:val="20"/>
        </w:rPr>
        <w:t xml:space="preserve"> spinal cord compression. One patient underwent hyperbaric oxy</w:t>
      </w:r>
      <w:r w:rsidR="00BA542A" w:rsidRPr="00531701">
        <w:rPr>
          <w:rFonts w:ascii="Times New Roman" w:hAnsi="Times New Roman" w:cs="Times New Roman"/>
          <w:sz w:val="20"/>
          <w:szCs w:val="20"/>
        </w:rPr>
        <w:t>gen therapy and dental interventions</w:t>
      </w:r>
      <w:r w:rsidRPr="00531701">
        <w:rPr>
          <w:rFonts w:ascii="Times New Roman" w:hAnsi="Times New Roman" w:cs="Times New Roman"/>
          <w:sz w:val="20"/>
          <w:szCs w:val="20"/>
        </w:rPr>
        <w:t xml:space="preserve"> for osteonecrosis of jaw.</w:t>
      </w:r>
      <w:r w:rsidR="00531701">
        <w:rPr>
          <w:rFonts w:ascii="Times New Roman" w:hAnsi="Times New Roman" w:cs="Times New Roman"/>
          <w:sz w:val="20"/>
          <w:szCs w:val="20"/>
        </w:rPr>
        <w:t xml:space="preserve"> </w:t>
      </w:r>
      <w:r w:rsidRPr="00531701">
        <w:rPr>
          <w:rFonts w:ascii="Times New Roman" w:hAnsi="Times New Roman" w:cs="Times New Roman"/>
          <w:sz w:val="20"/>
          <w:szCs w:val="20"/>
        </w:rPr>
        <w:t xml:space="preserve">All </w:t>
      </w:r>
      <w:r w:rsidR="000460C4" w:rsidRPr="00531701">
        <w:rPr>
          <w:rFonts w:ascii="Times New Roman" w:hAnsi="Times New Roman" w:cs="Times New Roman"/>
          <w:sz w:val="20"/>
          <w:szCs w:val="20"/>
        </w:rPr>
        <w:t xml:space="preserve">the </w:t>
      </w:r>
      <w:r w:rsidRPr="00531701">
        <w:rPr>
          <w:rFonts w:ascii="Times New Roman" w:hAnsi="Times New Roman" w:cs="Times New Roman"/>
          <w:sz w:val="20"/>
          <w:szCs w:val="20"/>
        </w:rPr>
        <w:t xml:space="preserve">patients received vitamin D (60000 IU/week) and calcium (1200 mg/day in combination with vitamin D) supplementation. Periodically, their serum vitamin D levels were checked to avoid any toxicity. It is an established fact that calcium in combination with vitamin D significantly reduces the occurrence of fractures. Daily calcium doses of at least 1200 mg in combination with vitamin D reduces the fracture relative risk by 20% for people 50 years of age and older. </w:t>
      </w:r>
      <w:r w:rsidRPr="00531701">
        <w:rPr>
          <w:rFonts w:ascii="Times New Roman" w:hAnsi="Times New Roman" w:cs="Times New Roman"/>
          <w:sz w:val="20"/>
          <w:szCs w:val="20"/>
          <w:vertAlign w:val="superscript"/>
        </w:rPr>
        <w:t>[20]</w:t>
      </w:r>
    </w:p>
    <w:p w:rsidR="004E47B7" w:rsidRPr="00531701" w:rsidRDefault="004E47B7" w:rsidP="00531701">
      <w:pPr>
        <w:autoSpaceDE w:val="0"/>
        <w:autoSpaceDN w:val="0"/>
        <w:adjustRightInd w:val="0"/>
        <w:spacing w:after="0" w:line="360" w:lineRule="auto"/>
        <w:rPr>
          <w:rFonts w:ascii="Times New Roman" w:hAnsi="Times New Roman" w:cs="Times New Roman"/>
          <w:sz w:val="20"/>
          <w:szCs w:val="20"/>
        </w:rPr>
      </w:pPr>
      <w:r w:rsidRPr="00531701">
        <w:rPr>
          <w:rFonts w:ascii="Times New Roman" w:hAnsi="Times New Roman" w:cs="Times New Roman"/>
          <w:sz w:val="20"/>
          <w:szCs w:val="20"/>
        </w:rPr>
        <w:t>Men on continuous ADT experience bone loss of up to 10% over 2 years</w:t>
      </w:r>
      <w:r w:rsidR="00767E68" w:rsidRPr="00531701">
        <w:rPr>
          <w:rFonts w:ascii="Times New Roman" w:hAnsi="Times New Roman" w:cs="Times New Roman"/>
          <w:sz w:val="20"/>
          <w:szCs w:val="20"/>
        </w:rPr>
        <w:t xml:space="preserve"> </w:t>
      </w:r>
      <w:r w:rsidRPr="00531701">
        <w:rPr>
          <w:rFonts w:ascii="Times New Roman" w:hAnsi="Times New Roman" w:cs="Times New Roman"/>
          <w:sz w:val="20"/>
          <w:szCs w:val="20"/>
        </w:rPr>
        <w:t>and</w:t>
      </w:r>
      <w:r w:rsidR="00767E68" w:rsidRPr="00531701">
        <w:rPr>
          <w:rFonts w:ascii="Times New Roman" w:hAnsi="Times New Roman" w:cs="Times New Roman"/>
          <w:sz w:val="20"/>
          <w:szCs w:val="20"/>
        </w:rPr>
        <w:t xml:space="preserve"> </w:t>
      </w:r>
      <w:r w:rsidRPr="00531701">
        <w:rPr>
          <w:rFonts w:ascii="Times New Roman" w:hAnsi="Times New Roman" w:cs="Times New Roman"/>
          <w:sz w:val="20"/>
          <w:szCs w:val="20"/>
        </w:rPr>
        <w:t>annual BMD decrements of –1.4%to –4.6% at the lumbar spine, –0.6% to –3.3% at thetotal hip, and –0.7% to –3.9% at the femoral neck. Patients who receive ADT are known to have increa</w:t>
      </w:r>
      <w:r w:rsidR="00767E68" w:rsidRPr="00531701">
        <w:rPr>
          <w:rFonts w:ascii="Times New Roman" w:hAnsi="Times New Roman" w:cs="Times New Roman"/>
          <w:sz w:val="20"/>
          <w:szCs w:val="20"/>
        </w:rPr>
        <w:t xml:space="preserve">sed relative risks for fracture </w:t>
      </w:r>
      <w:r w:rsidRPr="00531701">
        <w:rPr>
          <w:rFonts w:ascii="Times New Roman" w:hAnsi="Times New Roman" w:cs="Times New Roman"/>
          <w:sz w:val="20"/>
          <w:szCs w:val="20"/>
        </w:rPr>
        <w:t>1.76 for hip and 1.18 for vertebrae as com</w:t>
      </w:r>
      <w:r w:rsidR="00491D6B" w:rsidRPr="00531701">
        <w:rPr>
          <w:rFonts w:ascii="Times New Roman" w:hAnsi="Times New Roman" w:cs="Times New Roman"/>
          <w:sz w:val="20"/>
          <w:szCs w:val="20"/>
        </w:rPr>
        <w:t>pared with those who did not receive</w:t>
      </w:r>
      <w:r w:rsidRPr="00531701">
        <w:rPr>
          <w:rFonts w:ascii="Times New Roman" w:hAnsi="Times New Roman" w:cs="Times New Roman"/>
          <w:sz w:val="20"/>
          <w:szCs w:val="20"/>
        </w:rPr>
        <w:t xml:space="preserve"> ADT</w:t>
      </w:r>
      <w:proofErr w:type="gramStart"/>
      <w:r w:rsidRPr="00531701">
        <w:rPr>
          <w:rFonts w:ascii="Times New Roman" w:hAnsi="Times New Roman" w:cs="Times New Roman"/>
          <w:sz w:val="20"/>
          <w:szCs w:val="20"/>
        </w:rPr>
        <w:t>.</w:t>
      </w:r>
      <w:r w:rsidRPr="00531701">
        <w:rPr>
          <w:rFonts w:ascii="Times New Roman" w:hAnsi="Times New Roman" w:cs="Times New Roman"/>
          <w:sz w:val="20"/>
          <w:szCs w:val="20"/>
          <w:vertAlign w:val="superscript"/>
        </w:rPr>
        <w:t>[</w:t>
      </w:r>
      <w:proofErr w:type="gramEnd"/>
      <w:r w:rsidRPr="00531701">
        <w:rPr>
          <w:rFonts w:ascii="Times New Roman" w:hAnsi="Times New Roman" w:cs="Times New Roman"/>
          <w:sz w:val="20"/>
          <w:szCs w:val="20"/>
          <w:vertAlign w:val="superscript"/>
        </w:rPr>
        <w:t>21]</w:t>
      </w:r>
    </w:p>
    <w:p w:rsidR="004E47B7" w:rsidRPr="00531701" w:rsidRDefault="004E47B7" w:rsidP="00531701">
      <w:pPr>
        <w:spacing w:after="0" w:line="360" w:lineRule="auto"/>
        <w:rPr>
          <w:rFonts w:ascii="Times New Roman" w:hAnsi="Times New Roman" w:cs="Times New Roman"/>
          <w:color w:val="141314"/>
          <w:sz w:val="20"/>
          <w:szCs w:val="20"/>
        </w:rPr>
      </w:pPr>
      <w:r w:rsidRPr="00531701">
        <w:rPr>
          <w:rFonts w:ascii="Times New Roman" w:hAnsi="Times New Roman" w:cs="Times New Roman"/>
          <w:color w:val="141314"/>
          <w:sz w:val="20"/>
          <w:szCs w:val="20"/>
        </w:rPr>
        <w:t>When we divided our patients based on WHO classification for bone health (Table 3), we found a shift in paradigm towards normal T score range indicating effectiveness of treatment provided to them. (Table 2)</w:t>
      </w:r>
    </w:p>
    <w:p w:rsidR="004E47B7" w:rsidRPr="00531701" w:rsidRDefault="00491D6B" w:rsidP="00531701">
      <w:pPr>
        <w:spacing w:after="0" w:line="360" w:lineRule="auto"/>
        <w:rPr>
          <w:rFonts w:ascii="Times New Roman" w:hAnsi="Times New Roman" w:cs="Times New Roman"/>
          <w:color w:val="231F20"/>
          <w:sz w:val="20"/>
          <w:szCs w:val="20"/>
        </w:rPr>
      </w:pPr>
      <w:r w:rsidRPr="00531701">
        <w:rPr>
          <w:rFonts w:ascii="Times New Roman" w:hAnsi="Times New Roman" w:cs="Times New Roman"/>
          <w:color w:val="231F20"/>
          <w:sz w:val="20"/>
          <w:szCs w:val="20"/>
        </w:rPr>
        <w:t>American Association of Urology (</w:t>
      </w:r>
      <w:r w:rsidR="004E47B7" w:rsidRPr="00531701">
        <w:rPr>
          <w:rFonts w:ascii="Times New Roman" w:hAnsi="Times New Roman" w:cs="Times New Roman"/>
          <w:color w:val="231F20"/>
          <w:sz w:val="20"/>
          <w:szCs w:val="20"/>
        </w:rPr>
        <w:t>AUA</w:t>
      </w:r>
      <w:r w:rsidRPr="00531701">
        <w:rPr>
          <w:rFonts w:ascii="Times New Roman" w:hAnsi="Times New Roman" w:cs="Times New Roman"/>
          <w:color w:val="231F20"/>
          <w:sz w:val="20"/>
          <w:szCs w:val="20"/>
        </w:rPr>
        <w:t>)</w:t>
      </w:r>
      <w:r w:rsidR="004E47B7" w:rsidRPr="00531701">
        <w:rPr>
          <w:rFonts w:ascii="Times New Roman" w:hAnsi="Times New Roman" w:cs="Times New Roman"/>
          <w:color w:val="231F20"/>
          <w:sz w:val="20"/>
          <w:szCs w:val="20"/>
        </w:rPr>
        <w:t xml:space="preserve"> guidelines statements (which are not specific to any one index patient) offer preventive treatment for fractures and skeletal related events to CRPC patients</w:t>
      </w:r>
      <w:r w:rsidRPr="00531701">
        <w:rPr>
          <w:rFonts w:ascii="Times New Roman" w:hAnsi="Times New Roman" w:cs="Times New Roman"/>
          <w:color w:val="231F20"/>
          <w:sz w:val="20"/>
          <w:szCs w:val="20"/>
        </w:rPr>
        <w:t xml:space="preserve">. Clinicians can choose either </w:t>
      </w:r>
      <w:r w:rsidR="00DC0376" w:rsidRPr="00531701">
        <w:rPr>
          <w:rFonts w:ascii="Times New Roman" w:hAnsi="Times New Roman" w:cs="Times New Roman"/>
          <w:color w:val="231F20"/>
          <w:sz w:val="20"/>
          <w:szCs w:val="20"/>
        </w:rPr>
        <w:t>denosumab</w:t>
      </w:r>
      <w:r w:rsidRPr="00531701">
        <w:rPr>
          <w:rFonts w:ascii="Times New Roman" w:hAnsi="Times New Roman" w:cs="Times New Roman"/>
          <w:color w:val="231F20"/>
          <w:sz w:val="20"/>
          <w:szCs w:val="20"/>
        </w:rPr>
        <w:t xml:space="preserve"> or </w:t>
      </w:r>
      <w:r w:rsidR="00DC0376" w:rsidRPr="00531701">
        <w:rPr>
          <w:rFonts w:ascii="Times New Roman" w:hAnsi="Times New Roman" w:cs="Times New Roman"/>
          <w:color w:val="231F20"/>
          <w:sz w:val="20"/>
          <w:szCs w:val="20"/>
        </w:rPr>
        <w:t>zoledronic</w:t>
      </w:r>
      <w:r w:rsidRPr="00531701">
        <w:rPr>
          <w:rFonts w:ascii="Times New Roman" w:hAnsi="Times New Roman" w:cs="Times New Roman"/>
          <w:color w:val="231F20"/>
          <w:sz w:val="20"/>
          <w:szCs w:val="20"/>
        </w:rPr>
        <w:t xml:space="preserve"> a</w:t>
      </w:r>
      <w:r w:rsidR="004E47B7" w:rsidRPr="00531701">
        <w:rPr>
          <w:rFonts w:ascii="Times New Roman" w:hAnsi="Times New Roman" w:cs="Times New Roman"/>
          <w:color w:val="231F20"/>
          <w:sz w:val="20"/>
          <w:szCs w:val="20"/>
        </w:rPr>
        <w:t xml:space="preserve">cid while selecting a preventive treatment for skeletal related events for mCRPC (metastatic Castrate Resistant Prostate Cancer) patients with bony metastases. </w:t>
      </w:r>
      <w:r w:rsidR="004E47B7" w:rsidRPr="00531701">
        <w:rPr>
          <w:rFonts w:ascii="Times New Roman" w:hAnsi="Times New Roman" w:cs="Times New Roman"/>
          <w:color w:val="231F20"/>
          <w:sz w:val="20"/>
          <w:szCs w:val="20"/>
          <w:vertAlign w:val="superscript"/>
        </w:rPr>
        <w:t>[23-25]</w:t>
      </w:r>
      <w:r w:rsidR="004E47B7" w:rsidRPr="00531701">
        <w:rPr>
          <w:rFonts w:ascii="Times New Roman" w:hAnsi="Times New Roman" w:cs="Times New Roman"/>
          <w:color w:val="231F20"/>
          <w:sz w:val="20"/>
          <w:szCs w:val="20"/>
        </w:rPr>
        <w:t xml:space="preserve"> </w:t>
      </w:r>
      <w:r w:rsidRPr="00531701">
        <w:rPr>
          <w:rFonts w:ascii="Times New Roman" w:hAnsi="Times New Roman" w:cs="Times New Roman"/>
          <w:color w:val="231F20"/>
          <w:sz w:val="20"/>
          <w:szCs w:val="20"/>
        </w:rPr>
        <w:t>National Comprehensive Cancer Network (</w:t>
      </w:r>
      <w:r w:rsidR="004E47B7" w:rsidRPr="00531701">
        <w:rPr>
          <w:rFonts w:ascii="Times New Roman" w:hAnsi="Times New Roman" w:cs="Times New Roman"/>
          <w:color w:val="231F20"/>
          <w:sz w:val="20"/>
          <w:szCs w:val="20"/>
        </w:rPr>
        <w:t>NCCN</w:t>
      </w:r>
      <w:r w:rsidRPr="00531701">
        <w:rPr>
          <w:rFonts w:ascii="Times New Roman" w:hAnsi="Times New Roman" w:cs="Times New Roman"/>
          <w:color w:val="231F20"/>
          <w:sz w:val="20"/>
          <w:szCs w:val="20"/>
        </w:rPr>
        <w:t>)</w:t>
      </w:r>
      <w:r w:rsidR="004E47B7" w:rsidRPr="00531701">
        <w:rPr>
          <w:rFonts w:ascii="Times New Roman" w:hAnsi="Times New Roman" w:cs="Times New Roman"/>
          <w:color w:val="231F20"/>
          <w:sz w:val="20"/>
          <w:szCs w:val="20"/>
        </w:rPr>
        <w:t xml:space="preserve"> guidelines suggests that in hormone naïve carcinoma prostate patients (on ADT), treatment with </w:t>
      </w:r>
      <w:r w:rsidR="00BA542A" w:rsidRPr="00531701">
        <w:rPr>
          <w:rFonts w:ascii="Times New Roman" w:hAnsi="Times New Roman" w:cs="Times New Roman"/>
          <w:color w:val="231F20"/>
          <w:sz w:val="20"/>
          <w:szCs w:val="20"/>
        </w:rPr>
        <w:t xml:space="preserve">osteoporotic treatment doses </w:t>
      </w:r>
      <w:r w:rsidRPr="00531701">
        <w:rPr>
          <w:rFonts w:ascii="Times New Roman" w:hAnsi="Times New Roman" w:cs="Times New Roman"/>
          <w:color w:val="231F20"/>
          <w:sz w:val="20"/>
          <w:szCs w:val="20"/>
        </w:rPr>
        <w:t xml:space="preserve">either </w:t>
      </w:r>
      <w:r w:rsidR="00DC0376" w:rsidRPr="00531701">
        <w:rPr>
          <w:rFonts w:ascii="Times New Roman" w:hAnsi="Times New Roman" w:cs="Times New Roman"/>
          <w:color w:val="231F20"/>
          <w:sz w:val="20"/>
          <w:szCs w:val="20"/>
        </w:rPr>
        <w:t>denosumab</w:t>
      </w:r>
      <w:r w:rsidRPr="00531701">
        <w:rPr>
          <w:rFonts w:ascii="Times New Roman" w:hAnsi="Times New Roman" w:cs="Times New Roman"/>
          <w:color w:val="231F20"/>
          <w:sz w:val="20"/>
          <w:szCs w:val="20"/>
        </w:rPr>
        <w:t xml:space="preserve"> (60 mg subcutaneously every 6 months) or </w:t>
      </w:r>
      <w:r w:rsidR="00DC0376" w:rsidRPr="00531701">
        <w:rPr>
          <w:rFonts w:ascii="Times New Roman" w:hAnsi="Times New Roman" w:cs="Times New Roman"/>
          <w:color w:val="231F20"/>
          <w:sz w:val="20"/>
          <w:szCs w:val="20"/>
        </w:rPr>
        <w:t>zoledronic</w:t>
      </w:r>
      <w:r w:rsidRPr="00531701">
        <w:rPr>
          <w:rFonts w:ascii="Times New Roman" w:hAnsi="Times New Roman" w:cs="Times New Roman"/>
          <w:color w:val="231F20"/>
          <w:sz w:val="20"/>
          <w:szCs w:val="20"/>
        </w:rPr>
        <w:t xml:space="preserve"> a</w:t>
      </w:r>
      <w:r w:rsidR="004E47B7" w:rsidRPr="00531701">
        <w:rPr>
          <w:rFonts w:ascii="Times New Roman" w:hAnsi="Times New Roman" w:cs="Times New Roman"/>
          <w:color w:val="231F20"/>
          <w:sz w:val="20"/>
          <w:szCs w:val="20"/>
        </w:rPr>
        <w:t xml:space="preserve">cid (5 mg IV annually) is recommended when the absolute </w:t>
      </w:r>
      <w:r w:rsidR="004E47B7" w:rsidRPr="00531701">
        <w:rPr>
          <w:rFonts w:ascii="Times New Roman" w:hAnsi="Times New Roman" w:cs="Times New Roman"/>
          <w:color w:val="231F20"/>
          <w:sz w:val="20"/>
          <w:szCs w:val="20"/>
        </w:rPr>
        <w:lastRenderedPageBreak/>
        <w:t>fracture risk warrants d</w:t>
      </w:r>
      <w:r w:rsidRPr="00531701">
        <w:rPr>
          <w:rFonts w:ascii="Times New Roman" w:hAnsi="Times New Roman" w:cs="Times New Roman"/>
          <w:color w:val="231F20"/>
          <w:sz w:val="20"/>
          <w:szCs w:val="20"/>
        </w:rPr>
        <w:t xml:space="preserve">rug therapy. In men with CRPC, </w:t>
      </w:r>
      <w:r w:rsidR="00DC0376" w:rsidRPr="00531701">
        <w:rPr>
          <w:rFonts w:ascii="Times New Roman" w:hAnsi="Times New Roman" w:cs="Times New Roman"/>
          <w:color w:val="231F20"/>
          <w:sz w:val="20"/>
          <w:szCs w:val="20"/>
        </w:rPr>
        <w:t>zoledronic</w:t>
      </w:r>
      <w:r w:rsidRPr="00531701">
        <w:rPr>
          <w:rFonts w:ascii="Times New Roman" w:hAnsi="Times New Roman" w:cs="Times New Roman"/>
          <w:color w:val="231F20"/>
          <w:sz w:val="20"/>
          <w:szCs w:val="20"/>
        </w:rPr>
        <w:t xml:space="preserve"> a</w:t>
      </w:r>
      <w:r w:rsidR="004E47B7" w:rsidRPr="00531701">
        <w:rPr>
          <w:rFonts w:ascii="Times New Roman" w:hAnsi="Times New Roman" w:cs="Times New Roman"/>
          <w:color w:val="231F20"/>
          <w:sz w:val="20"/>
          <w:szCs w:val="20"/>
        </w:rPr>
        <w:t>cid (given intrav</w:t>
      </w:r>
      <w:r w:rsidRPr="00531701">
        <w:rPr>
          <w:rFonts w:ascii="Times New Roman" w:hAnsi="Times New Roman" w:cs="Times New Roman"/>
          <w:color w:val="231F20"/>
          <w:sz w:val="20"/>
          <w:szCs w:val="20"/>
        </w:rPr>
        <w:t xml:space="preserve">enously every 3 to 4 weeks) or </w:t>
      </w:r>
      <w:r w:rsidR="00DC0376" w:rsidRPr="00531701">
        <w:rPr>
          <w:rFonts w:ascii="Times New Roman" w:hAnsi="Times New Roman" w:cs="Times New Roman"/>
          <w:color w:val="231F20"/>
          <w:sz w:val="20"/>
          <w:szCs w:val="20"/>
        </w:rPr>
        <w:t>denosumab</w:t>
      </w:r>
      <w:r w:rsidR="004E47B7" w:rsidRPr="00531701">
        <w:rPr>
          <w:rFonts w:ascii="Times New Roman" w:hAnsi="Times New Roman" w:cs="Times New Roman"/>
          <w:color w:val="231F20"/>
          <w:sz w:val="20"/>
          <w:szCs w:val="20"/>
        </w:rPr>
        <w:t xml:space="preserve"> (120 mg subcutaneously every 4 weeks) is recommended. The optimum </w:t>
      </w:r>
      <w:r w:rsidRPr="00531701">
        <w:rPr>
          <w:rFonts w:ascii="Times New Roman" w:hAnsi="Times New Roman" w:cs="Times New Roman"/>
          <w:color w:val="231F20"/>
          <w:sz w:val="20"/>
          <w:szCs w:val="20"/>
        </w:rPr>
        <w:t xml:space="preserve">duration of therapy for either </w:t>
      </w:r>
      <w:r w:rsidR="00DC0376" w:rsidRPr="00531701">
        <w:rPr>
          <w:rFonts w:ascii="Times New Roman" w:hAnsi="Times New Roman" w:cs="Times New Roman"/>
          <w:color w:val="231F20"/>
          <w:sz w:val="20"/>
          <w:szCs w:val="20"/>
        </w:rPr>
        <w:t>denosumab</w:t>
      </w:r>
      <w:r w:rsidRPr="00531701">
        <w:rPr>
          <w:rFonts w:ascii="Times New Roman" w:hAnsi="Times New Roman" w:cs="Times New Roman"/>
          <w:color w:val="231F20"/>
          <w:sz w:val="20"/>
          <w:szCs w:val="20"/>
        </w:rPr>
        <w:t xml:space="preserve"> or </w:t>
      </w:r>
      <w:r w:rsidR="00DC0376" w:rsidRPr="00531701">
        <w:rPr>
          <w:rFonts w:ascii="Times New Roman" w:hAnsi="Times New Roman" w:cs="Times New Roman"/>
          <w:color w:val="231F20"/>
          <w:sz w:val="20"/>
          <w:szCs w:val="20"/>
        </w:rPr>
        <w:t>zoledronic</w:t>
      </w:r>
      <w:r w:rsidRPr="00531701">
        <w:rPr>
          <w:rFonts w:ascii="Times New Roman" w:hAnsi="Times New Roman" w:cs="Times New Roman"/>
          <w:color w:val="231F20"/>
          <w:sz w:val="20"/>
          <w:szCs w:val="20"/>
        </w:rPr>
        <w:t xml:space="preserve"> a</w:t>
      </w:r>
      <w:r w:rsidR="004E47B7" w:rsidRPr="00531701">
        <w:rPr>
          <w:rFonts w:ascii="Times New Roman" w:hAnsi="Times New Roman" w:cs="Times New Roman"/>
          <w:color w:val="231F20"/>
          <w:sz w:val="20"/>
          <w:szCs w:val="20"/>
        </w:rPr>
        <w:t>cid remains uncertain</w:t>
      </w:r>
      <w:proofErr w:type="gramStart"/>
      <w:r w:rsidR="004E47B7" w:rsidRPr="00531701">
        <w:rPr>
          <w:rFonts w:ascii="Times New Roman" w:hAnsi="Times New Roman" w:cs="Times New Roman"/>
          <w:color w:val="231F20"/>
          <w:sz w:val="20"/>
          <w:szCs w:val="20"/>
        </w:rPr>
        <w:t>.</w:t>
      </w:r>
      <w:r w:rsidR="004E47B7" w:rsidRPr="00531701">
        <w:rPr>
          <w:rFonts w:ascii="Times New Roman" w:hAnsi="Times New Roman" w:cs="Times New Roman"/>
          <w:color w:val="231F20"/>
          <w:sz w:val="20"/>
          <w:szCs w:val="20"/>
          <w:vertAlign w:val="superscript"/>
        </w:rPr>
        <w:t>[</w:t>
      </w:r>
      <w:proofErr w:type="gramEnd"/>
      <w:r w:rsidR="004E47B7" w:rsidRPr="00531701">
        <w:rPr>
          <w:rFonts w:ascii="Times New Roman" w:hAnsi="Times New Roman" w:cs="Times New Roman"/>
          <w:color w:val="231F20"/>
          <w:sz w:val="20"/>
          <w:szCs w:val="20"/>
          <w:vertAlign w:val="superscript"/>
        </w:rPr>
        <w:t xml:space="preserve">26] </w:t>
      </w:r>
    </w:p>
    <w:p w:rsidR="004E47B7" w:rsidRPr="00531701" w:rsidRDefault="004E47B7" w:rsidP="00531701">
      <w:pPr>
        <w:spacing w:after="0" w:line="360" w:lineRule="auto"/>
        <w:rPr>
          <w:rFonts w:ascii="Times New Roman" w:hAnsi="Times New Roman" w:cs="Times New Roman"/>
          <w:b/>
          <w:sz w:val="20"/>
          <w:szCs w:val="20"/>
        </w:rPr>
      </w:pPr>
      <w:r w:rsidRPr="00531701">
        <w:rPr>
          <w:rFonts w:ascii="Times New Roman" w:hAnsi="Times New Roman" w:cs="Times New Roman"/>
          <w:color w:val="141314"/>
          <w:sz w:val="20"/>
          <w:szCs w:val="20"/>
        </w:rPr>
        <w:t>The low rate of osteoporosis management observed in Carcinoma prostate patients on ADT, is consistent with one study we found addressing this issue. Tanvetyanon’s study revealed that</w:t>
      </w:r>
      <w:r w:rsidRPr="00531701">
        <w:rPr>
          <w:rFonts w:ascii="Times New Roman" w:hAnsi="Times New Roman" w:cs="Times New Roman"/>
          <w:color w:val="2D2E8D"/>
          <w:sz w:val="20"/>
          <w:szCs w:val="20"/>
        </w:rPr>
        <w:t xml:space="preserve"> in</w:t>
      </w:r>
      <w:r w:rsidRPr="00531701">
        <w:rPr>
          <w:rFonts w:ascii="Times New Roman" w:hAnsi="Times New Roman" w:cs="Times New Roman"/>
          <w:color w:val="141314"/>
          <w:sz w:val="20"/>
          <w:szCs w:val="20"/>
        </w:rPr>
        <w:t xml:space="preserve"> men with CaP having bone metastases, only 14.7% patients received at</w:t>
      </w:r>
      <w:r w:rsidR="00491D6B" w:rsidRPr="00531701">
        <w:rPr>
          <w:rFonts w:ascii="Times New Roman" w:hAnsi="Times New Roman" w:cs="Times New Roman"/>
          <w:color w:val="141314"/>
          <w:sz w:val="20"/>
          <w:szCs w:val="20"/>
        </w:rPr>
        <w:t xml:space="preserve"> least one</w:t>
      </w:r>
      <w:r w:rsidRPr="00531701">
        <w:rPr>
          <w:rFonts w:ascii="Times New Roman" w:hAnsi="Times New Roman" w:cs="Times New Roman"/>
          <w:color w:val="141314"/>
          <w:sz w:val="20"/>
          <w:szCs w:val="20"/>
        </w:rPr>
        <w:t xml:space="preserve"> intervention for osteoporosis prevention or treatment. Treatment included bisphosphonates, vitamin D, calcium, </w:t>
      </w:r>
      <w:proofErr w:type="gramStart"/>
      <w:r w:rsidRPr="00531701">
        <w:rPr>
          <w:rFonts w:ascii="Times New Roman" w:hAnsi="Times New Roman" w:cs="Times New Roman"/>
          <w:color w:val="141314"/>
          <w:sz w:val="20"/>
          <w:szCs w:val="20"/>
        </w:rPr>
        <w:t>calcit</w:t>
      </w:r>
      <w:r w:rsidR="00491D6B" w:rsidRPr="00531701">
        <w:rPr>
          <w:rFonts w:ascii="Times New Roman" w:hAnsi="Times New Roman" w:cs="Times New Roman"/>
          <w:color w:val="141314"/>
          <w:sz w:val="20"/>
          <w:szCs w:val="20"/>
        </w:rPr>
        <w:t>onin</w:t>
      </w:r>
      <w:proofErr w:type="gramEnd"/>
      <w:r w:rsidR="00491D6B" w:rsidRPr="00531701">
        <w:rPr>
          <w:rFonts w:ascii="Times New Roman" w:hAnsi="Times New Roman" w:cs="Times New Roman"/>
          <w:color w:val="141314"/>
          <w:sz w:val="20"/>
          <w:szCs w:val="20"/>
        </w:rPr>
        <w:t xml:space="preserve"> or estrogen administration</w:t>
      </w:r>
      <w:r w:rsidRPr="00531701">
        <w:rPr>
          <w:rFonts w:ascii="Times New Roman" w:hAnsi="Times New Roman" w:cs="Times New Roman"/>
          <w:color w:val="141314"/>
          <w:sz w:val="20"/>
          <w:szCs w:val="20"/>
        </w:rPr>
        <w:t xml:space="preserve">. The population was drawn from a large, suburban hospital and was mostly non-Hispanic White (64%) or African American (23%). The only predictor for receiving osteoporosis intervention was bone metastases. </w:t>
      </w:r>
      <w:r w:rsidRPr="00531701">
        <w:rPr>
          <w:rFonts w:ascii="Times New Roman" w:hAnsi="Times New Roman" w:cs="Times New Roman"/>
          <w:color w:val="141314"/>
          <w:sz w:val="20"/>
          <w:szCs w:val="20"/>
          <w:vertAlign w:val="superscript"/>
        </w:rPr>
        <w:t>[27]</w:t>
      </w:r>
      <w:r w:rsidR="00491D6B" w:rsidRPr="00531701">
        <w:rPr>
          <w:rFonts w:ascii="Times New Roman" w:hAnsi="Times New Roman" w:cs="Times New Roman"/>
          <w:color w:val="231F20"/>
          <w:sz w:val="20"/>
          <w:szCs w:val="20"/>
        </w:rPr>
        <w:t xml:space="preserve"> A</w:t>
      </w:r>
      <w:r w:rsidRPr="00531701">
        <w:rPr>
          <w:rFonts w:ascii="Times New Roman" w:hAnsi="Times New Roman" w:cs="Times New Roman"/>
          <w:color w:val="231F20"/>
          <w:sz w:val="20"/>
          <w:szCs w:val="20"/>
        </w:rPr>
        <w:t>t 3 monthly assessment of BMD measurement provided an opportunity of early recognition of osteoporosis or osteopenia and hence window for their timely management. This explains, to a large e</w:t>
      </w:r>
      <w:r w:rsidR="00491D6B" w:rsidRPr="00531701">
        <w:rPr>
          <w:rFonts w:ascii="Times New Roman" w:hAnsi="Times New Roman" w:cs="Times New Roman"/>
          <w:color w:val="231F20"/>
          <w:sz w:val="20"/>
          <w:szCs w:val="20"/>
        </w:rPr>
        <w:t>xtent, the fact that none of the</w:t>
      </w:r>
      <w:r w:rsidRPr="00531701">
        <w:rPr>
          <w:rFonts w:ascii="Times New Roman" w:hAnsi="Times New Roman" w:cs="Times New Roman"/>
          <w:color w:val="231F20"/>
          <w:sz w:val="20"/>
          <w:szCs w:val="20"/>
        </w:rPr>
        <w:t xml:space="preserve"> patient</w:t>
      </w:r>
      <w:r w:rsidR="00491D6B" w:rsidRPr="00531701">
        <w:rPr>
          <w:rFonts w:ascii="Times New Roman" w:hAnsi="Times New Roman" w:cs="Times New Roman"/>
          <w:color w:val="231F20"/>
          <w:sz w:val="20"/>
          <w:szCs w:val="20"/>
        </w:rPr>
        <w:t xml:space="preserve"> in this </w:t>
      </w:r>
      <w:proofErr w:type="gramStart"/>
      <w:r w:rsidR="00491D6B" w:rsidRPr="00531701">
        <w:rPr>
          <w:rFonts w:ascii="Times New Roman" w:hAnsi="Times New Roman" w:cs="Times New Roman"/>
          <w:color w:val="231F20"/>
          <w:sz w:val="20"/>
          <w:szCs w:val="20"/>
        </w:rPr>
        <w:t>study</w:t>
      </w:r>
      <w:r w:rsidR="00DC0376" w:rsidRPr="00531701">
        <w:rPr>
          <w:rFonts w:ascii="Times New Roman" w:hAnsi="Times New Roman" w:cs="Times New Roman"/>
          <w:color w:val="231F20"/>
          <w:sz w:val="20"/>
          <w:szCs w:val="20"/>
        </w:rPr>
        <w:t>,</w:t>
      </w:r>
      <w:proofErr w:type="gramEnd"/>
      <w:r w:rsidR="00DC0376" w:rsidRPr="00531701">
        <w:rPr>
          <w:rFonts w:ascii="Times New Roman" w:hAnsi="Times New Roman" w:cs="Times New Roman"/>
          <w:color w:val="231F20"/>
          <w:sz w:val="20"/>
          <w:szCs w:val="20"/>
        </w:rPr>
        <w:t xml:space="preserve"> </w:t>
      </w:r>
      <w:r w:rsidRPr="00531701">
        <w:rPr>
          <w:rFonts w:ascii="Times New Roman" w:hAnsi="Times New Roman" w:cs="Times New Roman"/>
          <w:color w:val="231F20"/>
          <w:sz w:val="20"/>
          <w:szCs w:val="20"/>
        </w:rPr>
        <w:t xml:space="preserve">had any pathologic fracture during the study period.  </w:t>
      </w:r>
    </w:p>
    <w:p w:rsidR="004E47B7" w:rsidRPr="00531701" w:rsidRDefault="004E47B7" w:rsidP="00531701">
      <w:pPr>
        <w:spacing w:after="0" w:line="360" w:lineRule="auto"/>
        <w:rPr>
          <w:rFonts w:ascii="Times New Roman" w:hAnsi="Times New Roman" w:cs="Times New Roman"/>
          <w:b/>
          <w:sz w:val="20"/>
          <w:szCs w:val="20"/>
        </w:rPr>
      </w:pPr>
      <w:r w:rsidRPr="00531701">
        <w:rPr>
          <w:rFonts w:ascii="Times New Roman" w:hAnsi="Times New Roman" w:cs="Times New Roman"/>
          <w:b/>
          <w:sz w:val="20"/>
          <w:szCs w:val="20"/>
        </w:rPr>
        <w:t>Conclusion:</w:t>
      </w:r>
    </w:p>
    <w:p w:rsidR="003870CF" w:rsidRPr="00531701" w:rsidRDefault="00BA542A" w:rsidP="00531701">
      <w:pPr>
        <w:spacing w:after="0" w:line="360" w:lineRule="auto"/>
        <w:rPr>
          <w:rFonts w:ascii="Times New Roman" w:hAnsi="Times New Roman" w:cs="Times New Roman"/>
          <w:b/>
          <w:sz w:val="20"/>
          <w:szCs w:val="20"/>
        </w:rPr>
      </w:pPr>
      <w:r w:rsidRPr="00531701">
        <w:rPr>
          <w:rFonts w:ascii="Times New Roman" w:hAnsi="Times New Roman" w:cs="Times New Roman"/>
          <w:sz w:val="20"/>
          <w:szCs w:val="20"/>
        </w:rPr>
        <w:t>There is need</w:t>
      </w:r>
      <w:r w:rsidR="004177A3" w:rsidRPr="00531701">
        <w:rPr>
          <w:rFonts w:ascii="Times New Roman" w:hAnsi="Times New Roman" w:cs="Times New Roman"/>
          <w:sz w:val="20"/>
          <w:szCs w:val="20"/>
        </w:rPr>
        <w:t xml:space="preserve"> </w:t>
      </w:r>
      <w:r w:rsidRPr="00531701">
        <w:rPr>
          <w:rFonts w:ascii="Times New Roman" w:hAnsi="Times New Roman" w:cs="Times New Roman"/>
          <w:sz w:val="20"/>
          <w:szCs w:val="20"/>
        </w:rPr>
        <w:t xml:space="preserve">to sensitize </w:t>
      </w:r>
      <w:r w:rsidR="004E47B7" w:rsidRPr="00531701">
        <w:rPr>
          <w:rFonts w:ascii="Times New Roman" w:hAnsi="Times New Roman" w:cs="Times New Roman"/>
          <w:sz w:val="20"/>
          <w:szCs w:val="20"/>
        </w:rPr>
        <w:t>urologists regarding bone health kinetics and early preventive or curative measures while managing patients of carcinoma prostate. This in turn is likely to prevent fractures and other skeletal related events in this sub-group of population.</w:t>
      </w:r>
    </w:p>
    <w:p w:rsidR="00531701" w:rsidRDefault="00531701" w:rsidP="00531701">
      <w:pPr>
        <w:spacing w:after="0" w:line="360" w:lineRule="auto"/>
        <w:rPr>
          <w:rFonts w:ascii="Times New Roman" w:hAnsi="Times New Roman" w:cs="Times New Roman"/>
          <w:b/>
          <w:sz w:val="20"/>
          <w:szCs w:val="20"/>
        </w:rPr>
      </w:pPr>
    </w:p>
    <w:p w:rsidR="003870CF" w:rsidRPr="00531701" w:rsidRDefault="003870CF" w:rsidP="00531701">
      <w:pPr>
        <w:spacing w:after="0" w:line="360" w:lineRule="auto"/>
        <w:rPr>
          <w:rFonts w:ascii="Times New Roman" w:hAnsi="Times New Roman" w:cs="Times New Roman"/>
          <w:b/>
          <w:sz w:val="20"/>
          <w:szCs w:val="20"/>
        </w:rPr>
      </w:pPr>
      <w:r w:rsidRPr="00531701">
        <w:rPr>
          <w:rFonts w:ascii="Times New Roman" w:hAnsi="Times New Roman" w:cs="Times New Roman"/>
          <w:b/>
          <w:sz w:val="20"/>
          <w:szCs w:val="20"/>
        </w:rPr>
        <w:t>References:</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Siegel R, Naishadham D, Jemal A. Cancer statistics, 2013. </w:t>
      </w:r>
      <w:r w:rsidRPr="00531701">
        <w:rPr>
          <w:rFonts w:ascii="Times New Roman" w:hAnsi="Times New Roman" w:cs="Times New Roman"/>
          <w:i/>
          <w:sz w:val="20"/>
          <w:szCs w:val="20"/>
        </w:rPr>
        <w:t>CA Cancer J Clin.</w:t>
      </w:r>
      <w:r w:rsidRPr="00531701">
        <w:rPr>
          <w:rFonts w:ascii="Times New Roman" w:hAnsi="Times New Roman" w:cs="Times New Roman"/>
          <w:sz w:val="20"/>
          <w:szCs w:val="20"/>
        </w:rPr>
        <w:t xml:space="preserve"> </w:t>
      </w:r>
      <w:proofErr w:type="gramStart"/>
      <w:r w:rsidRPr="00531701">
        <w:rPr>
          <w:rFonts w:ascii="Times New Roman" w:hAnsi="Times New Roman" w:cs="Times New Roman"/>
          <w:sz w:val="20"/>
          <w:szCs w:val="20"/>
        </w:rPr>
        <w:t>2013 ;63</w:t>
      </w:r>
      <w:proofErr w:type="gramEnd"/>
      <w:r w:rsidRPr="00531701">
        <w:rPr>
          <w:rFonts w:ascii="Times New Roman" w:hAnsi="Times New Roman" w:cs="Times New Roman"/>
          <w:sz w:val="20"/>
          <w:szCs w:val="20"/>
        </w:rPr>
        <w:t>(1):11-30.</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Gronberg H. Prostate cancer epidemiology. </w:t>
      </w:r>
      <w:r w:rsidRPr="00531701">
        <w:rPr>
          <w:rFonts w:ascii="Times New Roman" w:hAnsi="Times New Roman" w:cs="Times New Roman"/>
          <w:i/>
          <w:sz w:val="20"/>
          <w:szCs w:val="20"/>
        </w:rPr>
        <w:t>Lancet. 2003</w:t>
      </w:r>
      <w:proofErr w:type="gramStart"/>
      <w:r w:rsidRPr="00531701">
        <w:rPr>
          <w:rFonts w:ascii="Times New Roman" w:hAnsi="Times New Roman" w:cs="Times New Roman"/>
          <w:sz w:val="20"/>
          <w:szCs w:val="20"/>
        </w:rPr>
        <w:t>;361</w:t>
      </w:r>
      <w:proofErr w:type="gramEnd"/>
      <w:r w:rsidRPr="00531701">
        <w:rPr>
          <w:rFonts w:ascii="Times New Roman" w:hAnsi="Times New Roman" w:cs="Times New Roman"/>
          <w:sz w:val="20"/>
          <w:szCs w:val="20"/>
        </w:rPr>
        <w:t>(9360):859-864.</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Sim HG, Cheng CW. Changing demography of prostate cancer in </w:t>
      </w:r>
      <w:r w:rsidRPr="00531701">
        <w:rPr>
          <w:rFonts w:ascii="Times New Roman" w:hAnsi="Times New Roman" w:cs="Times New Roman"/>
          <w:i/>
          <w:sz w:val="20"/>
          <w:szCs w:val="20"/>
        </w:rPr>
        <w:t>Asia. Eur J Cancer. 2005</w:t>
      </w:r>
      <w:proofErr w:type="gramStart"/>
      <w:r w:rsidRPr="00531701">
        <w:rPr>
          <w:rFonts w:ascii="Times New Roman" w:hAnsi="Times New Roman" w:cs="Times New Roman"/>
          <w:sz w:val="20"/>
          <w:szCs w:val="20"/>
        </w:rPr>
        <w:t>;41</w:t>
      </w:r>
      <w:proofErr w:type="gramEnd"/>
      <w:r w:rsidRPr="00531701">
        <w:rPr>
          <w:rFonts w:ascii="Times New Roman" w:hAnsi="Times New Roman" w:cs="Times New Roman"/>
          <w:sz w:val="20"/>
          <w:szCs w:val="20"/>
        </w:rPr>
        <w:t>(6):834-845.</w:t>
      </w:r>
    </w:p>
    <w:p w:rsidR="003870CF" w:rsidRPr="00531701" w:rsidRDefault="005304D6" w:rsidP="00531701">
      <w:pPr>
        <w:pStyle w:val="ListParagraph"/>
        <w:numPr>
          <w:ilvl w:val="0"/>
          <w:numId w:val="1"/>
        </w:numPr>
        <w:spacing w:after="0" w:line="360" w:lineRule="auto"/>
        <w:ind w:left="450"/>
        <w:jc w:val="both"/>
        <w:rPr>
          <w:rFonts w:ascii="Times New Roman" w:hAnsi="Times New Roman" w:cs="Times New Roman"/>
          <w:sz w:val="20"/>
          <w:szCs w:val="20"/>
        </w:rPr>
      </w:pPr>
      <w:proofErr w:type="spellStart"/>
      <w:r w:rsidRPr="00531701">
        <w:rPr>
          <w:rFonts w:ascii="Times New Roman" w:hAnsi="Times New Roman" w:cs="Times New Roman"/>
          <w:sz w:val="20"/>
          <w:szCs w:val="20"/>
        </w:rPr>
        <w:t>Julka</w:t>
      </w:r>
      <w:proofErr w:type="spellEnd"/>
      <w:r w:rsidRPr="00531701">
        <w:rPr>
          <w:rFonts w:ascii="Times New Roman" w:hAnsi="Times New Roman" w:cs="Times New Roman"/>
          <w:sz w:val="20"/>
          <w:szCs w:val="20"/>
        </w:rPr>
        <w:t xml:space="preserve"> P.K., </w:t>
      </w:r>
      <w:proofErr w:type="spellStart"/>
      <w:r w:rsidRPr="00531701">
        <w:rPr>
          <w:rFonts w:ascii="Times New Roman" w:hAnsi="Times New Roman" w:cs="Times New Roman"/>
          <w:sz w:val="20"/>
          <w:szCs w:val="20"/>
        </w:rPr>
        <w:t>Manoharan</w:t>
      </w:r>
      <w:proofErr w:type="spellEnd"/>
      <w:r w:rsidRPr="00531701">
        <w:rPr>
          <w:rFonts w:ascii="Times New Roman" w:hAnsi="Times New Roman" w:cs="Times New Roman"/>
          <w:sz w:val="20"/>
          <w:szCs w:val="20"/>
        </w:rPr>
        <w:t xml:space="preserve"> N., </w:t>
      </w:r>
      <w:proofErr w:type="spellStart"/>
      <w:r w:rsidRPr="00531701">
        <w:rPr>
          <w:rFonts w:ascii="Times New Roman" w:hAnsi="Times New Roman" w:cs="Times New Roman"/>
          <w:sz w:val="20"/>
          <w:szCs w:val="20"/>
        </w:rPr>
        <w:t>Rath</w:t>
      </w:r>
      <w:proofErr w:type="spellEnd"/>
      <w:r w:rsidRPr="00531701">
        <w:rPr>
          <w:rFonts w:ascii="Times New Roman" w:hAnsi="Times New Roman" w:cs="Times New Roman"/>
          <w:sz w:val="20"/>
          <w:szCs w:val="20"/>
        </w:rPr>
        <w:t xml:space="preserve"> G.K. Dr. B.R.A. Institute Rotary Cancer Hospital; AIIMS, New Delhi: 2008–2009. Population Based Cancer Registry.</w:t>
      </w:r>
      <w:r w:rsidR="003870CF" w:rsidRPr="00531701">
        <w:rPr>
          <w:rFonts w:ascii="Times New Roman" w:hAnsi="Times New Roman" w:cs="Times New Roman"/>
          <w:sz w:val="20"/>
          <w:szCs w:val="20"/>
        </w:rPr>
        <w:t xml:space="preserve"> </w:t>
      </w:r>
    </w:p>
    <w:p w:rsidR="003870CF" w:rsidRPr="00531701" w:rsidRDefault="00D338EA" w:rsidP="00531701">
      <w:pPr>
        <w:pStyle w:val="ListParagraph"/>
        <w:numPr>
          <w:ilvl w:val="0"/>
          <w:numId w:val="1"/>
        </w:numPr>
        <w:spacing w:after="0" w:line="360" w:lineRule="auto"/>
        <w:ind w:left="450"/>
        <w:jc w:val="both"/>
        <w:rPr>
          <w:rFonts w:ascii="Times New Roman" w:hAnsi="Times New Roman" w:cs="Times New Roman"/>
          <w:sz w:val="20"/>
          <w:szCs w:val="20"/>
        </w:rPr>
      </w:pPr>
      <w:hyperlink r:id="rId11" w:history="1">
        <w:r w:rsidR="003870CF" w:rsidRPr="00531701">
          <w:rPr>
            <w:rStyle w:val="Hyperlink"/>
            <w:rFonts w:ascii="Times New Roman" w:hAnsi="Times New Roman" w:cs="Times New Roman"/>
            <w:color w:val="000000" w:themeColor="text1"/>
            <w:sz w:val="20"/>
            <w:szCs w:val="20"/>
          </w:rPr>
          <w:t>C.E. Lee</w:t>
        </w:r>
      </w:hyperlink>
      <w:proofErr w:type="gramStart"/>
      <w:r w:rsidR="003870CF" w:rsidRPr="00531701">
        <w:rPr>
          <w:rFonts w:ascii="Times New Roman" w:hAnsi="Times New Roman" w:cs="Times New Roman"/>
          <w:color w:val="000000" w:themeColor="text1"/>
          <w:sz w:val="20"/>
          <w:szCs w:val="20"/>
        </w:rPr>
        <w:t>,W.D</w:t>
      </w:r>
      <w:proofErr w:type="gramEnd"/>
      <w:r w:rsidR="003870CF" w:rsidRPr="00531701">
        <w:rPr>
          <w:rFonts w:ascii="Times New Roman" w:hAnsi="Times New Roman" w:cs="Times New Roman"/>
          <w:color w:val="000000" w:themeColor="text1"/>
          <w:sz w:val="20"/>
          <w:szCs w:val="20"/>
        </w:rPr>
        <w:t xml:space="preserve">,  Leslie P, Czaykowski J, GingerichM. </w:t>
      </w:r>
      <w:r w:rsidR="003870CF" w:rsidRPr="00531701">
        <w:rPr>
          <w:rFonts w:ascii="Times New Roman" w:hAnsi="Times New Roman" w:cs="Times New Roman"/>
          <w:color w:val="000000" w:themeColor="text1"/>
          <w:sz w:val="20"/>
          <w:szCs w:val="20"/>
          <w:vertAlign w:val="superscript"/>
        </w:rPr>
        <w:t>.</w:t>
      </w:r>
      <w:r w:rsidR="003870CF" w:rsidRPr="00531701">
        <w:rPr>
          <w:rFonts w:ascii="Times New Roman" w:hAnsi="Times New Roman" w:cs="Times New Roman"/>
          <w:bCs/>
          <w:color w:val="000000" w:themeColor="text1"/>
          <w:sz w:val="20"/>
          <w:szCs w:val="20"/>
        </w:rPr>
        <w:t>A comprehensive bone-health management approach for men with prostate cancer receiving androgen deprivation therapy</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color w:val="000000" w:themeColor="text1"/>
          <w:sz w:val="20"/>
          <w:szCs w:val="20"/>
        </w:rPr>
        <w:t>Smith MR, Brown GA, Saad F. New opportunities in the management of prostate cancer-related bone complications. Urologic Oncology: Seminars and Original Investigations. 2009;27:S1-20</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bCs/>
          <w:color w:val="000000" w:themeColor="text1"/>
          <w:sz w:val="20"/>
          <w:szCs w:val="20"/>
        </w:rPr>
        <w:t>Malhotra N</w:t>
      </w:r>
      <w:proofErr w:type="gramStart"/>
      <w:r w:rsidRPr="00531701">
        <w:rPr>
          <w:rFonts w:ascii="Times New Roman" w:hAnsi="Times New Roman" w:cs="Times New Roman"/>
          <w:bCs/>
          <w:color w:val="000000" w:themeColor="text1"/>
          <w:sz w:val="20"/>
          <w:szCs w:val="20"/>
        </w:rPr>
        <w:t>,Mithal</w:t>
      </w:r>
      <w:proofErr w:type="gramEnd"/>
      <w:r w:rsidRPr="00531701">
        <w:rPr>
          <w:rFonts w:ascii="Times New Roman" w:hAnsi="Times New Roman" w:cs="Times New Roman"/>
          <w:bCs/>
          <w:color w:val="000000" w:themeColor="text1"/>
          <w:sz w:val="20"/>
          <w:szCs w:val="20"/>
        </w:rPr>
        <w:t xml:space="preserve"> A, Osteoporosis in Indians. Indian J. Med.Res127, March 2008</w:t>
      </w:r>
      <w:proofErr w:type="gramStart"/>
      <w:r w:rsidRPr="00531701">
        <w:rPr>
          <w:rFonts w:ascii="Times New Roman" w:hAnsi="Times New Roman" w:cs="Times New Roman"/>
          <w:bCs/>
          <w:color w:val="000000" w:themeColor="text1"/>
          <w:sz w:val="20"/>
          <w:szCs w:val="20"/>
        </w:rPr>
        <w:t>,pp</w:t>
      </w:r>
      <w:proofErr w:type="gramEnd"/>
      <w:r w:rsidRPr="00531701">
        <w:rPr>
          <w:rFonts w:ascii="Times New Roman" w:hAnsi="Times New Roman" w:cs="Times New Roman"/>
          <w:bCs/>
          <w:color w:val="000000" w:themeColor="text1"/>
          <w:sz w:val="20"/>
          <w:szCs w:val="20"/>
        </w:rPr>
        <w:t xml:space="preserve"> 263-268.  </w:t>
      </w:r>
    </w:p>
    <w:p w:rsidR="003870CF" w:rsidRPr="00531701" w:rsidRDefault="00D338EA" w:rsidP="00531701">
      <w:pPr>
        <w:pStyle w:val="ListParagraph"/>
        <w:numPr>
          <w:ilvl w:val="0"/>
          <w:numId w:val="1"/>
        </w:numPr>
        <w:spacing w:after="0" w:line="360" w:lineRule="auto"/>
        <w:ind w:left="450"/>
        <w:jc w:val="both"/>
        <w:rPr>
          <w:rFonts w:ascii="Times New Roman" w:hAnsi="Times New Roman" w:cs="Times New Roman"/>
          <w:sz w:val="20"/>
          <w:szCs w:val="20"/>
        </w:rPr>
      </w:pPr>
      <w:hyperlink r:id="rId12" w:history="1">
        <w:r w:rsidR="003870CF" w:rsidRPr="00531701">
          <w:rPr>
            <w:rStyle w:val="Hyperlink"/>
            <w:rFonts w:ascii="Times New Roman" w:hAnsi="Times New Roman" w:cs="Times New Roman"/>
            <w:color w:val="000000" w:themeColor="text1"/>
            <w:sz w:val="20"/>
            <w:szCs w:val="20"/>
          </w:rPr>
          <w:t xml:space="preserve">Blair </w:t>
        </w:r>
        <w:proofErr w:type="gramStart"/>
        <w:r w:rsidR="003870CF" w:rsidRPr="00531701">
          <w:rPr>
            <w:rStyle w:val="Hyperlink"/>
            <w:rFonts w:ascii="Times New Roman" w:hAnsi="Times New Roman" w:cs="Times New Roman"/>
            <w:color w:val="000000" w:themeColor="text1"/>
            <w:sz w:val="20"/>
            <w:szCs w:val="20"/>
          </w:rPr>
          <w:t>Egerdie</w:t>
        </w:r>
      </w:hyperlink>
      <w:r w:rsidR="003870CF" w:rsidRPr="00531701">
        <w:rPr>
          <w:rFonts w:ascii="Times New Roman" w:hAnsi="Times New Roman" w:cs="Times New Roman"/>
          <w:color w:val="000000" w:themeColor="text1"/>
          <w:sz w:val="20"/>
          <w:szCs w:val="20"/>
        </w:rPr>
        <w:t>, and </w:t>
      </w:r>
      <w:hyperlink r:id="rId13" w:history="1">
        <w:r w:rsidR="003870CF" w:rsidRPr="00531701">
          <w:rPr>
            <w:rStyle w:val="Hyperlink"/>
            <w:rFonts w:ascii="Times New Roman" w:hAnsi="Times New Roman" w:cs="Times New Roman"/>
            <w:color w:val="000000" w:themeColor="text1"/>
            <w:sz w:val="20"/>
            <w:szCs w:val="20"/>
          </w:rPr>
          <w:t>Fred Saad</w:t>
        </w:r>
      </w:hyperlink>
      <w:proofErr w:type="gramEnd"/>
      <w:r w:rsidR="003870CF" w:rsidRPr="00531701">
        <w:rPr>
          <w:rFonts w:ascii="Times New Roman" w:hAnsi="Times New Roman" w:cs="Times New Roman"/>
          <w:color w:val="000000" w:themeColor="text1"/>
          <w:sz w:val="20"/>
          <w:szCs w:val="20"/>
        </w:rPr>
        <w:t xml:space="preserve">. </w:t>
      </w:r>
      <w:r w:rsidR="003870CF" w:rsidRPr="00531701">
        <w:rPr>
          <w:rFonts w:ascii="Times New Roman" w:hAnsi="Times New Roman" w:cs="Times New Roman"/>
          <w:bCs/>
          <w:color w:val="000000" w:themeColor="text1"/>
          <w:sz w:val="20"/>
          <w:szCs w:val="20"/>
        </w:rPr>
        <w:t>Bone health in the prostate cancer patient receiving androgen deprivation therapy: a review of present and future management options.</w:t>
      </w:r>
      <w:r w:rsidR="003870CF" w:rsidRPr="00531701">
        <w:rPr>
          <w:rFonts w:ascii="Times New Roman" w:hAnsi="Times New Roman" w:cs="Times New Roman"/>
          <w:sz w:val="20"/>
          <w:szCs w:val="20"/>
        </w:rPr>
        <w:t xml:space="preserve"> Can Urol Assoc J 2010;4(2):129-35</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Gralow JR, Biermann JS, Farooki A, Fornier MN, Gagel RF, Kumar RN, Shapiro CL, Shields A, Smith MR, Srinivas S, Van Poznak CH. NCCN Task Force Report: Bone Health in Cancer Care. J Natl Compr Canc Netw. 2009 Jun;7 Suppl 3:S1-32; quiz S33-5</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bCs/>
          <w:color w:val="000000" w:themeColor="text1"/>
          <w:sz w:val="20"/>
          <w:szCs w:val="20"/>
        </w:rPr>
        <w:lastRenderedPageBreak/>
        <w:t>Saad F, Clarke N, colombel M. Natural history and treatment of bone complications in prostate cancer. Eur Urol.2006; 49: 429-440</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Smith MR, Eastham J, Gleason DM, Shasha D, TchekmedyianS, Zinner N. Randomized controlled trial of </w:t>
      </w:r>
      <w:r w:rsidR="00DC0376" w:rsidRPr="00531701">
        <w:rPr>
          <w:rFonts w:ascii="Times New Roman" w:hAnsi="Times New Roman" w:cs="Times New Roman"/>
          <w:sz w:val="20"/>
          <w:szCs w:val="20"/>
        </w:rPr>
        <w:t>zoledronic</w:t>
      </w:r>
      <w:r w:rsidRPr="00531701">
        <w:rPr>
          <w:rFonts w:ascii="Times New Roman" w:hAnsi="Times New Roman" w:cs="Times New Roman"/>
          <w:sz w:val="20"/>
          <w:szCs w:val="20"/>
        </w:rPr>
        <w:t xml:space="preserve"> Acid to prevent bone loss in men receiving androgen deprivation therapy for nonmetastatic prostate cancer. </w:t>
      </w:r>
      <w:r w:rsidRPr="00531701">
        <w:rPr>
          <w:rFonts w:ascii="Times New Roman" w:hAnsi="Times New Roman" w:cs="Times New Roman"/>
          <w:i/>
          <w:iCs/>
          <w:sz w:val="20"/>
          <w:szCs w:val="20"/>
        </w:rPr>
        <w:t xml:space="preserve">J Urol </w:t>
      </w:r>
      <w:r w:rsidRPr="00531701">
        <w:rPr>
          <w:rFonts w:ascii="Times New Roman" w:hAnsi="Times New Roman" w:cs="Times New Roman"/>
          <w:sz w:val="20"/>
          <w:szCs w:val="20"/>
        </w:rPr>
        <w:t>2003</w:t>
      </w:r>
      <w:proofErr w:type="gramStart"/>
      <w:r w:rsidRPr="00531701">
        <w:rPr>
          <w:rFonts w:ascii="Times New Roman" w:hAnsi="Times New Roman" w:cs="Times New Roman"/>
          <w:sz w:val="20"/>
          <w:szCs w:val="20"/>
        </w:rPr>
        <w:t>;169:2008</w:t>
      </w:r>
      <w:proofErr w:type="gramEnd"/>
      <w:r w:rsidRPr="00531701">
        <w:rPr>
          <w:rFonts w:ascii="Times New Roman" w:hAnsi="Times New Roman" w:cs="Times New Roman"/>
          <w:sz w:val="20"/>
          <w:szCs w:val="20"/>
        </w:rPr>
        <w:t>–12.</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Smith MR, McGovern FJ, Zietman AL, </w:t>
      </w:r>
      <w:r w:rsidRPr="00531701">
        <w:rPr>
          <w:rFonts w:ascii="Times New Roman" w:hAnsi="Times New Roman" w:cs="Times New Roman"/>
          <w:i/>
          <w:iCs/>
          <w:sz w:val="20"/>
          <w:szCs w:val="20"/>
        </w:rPr>
        <w:t xml:space="preserve">et al. </w:t>
      </w:r>
      <w:r w:rsidRPr="00531701">
        <w:rPr>
          <w:rFonts w:ascii="Times New Roman" w:hAnsi="Times New Roman" w:cs="Times New Roman"/>
          <w:sz w:val="20"/>
          <w:szCs w:val="20"/>
        </w:rPr>
        <w:t xml:space="preserve">Pamidronate to prevent bone loss during androgen-deprivation therapy for prostate cancer. </w:t>
      </w:r>
      <w:r w:rsidRPr="00531701">
        <w:rPr>
          <w:rFonts w:ascii="Times New Roman" w:hAnsi="Times New Roman" w:cs="Times New Roman"/>
          <w:i/>
          <w:iCs/>
          <w:sz w:val="20"/>
          <w:szCs w:val="20"/>
        </w:rPr>
        <w:t xml:space="preserve">N Engl J Med </w:t>
      </w:r>
      <w:r w:rsidRPr="00531701">
        <w:rPr>
          <w:rFonts w:ascii="Times New Roman" w:hAnsi="Times New Roman" w:cs="Times New Roman"/>
          <w:sz w:val="20"/>
          <w:szCs w:val="20"/>
        </w:rPr>
        <w:t>2001</w:t>
      </w:r>
      <w:proofErr w:type="gramStart"/>
      <w:r w:rsidRPr="00531701">
        <w:rPr>
          <w:rFonts w:ascii="Times New Roman" w:hAnsi="Times New Roman" w:cs="Times New Roman"/>
          <w:sz w:val="20"/>
          <w:szCs w:val="20"/>
        </w:rPr>
        <w:t>;345:948</w:t>
      </w:r>
      <w:proofErr w:type="gramEnd"/>
      <w:r w:rsidRPr="00531701">
        <w:rPr>
          <w:rFonts w:ascii="Times New Roman" w:hAnsi="Times New Roman" w:cs="Times New Roman"/>
          <w:sz w:val="20"/>
          <w:szCs w:val="20"/>
        </w:rPr>
        <w:t>–55.</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Ryan CW, Huo D, Demers LM, Beer TM, Lacerna LV. </w:t>
      </w:r>
      <w:r w:rsidR="00DC0376" w:rsidRPr="00531701">
        <w:rPr>
          <w:rFonts w:ascii="Times New Roman" w:hAnsi="Times New Roman" w:cs="Times New Roman"/>
          <w:sz w:val="20"/>
          <w:szCs w:val="20"/>
        </w:rPr>
        <w:t>Zoledronic</w:t>
      </w:r>
      <w:r w:rsidRPr="00531701">
        <w:rPr>
          <w:rFonts w:ascii="Times New Roman" w:hAnsi="Times New Roman" w:cs="Times New Roman"/>
          <w:sz w:val="20"/>
          <w:szCs w:val="20"/>
        </w:rPr>
        <w:t xml:space="preserve"> Acid initiated during the first year of androgen deprivation therapy increases bone mineral density in patients with prostate cancer. </w:t>
      </w:r>
      <w:r w:rsidRPr="00531701">
        <w:rPr>
          <w:rFonts w:ascii="Times New Roman" w:hAnsi="Times New Roman" w:cs="Times New Roman"/>
          <w:i/>
          <w:iCs/>
          <w:sz w:val="20"/>
          <w:szCs w:val="20"/>
        </w:rPr>
        <w:t xml:space="preserve">J Urol </w:t>
      </w:r>
      <w:r w:rsidRPr="00531701">
        <w:rPr>
          <w:rFonts w:ascii="Times New Roman" w:hAnsi="Times New Roman" w:cs="Times New Roman"/>
          <w:sz w:val="20"/>
          <w:szCs w:val="20"/>
        </w:rPr>
        <w:t>2006</w:t>
      </w:r>
      <w:proofErr w:type="gramStart"/>
      <w:r w:rsidRPr="00531701">
        <w:rPr>
          <w:rFonts w:ascii="Times New Roman" w:hAnsi="Times New Roman" w:cs="Times New Roman"/>
          <w:sz w:val="20"/>
          <w:szCs w:val="20"/>
        </w:rPr>
        <w:t>;176:972</w:t>
      </w:r>
      <w:proofErr w:type="gramEnd"/>
      <w:r w:rsidRPr="00531701">
        <w:rPr>
          <w:rFonts w:ascii="Times New Roman" w:hAnsi="Times New Roman" w:cs="Times New Roman"/>
          <w:sz w:val="20"/>
          <w:szCs w:val="20"/>
        </w:rPr>
        <w:t>–8.</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Israeli RS, Rosenberg SJ, Saltzstein DR, </w:t>
      </w:r>
      <w:r w:rsidRPr="00531701">
        <w:rPr>
          <w:rFonts w:ascii="Times New Roman" w:hAnsi="Times New Roman" w:cs="Times New Roman"/>
          <w:i/>
          <w:iCs/>
          <w:sz w:val="20"/>
          <w:szCs w:val="20"/>
        </w:rPr>
        <w:t xml:space="preserve">et al. </w:t>
      </w:r>
      <w:r w:rsidRPr="00531701">
        <w:rPr>
          <w:rFonts w:ascii="Times New Roman" w:hAnsi="Times New Roman" w:cs="Times New Roman"/>
          <w:sz w:val="20"/>
          <w:szCs w:val="20"/>
        </w:rPr>
        <w:t xml:space="preserve">The effect of </w:t>
      </w:r>
      <w:r w:rsidR="00DC0376" w:rsidRPr="00531701">
        <w:rPr>
          <w:rFonts w:ascii="Times New Roman" w:hAnsi="Times New Roman" w:cs="Times New Roman"/>
          <w:sz w:val="20"/>
          <w:szCs w:val="20"/>
        </w:rPr>
        <w:t>zoledronic</w:t>
      </w:r>
      <w:r w:rsidRPr="00531701">
        <w:rPr>
          <w:rFonts w:ascii="Times New Roman" w:hAnsi="Times New Roman" w:cs="Times New Roman"/>
          <w:sz w:val="20"/>
          <w:szCs w:val="20"/>
        </w:rPr>
        <w:t xml:space="preserve"> Acid on bone mineral density in patients undergoing androgen deprivation therapy. </w:t>
      </w:r>
      <w:r w:rsidRPr="00531701">
        <w:rPr>
          <w:rFonts w:ascii="Times New Roman" w:hAnsi="Times New Roman" w:cs="Times New Roman"/>
          <w:i/>
          <w:iCs/>
          <w:sz w:val="20"/>
          <w:szCs w:val="20"/>
        </w:rPr>
        <w:t xml:space="preserve">Clin Genitourin Cancer </w:t>
      </w:r>
      <w:r w:rsidRPr="00531701">
        <w:rPr>
          <w:rFonts w:ascii="Times New Roman" w:hAnsi="Times New Roman" w:cs="Times New Roman"/>
          <w:sz w:val="20"/>
          <w:szCs w:val="20"/>
        </w:rPr>
        <w:t>2007</w:t>
      </w:r>
      <w:proofErr w:type="gramStart"/>
      <w:r w:rsidRPr="00531701">
        <w:rPr>
          <w:rFonts w:ascii="Times New Roman" w:hAnsi="Times New Roman" w:cs="Times New Roman"/>
          <w:sz w:val="20"/>
          <w:szCs w:val="20"/>
        </w:rPr>
        <w:t>;5:271</w:t>
      </w:r>
      <w:proofErr w:type="gramEnd"/>
      <w:r w:rsidRPr="00531701">
        <w:rPr>
          <w:rFonts w:ascii="Times New Roman" w:hAnsi="Times New Roman" w:cs="Times New Roman"/>
          <w:sz w:val="20"/>
          <w:szCs w:val="20"/>
        </w:rPr>
        <w:t xml:space="preserve">–7. </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color w:val="231F20"/>
          <w:sz w:val="20"/>
          <w:szCs w:val="20"/>
        </w:rPr>
        <w:t xml:space="preserve">World Health Organization. Assessment of fracture risk and its application to screening for postmenopausal osteoporosis. Report of a World Health Organization study group. </w:t>
      </w:r>
      <w:r w:rsidRPr="00531701">
        <w:rPr>
          <w:rFonts w:ascii="Times New Roman" w:hAnsi="Times New Roman" w:cs="Times New Roman"/>
          <w:i/>
          <w:iCs/>
          <w:color w:val="231F20"/>
          <w:sz w:val="20"/>
          <w:szCs w:val="20"/>
        </w:rPr>
        <w:t>WHO Tech Rep Ser</w:t>
      </w:r>
      <w:r w:rsidRPr="00531701">
        <w:rPr>
          <w:rFonts w:ascii="Times New Roman" w:hAnsi="Times New Roman" w:cs="Times New Roman"/>
          <w:color w:val="231F20"/>
          <w:sz w:val="20"/>
          <w:szCs w:val="20"/>
        </w:rPr>
        <w:t xml:space="preserve">. 1994;843:1–129 </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color w:val="231F20"/>
          <w:sz w:val="20"/>
          <w:szCs w:val="20"/>
        </w:rPr>
        <w:t xml:space="preserve">Townsend MF, Sanders WH, Northway RO, Graham SD Jr. Bone fractures associated with luteinizing hormone-releasing hormone agonists used in the treatment of prostate carcinoma. </w:t>
      </w:r>
      <w:r w:rsidRPr="00531701">
        <w:rPr>
          <w:rFonts w:ascii="Times New Roman" w:hAnsi="Times New Roman" w:cs="Times New Roman"/>
          <w:i/>
          <w:iCs/>
          <w:color w:val="231F20"/>
          <w:sz w:val="20"/>
          <w:szCs w:val="20"/>
        </w:rPr>
        <w:t>Cancer</w:t>
      </w:r>
      <w:r w:rsidRPr="00531701">
        <w:rPr>
          <w:rFonts w:ascii="Times New Roman" w:hAnsi="Times New Roman" w:cs="Times New Roman"/>
          <w:color w:val="231F20"/>
          <w:sz w:val="20"/>
          <w:szCs w:val="20"/>
        </w:rPr>
        <w:t>. 1997</w:t>
      </w:r>
      <w:proofErr w:type="gramStart"/>
      <w:r w:rsidRPr="00531701">
        <w:rPr>
          <w:rFonts w:ascii="Times New Roman" w:hAnsi="Times New Roman" w:cs="Times New Roman"/>
          <w:color w:val="231F20"/>
          <w:sz w:val="20"/>
          <w:szCs w:val="20"/>
        </w:rPr>
        <w:t>;79:545</w:t>
      </w:r>
      <w:proofErr w:type="gramEnd"/>
      <w:r w:rsidRPr="00531701">
        <w:rPr>
          <w:rFonts w:ascii="Times New Roman" w:hAnsi="Times New Roman" w:cs="Times New Roman"/>
          <w:color w:val="231F20"/>
          <w:sz w:val="20"/>
          <w:szCs w:val="20"/>
        </w:rPr>
        <w:t>–550.</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color w:val="231F20"/>
          <w:sz w:val="20"/>
          <w:szCs w:val="20"/>
        </w:rPr>
        <w:t xml:space="preserve">Melton LJ III, Alothman KI, Khosla S, Achenbach SJ, Oberg AL, Zincke H. Fracture risk following bilateral orchiectomy. </w:t>
      </w:r>
      <w:r w:rsidRPr="00531701">
        <w:rPr>
          <w:rFonts w:ascii="Times New Roman" w:hAnsi="Times New Roman" w:cs="Times New Roman"/>
          <w:i/>
          <w:iCs/>
          <w:color w:val="231F20"/>
          <w:sz w:val="20"/>
          <w:szCs w:val="20"/>
        </w:rPr>
        <w:t>J Urol</w:t>
      </w:r>
      <w:r w:rsidRPr="00531701">
        <w:rPr>
          <w:rFonts w:ascii="Times New Roman" w:hAnsi="Times New Roman" w:cs="Times New Roman"/>
          <w:color w:val="231F20"/>
          <w:sz w:val="20"/>
          <w:szCs w:val="20"/>
        </w:rPr>
        <w:t>. 2003;169:1747–1750</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color w:val="231F20"/>
          <w:sz w:val="20"/>
          <w:szCs w:val="20"/>
        </w:rPr>
        <w:t xml:space="preserve">Cummings SR, Black DM, Nevitt MC, et al. Bone density at various sites for prediction of hip fractures. The Study of Osteoporotic Fractures Research Group. </w:t>
      </w:r>
      <w:r w:rsidRPr="00531701">
        <w:rPr>
          <w:rFonts w:ascii="Times New Roman" w:hAnsi="Times New Roman" w:cs="Times New Roman"/>
          <w:i/>
          <w:iCs/>
          <w:color w:val="231F20"/>
          <w:sz w:val="20"/>
          <w:szCs w:val="20"/>
        </w:rPr>
        <w:t>Lancet</w:t>
      </w:r>
      <w:r w:rsidRPr="00531701">
        <w:rPr>
          <w:rFonts w:ascii="Times New Roman" w:hAnsi="Times New Roman" w:cs="Times New Roman"/>
          <w:color w:val="231F20"/>
          <w:sz w:val="20"/>
          <w:szCs w:val="20"/>
        </w:rPr>
        <w:t>. 1993;341: 72–75</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Lang JM, Wallace M, Becker JT, </w:t>
      </w:r>
      <w:r w:rsidRPr="00531701">
        <w:rPr>
          <w:rFonts w:ascii="Times New Roman" w:hAnsi="Times New Roman" w:cs="Times New Roman"/>
          <w:i/>
          <w:sz w:val="20"/>
          <w:szCs w:val="20"/>
        </w:rPr>
        <w:t>et al</w:t>
      </w:r>
      <w:r w:rsidRPr="00531701">
        <w:rPr>
          <w:rFonts w:ascii="Times New Roman" w:hAnsi="Times New Roman" w:cs="Times New Roman"/>
          <w:sz w:val="20"/>
          <w:szCs w:val="20"/>
        </w:rPr>
        <w:t xml:space="preserve">.A randomized phase II trial evaluating different schedules of </w:t>
      </w:r>
      <w:r w:rsidR="00DC0376" w:rsidRPr="00531701">
        <w:rPr>
          <w:rFonts w:ascii="Times New Roman" w:hAnsi="Times New Roman" w:cs="Times New Roman"/>
          <w:sz w:val="20"/>
          <w:szCs w:val="20"/>
        </w:rPr>
        <w:t>Zoledronic</w:t>
      </w:r>
      <w:r w:rsidRPr="00531701">
        <w:rPr>
          <w:rFonts w:ascii="Times New Roman" w:hAnsi="Times New Roman" w:cs="Times New Roman"/>
          <w:sz w:val="20"/>
          <w:szCs w:val="20"/>
        </w:rPr>
        <w:t xml:space="preserve"> Acid on bone mineral density I patients with prostate cancer beginning androgen deprivation therapy. Clin Genitourin Cancer 2013; 11: 407- 415. </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Tang BM, Eslick GD, Nowson C, Smith C, Bensoussan A. Use of calcium or calcium in combination with vitamin D supplementation to prevent fractures and bone loss in people aged 50 years and older: a meta-analysis. </w:t>
      </w:r>
      <w:r w:rsidRPr="00531701">
        <w:rPr>
          <w:rFonts w:ascii="Times New Roman" w:hAnsi="Times New Roman" w:cs="Times New Roman"/>
          <w:i/>
          <w:iCs/>
          <w:sz w:val="20"/>
          <w:szCs w:val="20"/>
        </w:rPr>
        <w:t xml:space="preserve">Lancet </w:t>
      </w:r>
      <w:r w:rsidRPr="00531701">
        <w:rPr>
          <w:rFonts w:ascii="Times New Roman" w:hAnsi="Times New Roman" w:cs="Times New Roman"/>
          <w:sz w:val="20"/>
          <w:szCs w:val="20"/>
        </w:rPr>
        <w:t>2007</w:t>
      </w:r>
      <w:proofErr w:type="gramStart"/>
      <w:r w:rsidRPr="00531701">
        <w:rPr>
          <w:rFonts w:ascii="Times New Roman" w:hAnsi="Times New Roman" w:cs="Times New Roman"/>
          <w:sz w:val="20"/>
          <w:szCs w:val="20"/>
        </w:rPr>
        <w:t>;370:657</w:t>
      </w:r>
      <w:proofErr w:type="gramEnd"/>
      <w:r w:rsidRPr="00531701">
        <w:rPr>
          <w:rFonts w:ascii="Times New Roman" w:hAnsi="Times New Roman" w:cs="Times New Roman"/>
          <w:sz w:val="20"/>
          <w:szCs w:val="20"/>
        </w:rPr>
        <w:t xml:space="preserve">–66. </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 xml:space="preserve">Smith MR, Boyce SP, Moyneur E, </w:t>
      </w:r>
      <w:r w:rsidRPr="00531701">
        <w:rPr>
          <w:rFonts w:ascii="Times New Roman" w:hAnsi="Times New Roman" w:cs="Times New Roman"/>
          <w:i/>
          <w:sz w:val="20"/>
          <w:szCs w:val="20"/>
        </w:rPr>
        <w:t>et al.</w:t>
      </w:r>
      <w:r w:rsidRPr="00531701">
        <w:rPr>
          <w:rFonts w:ascii="Times New Roman" w:hAnsi="Times New Roman" w:cs="Times New Roman"/>
          <w:sz w:val="20"/>
          <w:szCs w:val="20"/>
        </w:rPr>
        <w:t>Risk of clinical fractures after gonadotrophin–releasing hormone agonist therapy for prostate cancer. J Urol 2006; 175:136-139; discussion 139.</w:t>
      </w:r>
    </w:p>
    <w:p w:rsidR="003870CF" w:rsidRPr="00531701" w:rsidRDefault="003870CF" w:rsidP="00531701">
      <w:pPr>
        <w:pStyle w:val="ListParagraph"/>
        <w:numPr>
          <w:ilvl w:val="0"/>
          <w:numId w:val="1"/>
        </w:numPr>
        <w:spacing w:after="0" w:line="360" w:lineRule="auto"/>
        <w:ind w:left="450"/>
        <w:jc w:val="both"/>
        <w:rPr>
          <w:rStyle w:val="reference-accessdate"/>
          <w:rFonts w:ascii="Times New Roman" w:hAnsi="Times New Roman" w:cs="Times New Roman"/>
          <w:sz w:val="20"/>
          <w:szCs w:val="20"/>
        </w:rPr>
      </w:pPr>
      <w:r w:rsidRPr="00531701">
        <w:rPr>
          <w:rFonts w:ascii="Times New Roman" w:hAnsi="Times New Roman" w:cs="Times New Roman"/>
          <w:sz w:val="20"/>
          <w:szCs w:val="20"/>
          <w:shd w:val="clear" w:color="auto" w:fill="FFFFFF"/>
        </w:rPr>
        <w:t>WHO Scientific Group on the Prevention and Management of Osteoporosis (</w:t>
      </w:r>
      <w:proofErr w:type="gramStart"/>
      <w:r w:rsidRPr="00531701">
        <w:rPr>
          <w:rFonts w:ascii="Times New Roman" w:hAnsi="Times New Roman" w:cs="Times New Roman"/>
          <w:sz w:val="20"/>
          <w:szCs w:val="20"/>
          <w:shd w:val="clear" w:color="auto" w:fill="FFFFFF"/>
        </w:rPr>
        <w:t>2000 :</w:t>
      </w:r>
      <w:proofErr w:type="gramEnd"/>
      <w:r w:rsidRPr="00531701">
        <w:rPr>
          <w:rFonts w:ascii="Times New Roman" w:hAnsi="Times New Roman" w:cs="Times New Roman"/>
          <w:sz w:val="20"/>
          <w:szCs w:val="20"/>
          <w:shd w:val="clear" w:color="auto" w:fill="FFFFFF"/>
        </w:rPr>
        <w:t xml:space="preserve"> Geneva, Switzerland) (2003).</w:t>
      </w:r>
      <w:r w:rsidRPr="00531701">
        <w:rPr>
          <w:rStyle w:val="apple-converted-space"/>
          <w:rFonts w:ascii="Times New Roman" w:hAnsi="Times New Roman" w:cs="Times New Roman"/>
          <w:sz w:val="20"/>
          <w:szCs w:val="20"/>
          <w:shd w:val="clear" w:color="auto" w:fill="FFFFFF"/>
        </w:rPr>
        <w:t> </w:t>
      </w:r>
      <w:hyperlink r:id="rId14" w:history="1">
        <w:r w:rsidRPr="00531701">
          <w:rPr>
            <w:rStyle w:val="Hyperlink"/>
            <w:rFonts w:ascii="Times New Roman" w:hAnsi="Times New Roman" w:cs="Times New Roman"/>
            <w:color w:val="auto"/>
            <w:sz w:val="20"/>
            <w:szCs w:val="20"/>
            <w:u w:val="none"/>
            <w:shd w:val="clear" w:color="auto" w:fill="FFFFFF"/>
          </w:rPr>
          <w:t xml:space="preserve">"Prevention and management of </w:t>
        </w:r>
        <w:proofErr w:type="gramStart"/>
        <w:r w:rsidRPr="00531701">
          <w:rPr>
            <w:rStyle w:val="Hyperlink"/>
            <w:rFonts w:ascii="Times New Roman" w:hAnsi="Times New Roman" w:cs="Times New Roman"/>
            <w:color w:val="auto"/>
            <w:sz w:val="20"/>
            <w:szCs w:val="20"/>
            <w:u w:val="none"/>
            <w:shd w:val="clear" w:color="auto" w:fill="FFFFFF"/>
          </w:rPr>
          <w:t>osteoporosis :</w:t>
        </w:r>
        <w:proofErr w:type="gramEnd"/>
        <w:r w:rsidRPr="00531701">
          <w:rPr>
            <w:rStyle w:val="Hyperlink"/>
            <w:rFonts w:ascii="Times New Roman" w:hAnsi="Times New Roman" w:cs="Times New Roman"/>
            <w:color w:val="auto"/>
            <w:sz w:val="20"/>
            <w:szCs w:val="20"/>
            <w:u w:val="none"/>
            <w:shd w:val="clear" w:color="auto" w:fill="FFFFFF"/>
          </w:rPr>
          <w:t xml:space="preserve"> report of a WHO scientific group"</w:t>
        </w:r>
      </w:hyperlink>
      <w:r w:rsidRPr="00531701">
        <w:rPr>
          <w:rStyle w:val="apple-converted-space"/>
          <w:rFonts w:ascii="Times New Roman" w:hAnsi="Times New Roman" w:cs="Times New Roman"/>
          <w:sz w:val="20"/>
          <w:szCs w:val="20"/>
          <w:shd w:val="clear" w:color="auto" w:fill="FFFFFF"/>
        </w:rPr>
        <w:t> </w:t>
      </w:r>
      <w:r w:rsidRPr="00531701">
        <w:rPr>
          <w:rFonts w:ascii="Times New Roman" w:hAnsi="Times New Roman" w:cs="Times New Roman"/>
          <w:sz w:val="20"/>
          <w:szCs w:val="20"/>
          <w:shd w:val="clear" w:color="auto" w:fill="FFFFFF"/>
        </w:rPr>
        <w:t>(PDF)</w:t>
      </w:r>
      <w:r w:rsidRPr="00531701">
        <w:rPr>
          <w:rStyle w:val="reference-accessdate"/>
          <w:rFonts w:ascii="Times New Roman" w:hAnsi="Times New Roman" w:cs="Times New Roman"/>
          <w:sz w:val="20"/>
          <w:szCs w:val="20"/>
          <w:shd w:val="clear" w:color="auto" w:fill="FFFFFF"/>
        </w:rPr>
        <w:t>.</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color w:val="231F20"/>
          <w:sz w:val="20"/>
          <w:szCs w:val="20"/>
        </w:rPr>
        <w:t xml:space="preserve">American College of Rheumatology Task Force on Osteoporosis Guidelines. Recommendations for the prevention and treatment of glucocorticoid-induced osteoporosis. </w:t>
      </w:r>
      <w:r w:rsidRPr="00531701">
        <w:rPr>
          <w:rFonts w:ascii="Times New Roman" w:hAnsi="Times New Roman" w:cs="Times New Roman"/>
          <w:i/>
          <w:iCs/>
          <w:color w:val="231F20"/>
          <w:sz w:val="20"/>
          <w:szCs w:val="20"/>
        </w:rPr>
        <w:t>Arthritis Rheum</w:t>
      </w:r>
      <w:r w:rsidRPr="00531701">
        <w:rPr>
          <w:rFonts w:ascii="Times New Roman" w:hAnsi="Times New Roman" w:cs="Times New Roman"/>
          <w:color w:val="231F20"/>
          <w:sz w:val="20"/>
          <w:szCs w:val="20"/>
        </w:rPr>
        <w:t>. 1996</w:t>
      </w:r>
      <w:proofErr w:type="gramStart"/>
      <w:r w:rsidRPr="00531701">
        <w:rPr>
          <w:rFonts w:ascii="Times New Roman" w:hAnsi="Times New Roman" w:cs="Times New Roman"/>
          <w:color w:val="231F20"/>
          <w:sz w:val="20"/>
          <w:szCs w:val="20"/>
        </w:rPr>
        <w:t>;39</w:t>
      </w:r>
      <w:proofErr w:type="gramEnd"/>
      <w:r w:rsidRPr="00531701">
        <w:rPr>
          <w:rFonts w:ascii="Times New Roman" w:hAnsi="Times New Roman" w:cs="Times New Roman"/>
          <w:color w:val="231F20"/>
          <w:sz w:val="20"/>
          <w:szCs w:val="20"/>
        </w:rPr>
        <w:t>: 1791–1801.</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color w:val="231F20"/>
          <w:sz w:val="20"/>
          <w:szCs w:val="20"/>
        </w:rPr>
        <w:lastRenderedPageBreak/>
        <w:t xml:space="preserve"> Saad F, Gleason DM, Murray R, et al. A randomized, placebo-controlled trial of </w:t>
      </w:r>
      <w:r w:rsidR="00DC0376" w:rsidRPr="00531701">
        <w:rPr>
          <w:rFonts w:ascii="Times New Roman" w:hAnsi="Times New Roman" w:cs="Times New Roman"/>
          <w:color w:val="231F20"/>
          <w:sz w:val="20"/>
          <w:szCs w:val="20"/>
        </w:rPr>
        <w:t>zoledronic</w:t>
      </w:r>
      <w:r w:rsidRPr="00531701">
        <w:rPr>
          <w:rFonts w:ascii="Times New Roman" w:hAnsi="Times New Roman" w:cs="Times New Roman"/>
          <w:color w:val="231F20"/>
          <w:sz w:val="20"/>
          <w:szCs w:val="20"/>
        </w:rPr>
        <w:t xml:space="preserve"> Acid in patients with hormone-refractory metastatic prostate carcinoma. </w:t>
      </w:r>
      <w:r w:rsidRPr="00531701">
        <w:rPr>
          <w:rFonts w:ascii="Times New Roman" w:hAnsi="Times New Roman" w:cs="Times New Roman"/>
          <w:i/>
          <w:iCs/>
          <w:color w:val="231F20"/>
          <w:sz w:val="20"/>
          <w:szCs w:val="20"/>
        </w:rPr>
        <w:t>J Natl Cancer Inst</w:t>
      </w:r>
      <w:r w:rsidRPr="00531701">
        <w:rPr>
          <w:rFonts w:ascii="Times New Roman" w:hAnsi="Times New Roman" w:cs="Times New Roman"/>
          <w:color w:val="231F20"/>
          <w:sz w:val="20"/>
          <w:szCs w:val="20"/>
        </w:rPr>
        <w:t>. 2002</w:t>
      </w:r>
      <w:proofErr w:type="gramStart"/>
      <w:r w:rsidRPr="00531701">
        <w:rPr>
          <w:rFonts w:ascii="Times New Roman" w:hAnsi="Times New Roman" w:cs="Times New Roman"/>
          <w:color w:val="231F20"/>
          <w:sz w:val="20"/>
          <w:szCs w:val="20"/>
        </w:rPr>
        <w:t>;94:1458</w:t>
      </w:r>
      <w:proofErr w:type="gramEnd"/>
      <w:r w:rsidRPr="00531701">
        <w:rPr>
          <w:rFonts w:ascii="Times New Roman" w:hAnsi="Times New Roman" w:cs="Times New Roman"/>
          <w:color w:val="231F20"/>
          <w:sz w:val="20"/>
          <w:szCs w:val="20"/>
        </w:rPr>
        <w:t>–1468.</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color w:val="231F20"/>
          <w:sz w:val="20"/>
          <w:szCs w:val="20"/>
        </w:rPr>
        <w:t xml:space="preserve">Liu G, Peacock M, Eilam O, Dorulla G, Braunstein E, Johnston CC. Effect of osteoarthritis in the lumbar spine and hip on bone mineral density and diagnosis of osteoporosis in elderly men and women. </w:t>
      </w:r>
      <w:r w:rsidRPr="00531701">
        <w:rPr>
          <w:rFonts w:ascii="Times New Roman" w:hAnsi="Times New Roman" w:cs="Times New Roman"/>
          <w:i/>
          <w:iCs/>
          <w:color w:val="231F20"/>
          <w:sz w:val="20"/>
          <w:szCs w:val="20"/>
        </w:rPr>
        <w:t>Osteoporos Int</w:t>
      </w:r>
      <w:r w:rsidRPr="00531701">
        <w:rPr>
          <w:rFonts w:ascii="Times New Roman" w:hAnsi="Times New Roman" w:cs="Times New Roman"/>
          <w:color w:val="231F20"/>
          <w:sz w:val="20"/>
          <w:szCs w:val="20"/>
        </w:rPr>
        <w:t>. 1997</w:t>
      </w:r>
      <w:proofErr w:type="gramStart"/>
      <w:r w:rsidRPr="00531701">
        <w:rPr>
          <w:rFonts w:ascii="Times New Roman" w:hAnsi="Times New Roman" w:cs="Times New Roman"/>
          <w:color w:val="231F20"/>
          <w:sz w:val="20"/>
          <w:szCs w:val="20"/>
        </w:rPr>
        <w:t>;7:564</w:t>
      </w:r>
      <w:proofErr w:type="gramEnd"/>
      <w:r w:rsidRPr="00531701">
        <w:rPr>
          <w:rFonts w:ascii="Times New Roman" w:hAnsi="Times New Roman" w:cs="Times New Roman"/>
          <w:color w:val="231F20"/>
          <w:sz w:val="20"/>
          <w:szCs w:val="20"/>
        </w:rPr>
        <w:t xml:space="preserve"> –569.</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sz w:val="20"/>
          <w:szCs w:val="20"/>
        </w:rPr>
        <w:t>NCCN guidelines for prostate cancer, Version 1.2015</w:t>
      </w:r>
    </w:p>
    <w:p w:rsidR="003870CF" w:rsidRPr="00531701" w:rsidRDefault="003870CF" w:rsidP="00531701">
      <w:pPr>
        <w:pStyle w:val="ListParagraph"/>
        <w:numPr>
          <w:ilvl w:val="0"/>
          <w:numId w:val="1"/>
        </w:numPr>
        <w:spacing w:after="0" w:line="360" w:lineRule="auto"/>
        <w:ind w:left="450"/>
        <w:jc w:val="both"/>
        <w:rPr>
          <w:rFonts w:ascii="Times New Roman" w:hAnsi="Times New Roman" w:cs="Times New Roman"/>
          <w:sz w:val="20"/>
          <w:szCs w:val="20"/>
        </w:rPr>
      </w:pPr>
      <w:r w:rsidRPr="00531701">
        <w:rPr>
          <w:rFonts w:ascii="Times New Roman" w:hAnsi="Times New Roman" w:cs="Times New Roman"/>
          <w:color w:val="141314"/>
          <w:sz w:val="20"/>
          <w:szCs w:val="20"/>
        </w:rPr>
        <w:t>Tanvetyanon T. Physician practices of bone density testing and drug prescribing to prevent or treat osteoporosis during androgen deprivation therapy. Cancer. 2005</w:t>
      </w:r>
      <w:proofErr w:type="gramStart"/>
      <w:r w:rsidRPr="00531701">
        <w:rPr>
          <w:rFonts w:ascii="Times New Roman" w:hAnsi="Times New Roman" w:cs="Times New Roman"/>
          <w:color w:val="141314"/>
          <w:sz w:val="20"/>
          <w:szCs w:val="20"/>
        </w:rPr>
        <w:t>;103:237</w:t>
      </w:r>
      <w:proofErr w:type="gramEnd"/>
      <w:r w:rsidRPr="00531701">
        <w:rPr>
          <w:rFonts w:ascii="Times New Roman" w:hAnsi="Times New Roman" w:cs="Times New Roman"/>
          <w:color w:val="141314"/>
          <w:sz w:val="20"/>
          <w:szCs w:val="20"/>
        </w:rPr>
        <w:t>–41.</w:t>
      </w:r>
    </w:p>
    <w:p w:rsidR="004D0C03" w:rsidRDefault="004D0C03" w:rsidP="004D0C03">
      <w:pPr>
        <w:spacing w:after="0"/>
        <w:ind w:left="454"/>
        <w:rPr>
          <w:rFonts w:asciiTheme="majorHAnsi" w:hAnsiTheme="majorHAnsi" w:cs="Times New Roman"/>
          <w:sz w:val="18"/>
          <w:szCs w:val="18"/>
        </w:rPr>
      </w:pPr>
      <w:bookmarkStart w:id="0" w:name="_GoBack"/>
      <w:bookmarkEnd w:id="0"/>
    </w:p>
    <w:p w:rsidR="004D0C03" w:rsidRDefault="004D0C03" w:rsidP="004D0C03">
      <w:pPr>
        <w:spacing w:after="0"/>
        <w:ind w:left="454"/>
        <w:rPr>
          <w:rFonts w:asciiTheme="majorHAnsi" w:hAnsiTheme="majorHAnsi" w:cs="Times New Roman"/>
          <w:sz w:val="18"/>
          <w:szCs w:val="18"/>
        </w:rPr>
      </w:pPr>
    </w:p>
    <w:p w:rsidR="004D0C03" w:rsidRPr="004D0C03" w:rsidRDefault="004D0C03" w:rsidP="004D0C03">
      <w:pPr>
        <w:spacing w:after="0"/>
        <w:ind w:left="454"/>
        <w:rPr>
          <w:rFonts w:asciiTheme="majorHAnsi" w:hAnsiTheme="majorHAnsi" w:cs="Times New Roman"/>
          <w:sz w:val="18"/>
          <w:szCs w:val="18"/>
        </w:rPr>
      </w:pPr>
      <w:r>
        <w:rPr>
          <w:rFonts w:asciiTheme="majorHAnsi" w:hAnsiTheme="majorHAnsi" w:cs="Times New Roman"/>
          <w:sz w:val="18"/>
          <w:szCs w:val="18"/>
        </w:rPr>
        <w:t>Date of Acceptance: 20</w:t>
      </w:r>
      <w:r w:rsidRPr="004D0C03">
        <w:rPr>
          <w:rFonts w:asciiTheme="majorHAnsi" w:hAnsiTheme="majorHAnsi" w:cs="Times New Roman"/>
          <w:sz w:val="18"/>
          <w:szCs w:val="18"/>
        </w:rPr>
        <w:t xml:space="preserve"> </w:t>
      </w:r>
      <w:r>
        <w:rPr>
          <w:rFonts w:asciiTheme="majorHAnsi" w:hAnsiTheme="majorHAnsi" w:cs="Times New Roman"/>
          <w:sz w:val="18"/>
          <w:szCs w:val="18"/>
        </w:rPr>
        <w:t>February 2021</w:t>
      </w:r>
    </w:p>
    <w:p w:rsidR="004D0C03" w:rsidRPr="004D0C03" w:rsidRDefault="004D0C03" w:rsidP="004D0C03">
      <w:pPr>
        <w:spacing w:after="0"/>
        <w:ind w:left="454"/>
        <w:rPr>
          <w:rFonts w:asciiTheme="majorHAnsi" w:hAnsiTheme="majorHAnsi" w:cs="Times New Roman"/>
          <w:sz w:val="18"/>
          <w:szCs w:val="18"/>
        </w:rPr>
      </w:pPr>
      <w:r w:rsidRPr="004D0C03">
        <w:rPr>
          <w:rFonts w:asciiTheme="majorHAnsi" w:hAnsiTheme="majorHAnsi" w:cs="Times New Roman"/>
          <w:sz w:val="18"/>
          <w:szCs w:val="18"/>
        </w:rPr>
        <w:t xml:space="preserve">Date of Publishing:  05 </w:t>
      </w:r>
      <w:r>
        <w:rPr>
          <w:rFonts w:asciiTheme="majorHAnsi" w:hAnsiTheme="majorHAnsi" w:cs="Times New Roman"/>
          <w:sz w:val="18"/>
          <w:szCs w:val="18"/>
        </w:rPr>
        <w:t xml:space="preserve">March </w:t>
      </w:r>
      <w:r w:rsidRPr="004D0C03">
        <w:rPr>
          <w:rFonts w:asciiTheme="majorHAnsi" w:hAnsiTheme="majorHAnsi" w:cs="Times New Roman"/>
          <w:sz w:val="18"/>
          <w:szCs w:val="18"/>
        </w:rPr>
        <w:t>202</w:t>
      </w:r>
      <w:r>
        <w:rPr>
          <w:rFonts w:asciiTheme="majorHAnsi" w:hAnsiTheme="majorHAnsi" w:cs="Times New Roman"/>
          <w:sz w:val="18"/>
          <w:szCs w:val="18"/>
        </w:rPr>
        <w:t>1</w:t>
      </w:r>
      <w:r w:rsidRPr="004D0C03">
        <w:rPr>
          <w:rFonts w:asciiTheme="majorHAnsi" w:hAnsiTheme="majorHAnsi" w:cs="Times New Roman"/>
          <w:sz w:val="18"/>
          <w:szCs w:val="18"/>
        </w:rPr>
        <w:t xml:space="preserve"> </w:t>
      </w:r>
    </w:p>
    <w:p w:rsidR="004D0C03" w:rsidRPr="004D0C03" w:rsidRDefault="004D0C03" w:rsidP="004D0C03">
      <w:pPr>
        <w:spacing w:after="0"/>
        <w:ind w:left="454"/>
        <w:rPr>
          <w:rFonts w:asciiTheme="majorHAnsi" w:hAnsiTheme="majorHAnsi" w:cs="Times New Roman"/>
          <w:sz w:val="18"/>
          <w:szCs w:val="18"/>
        </w:rPr>
      </w:pPr>
      <w:r w:rsidRPr="004D0C03">
        <w:rPr>
          <w:rFonts w:asciiTheme="majorHAnsi" w:hAnsiTheme="majorHAnsi" w:cs="Times New Roman"/>
          <w:sz w:val="18"/>
          <w:szCs w:val="18"/>
        </w:rPr>
        <w:t xml:space="preserve">Author Declaration:  Source of support: Nil, Conflict of interest: Nil </w:t>
      </w:r>
    </w:p>
    <w:p w:rsidR="004D0C03" w:rsidRPr="004D0C03" w:rsidRDefault="004D0C03" w:rsidP="004D0C03">
      <w:pPr>
        <w:spacing w:after="0"/>
        <w:ind w:left="454"/>
        <w:rPr>
          <w:rFonts w:asciiTheme="majorHAnsi" w:hAnsiTheme="majorHAnsi" w:cs="Times New Roman"/>
          <w:sz w:val="18"/>
          <w:szCs w:val="18"/>
        </w:rPr>
      </w:pPr>
      <w:r w:rsidRPr="004D0C03">
        <w:rPr>
          <w:rFonts w:asciiTheme="majorHAnsi" w:hAnsiTheme="majorHAnsi" w:cs="Times New Roman"/>
          <w:sz w:val="18"/>
          <w:szCs w:val="18"/>
        </w:rPr>
        <w:t>Ethics Committee Approval obtained for this study?  YES</w:t>
      </w:r>
    </w:p>
    <w:p w:rsidR="004D0C03" w:rsidRPr="004D0C03" w:rsidRDefault="004D0C03" w:rsidP="004D0C03">
      <w:pPr>
        <w:spacing w:after="0"/>
        <w:ind w:left="454"/>
        <w:rPr>
          <w:rFonts w:asciiTheme="majorHAnsi" w:hAnsiTheme="majorHAnsi" w:cs="Times New Roman"/>
          <w:sz w:val="18"/>
          <w:szCs w:val="18"/>
        </w:rPr>
      </w:pPr>
      <w:r w:rsidRPr="004D0C03">
        <w:rPr>
          <w:rFonts w:asciiTheme="majorHAnsi" w:hAnsiTheme="majorHAnsi" w:cs="Times New Roman"/>
          <w:sz w:val="18"/>
          <w:szCs w:val="18"/>
        </w:rPr>
        <w:t>Was informed consent obtained from the subjects involved in the study?  YES</w:t>
      </w:r>
    </w:p>
    <w:p w:rsidR="004D0C03" w:rsidRPr="004D0C03" w:rsidRDefault="004D0C03" w:rsidP="004D0C03">
      <w:pPr>
        <w:spacing w:after="0"/>
        <w:ind w:left="454"/>
        <w:rPr>
          <w:rFonts w:asciiTheme="majorHAnsi" w:hAnsiTheme="majorHAnsi" w:cs="Times New Roman"/>
          <w:sz w:val="18"/>
          <w:szCs w:val="18"/>
        </w:rPr>
      </w:pPr>
      <w:r w:rsidRPr="004D0C03">
        <w:rPr>
          <w:rFonts w:asciiTheme="majorHAnsi" w:hAnsiTheme="majorHAnsi" w:cs="Times New Roman"/>
          <w:sz w:val="18"/>
          <w:szCs w:val="18"/>
        </w:rPr>
        <w:t>For any images presented appropriate consent has been obtained from the subjects: NA</w:t>
      </w:r>
    </w:p>
    <w:p w:rsidR="004D0C03" w:rsidRPr="004D0C03" w:rsidRDefault="004D0C03" w:rsidP="004D0C03">
      <w:pPr>
        <w:spacing w:after="0"/>
        <w:ind w:left="454"/>
        <w:rPr>
          <w:rFonts w:asciiTheme="majorHAnsi" w:hAnsiTheme="majorHAnsi" w:cs="Times New Roman"/>
          <w:sz w:val="18"/>
          <w:szCs w:val="18"/>
        </w:rPr>
      </w:pPr>
      <w:r w:rsidRPr="004D0C03">
        <w:rPr>
          <w:rFonts w:asciiTheme="majorHAnsi" w:hAnsiTheme="majorHAnsi" w:cs="Times New Roman"/>
          <w:sz w:val="18"/>
          <w:szCs w:val="18"/>
        </w:rPr>
        <w:t xml:space="preserve">Plagiarism Checked: </w:t>
      </w:r>
      <w:proofErr w:type="spellStart"/>
      <w:r w:rsidRPr="004D0C03">
        <w:rPr>
          <w:rFonts w:asciiTheme="majorHAnsi" w:hAnsiTheme="majorHAnsi" w:cs="Times New Roman"/>
          <w:sz w:val="18"/>
          <w:szCs w:val="18"/>
        </w:rPr>
        <w:t>Urkund</w:t>
      </w:r>
      <w:proofErr w:type="spellEnd"/>
      <w:r w:rsidRPr="004D0C03">
        <w:rPr>
          <w:rFonts w:asciiTheme="majorHAnsi" w:hAnsiTheme="majorHAnsi" w:cs="Times New Roman"/>
          <w:sz w:val="18"/>
          <w:szCs w:val="18"/>
        </w:rPr>
        <w:t xml:space="preserve"> Software </w:t>
      </w:r>
    </w:p>
    <w:p w:rsidR="004D0C03" w:rsidRPr="004D0C03" w:rsidRDefault="004D0C03" w:rsidP="004D0C03">
      <w:pPr>
        <w:spacing w:after="0"/>
        <w:ind w:left="454"/>
        <w:rPr>
          <w:rFonts w:asciiTheme="majorHAnsi" w:hAnsiTheme="majorHAnsi" w:cs="Times New Roman"/>
          <w:sz w:val="18"/>
          <w:szCs w:val="18"/>
        </w:rPr>
      </w:pPr>
    </w:p>
    <w:p w:rsidR="004D0C03" w:rsidRPr="004D0C03" w:rsidRDefault="004D0C03" w:rsidP="004D0C03">
      <w:pPr>
        <w:spacing w:after="0"/>
        <w:ind w:left="454"/>
        <w:rPr>
          <w:rFonts w:asciiTheme="majorHAnsi" w:hAnsiTheme="majorHAnsi" w:cs="Times New Roman"/>
          <w:spacing w:val="2"/>
          <w:sz w:val="18"/>
          <w:szCs w:val="18"/>
          <w:shd w:val="clear" w:color="auto" w:fill="FFFFFF"/>
        </w:rPr>
      </w:pPr>
      <w:r w:rsidRPr="004D0C03">
        <w:rPr>
          <w:rFonts w:asciiTheme="majorHAnsi" w:hAnsiTheme="majorHAnsi" w:cs="Times New Roman"/>
          <w:sz w:val="18"/>
          <w:szCs w:val="18"/>
        </w:rPr>
        <w:t xml:space="preserve">Author work published under </w:t>
      </w:r>
      <w:r w:rsidRPr="004D0C03">
        <w:rPr>
          <w:rFonts w:asciiTheme="majorHAnsi" w:hAnsiTheme="majorHAnsi" w:cs="Times New Roman"/>
          <w:spacing w:val="2"/>
          <w:sz w:val="18"/>
          <w:szCs w:val="18"/>
          <w:shd w:val="clear" w:color="auto" w:fill="FFFFFF"/>
        </w:rPr>
        <w:t>a Creative Commons Attribution 4.0 International License</w:t>
      </w:r>
    </w:p>
    <w:p w:rsidR="004D0C03" w:rsidRPr="004D0C03" w:rsidRDefault="004D0C03" w:rsidP="004D0C03">
      <w:pPr>
        <w:spacing w:after="0"/>
        <w:ind w:left="454"/>
        <w:rPr>
          <w:rFonts w:asciiTheme="majorHAnsi" w:hAnsiTheme="majorHAnsi" w:cs="Calibri Light"/>
          <w:bCs/>
          <w:sz w:val="18"/>
          <w:szCs w:val="18"/>
          <w:shd w:val="clear" w:color="auto" w:fill="FFFFFF"/>
        </w:rPr>
      </w:pPr>
      <w:r w:rsidRPr="004D0C03">
        <w:rPr>
          <w:rFonts w:asciiTheme="majorHAnsi" w:hAnsiTheme="majorHAnsi" w:cs="Times New Roman"/>
          <w:noProof/>
          <w:sz w:val="18"/>
          <w:szCs w:val="18"/>
          <w:lang w:eastAsia="en-IN"/>
        </w:rPr>
        <w:drawing>
          <wp:anchor distT="0" distB="0" distL="114300" distR="114300" simplePos="0" relativeHeight="251661312" behindDoc="0" locked="0" layoutInCell="1" allowOverlap="1" wp14:anchorId="59DE9CEB" wp14:editId="4C36CF7E">
            <wp:simplePos x="0" y="0"/>
            <wp:positionH relativeFrom="column">
              <wp:posOffset>292735</wp:posOffset>
            </wp:positionH>
            <wp:positionV relativeFrom="paragraph">
              <wp:posOffset>75565</wp:posOffset>
            </wp:positionV>
            <wp:extent cx="810260" cy="605790"/>
            <wp:effectExtent l="0" t="0" r="8890" b="3810"/>
            <wp:wrapSquare wrapText="bothSides"/>
            <wp:docPr id="5"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260" cy="605790"/>
                    </a:xfrm>
                    <a:prstGeom prst="rect">
                      <a:avLst/>
                    </a:prstGeom>
                    <a:noFill/>
                    <a:ln w="9525">
                      <a:noFill/>
                      <a:miter lim="800000"/>
                      <a:headEnd/>
                      <a:tailEnd/>
                    </a:ln>
                  </pic:spPr>
                </pic:pic>
              </a:graphicData>
            </a:graphic>
          </wp:anchor>
        </w:drawing>
      </w:r>
    </w:p>
    <w:p w:rsidR="004D0C03" w:rsidRPr="004D0C03" w:rsidRDefault="004D0C03" w:rsidP="004D0C03">
      <w:pPr>
        <w:spacing w:after="0"/>
        <w:ind w:left="454"/>
        <w:rPr>
          <w:rFonts w:asciiTheme="majorHAnsi" w:hAnsiTheme="majorHAnsi" w:cs="Calibri Light"/>
          <w:bCs/>
          <w:sz w:val="18"/>
          <w:szCs w:val="18"/>
          <w:shd w:val="clear" w:color="auto" w:fill="FFFFFF"/>
        </w:rPr>
      </w:pPr>
    </w:p>
    <w:p w:rsidR="004D0C03" w:rsidRPr="004D0C03" w:rsidRDefault="004D0C03" w:rsidP="004D0C03">
      <w:pPr>
        <w:spacing w:after="0"/>
        <w:ind w:left="454"/>
        <w:rPr>
          <w:rFonts w:asciiTheme="majorHAnsi" w:hAnsiTheme="majorHAnsi" w:cs="Calibri Light"/>
          <w:bCs/>
          <w:sz w:val="18"/>
          <w:szCs w:val="18"/>
          <w:shd w:val="clear" w:color="auto" w:fill="FFFFFF"/>
        </w:rPr>
      </w:pPr>
    </w:p>
    <w:p w:rsidR="004D0C03" w:rsidRPr="004D0C03" w:rsidRDefault="004D0C03" w:rsidP="004D0C03">
      <w:pPr>
        <w:spacing w:after="0"/>
        <w:ind w:left="454"/>
        <w:rPr>
          <w:rFonts w:asciiTheme="majorHAnsi" w:hAnsiTheme="majorHAnsi" w:cs="Calibri Light"/>
          <w:bCs/>
          <w:sz w:val="18"/>
          <w:szCs w:val="18"/>
          <w:shd w:val="clear" w:color="auto" w:fill="FFFFFF"/>
        </w:rPr>
      </w:pPr>
    </w:p>
    <w:p w:rsidR="004D0C03" w:rsidRPr="004D0C03" w:rsidRDefault="004D0C03" w:rsidP="004D0C03">
      <w:pPr>
        <w:spacing w:after="0"/>
        <w:ind w:left="454"/>
        <w:rPr>
          <w:rFonts w:asciiTheme="majorHAnsi" w:hAnsiTheme="majorHAnsi" w:cs="Calibri Light"/>
          <w:bCs/>
          <w:sz w:val="18"/>
          <w:szCs w:val="18"/>
          <w:shd w:val="clear" w:color="auto" w:fill="FFFFFF"/>
        </w:rPr>
      </w:pPr>
    </w:p>
    <w:p w:rsidR="004D0C03" w:rsidRPr="004D0C03" w:rsidRDefault="004D0C03" w:rsidP="004D0C03">
      <w:pPr>
        <w:pStyle w:val="Header"/>
        <w:tabs>
          <w:tab w:val="left" w:pos="496"/>
        </w:tabs>
        <w:ind w:right="-567"/>
        <w:rPr>
          <w:rFonts w:asciiTheme="majorHAnsi" w:hAnsiTheme="majorHAnsi"/>
          <w:sz w:val="18"/>
          <w:szCs w:val="18"/>
        </w:rPr>
      </w:pPr>
      <w:r w:rsidRPr="004D0C03">
        <w:rPr>
          <w:rFonts w:asciiTheme="majorHAnsi" w:hAnsiTheme="majorHAnsi" w:cs="Calibri Light"/>
          <w:bCs/>
          <w:sz w:val="18"/>
          <w:szCs w:val="18"/>
          <w:shd w:val="clear" w:color="auto" w:fill="FFFFFF"/>
        </w:rPr>
        <w:t xml:space="preserve">           </w:t>
      </w:r>
      <w:r w:rsidRPr="004D0C03">
        <w:rPr>
          <w:rFonts w:asciiTheme="majorHAnsi" w:hAnsiTheme="majorHAnsi" w:cs="Calibri Light"/>
          <w:bCs/>
          <w:sz w:val="18"/>
          <w:szCs w:val="18"/>
          <w:shd w:val="clear" w:color="auto" w:fill="FFFFFF"/>
        </w:rPr>
        <w:t>DOI: 10.36848/IJBAMR/2020/26215.55550</w:t>
      </w:r>
    </w:p>
    <w:p w:rsidR="003870CF" w:rsidRPr="004D0C03" w:rsidRDefault="003870CF" w:rsidP="004D0C03">
      <w:pPr>
        <w:spacing w:after="0"/>
        <w:ind w:left="454"/>
        <w:rPr>
          <w:rFonts w:asciiTheme="majorHAnsi" w:hAnsiTheme="majorHAnsi" w:cs="Arial"/>
          <w:b/>
          <w:sz w:val="18"/>
          <w:szCs w:val="18"/>
        </w:rPr>
      </w:pPr>
    </w:p>
    <w:sectPr w:rsidR="003870CF" w:rsidRPr="004D0C03" w:rsidSect="004D0C03">
      <w:headerReference w:type="default" r:id="rId16"/>
      <w:footerReference w:type="default" r:id="rId17"/>
      <w:headerReference w:type="first" r:id="rId18"/>
      <w:footerReference w:type="first" r:id="rId19"/>
      <w:pgSz w:w="12240" w:h="15840"/>
      <w:pgMar w:top="1276" w:right="1800" w:bottom="1440" w:left="180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EA" w:rsidRDefault="00D338EA" w:rsidP="004E47B7">
      <w:pPr>
        <w:spacing w:after="0" w:line="240" w:lineRule="auto"/>
      </w:pPr>
      <w:r>
        <w:separator/>
      </w:r>
    </w:p>
  </w:endnote>
  <w:endnote w:type="continuationSeparator" w:id="0">
    <w:p w:rsidR="00D338EA" w:rsidRDefault="00D338EA" w:rsidP="004E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199"/>
      <w:gridCol w:w="2657"/>
    </w:tblGrid>
    <w:tr w:rsidR="004D0C03">
      <w:trPr>
        <w:trHeight w:val="360"/>
      </w:trPr>
      <w:tc>
        <w:tcPr>
          <w:tcW w:w="3500" w:type="pct"/>
        </w:tcPr>
        <w:p w:rsidR="004D0C03" w:rsidRPr="00B41CDB" w:rsidRDefault="004D0C03" w:rsidP="004D0C03">
          <w:pPr>
            <w:pStyle w:val="Footer"/>
            <w:rPr>
              <w:rFonts w:ascii="Cambria" w:hAnsi="Cambria"/>
              <w:sz w:val="20"/>
            </w:rPr>
          </w:pPr>
          <w:r w:rsidRPr="00B41CDB">
            <w:rPr>
              <w:rFonts w:ascii="Cambria" w:eastAsia="Batang" w:hAnsi="Cambria"/>
              <w:sz w:val="20"/>
              <w:lang w:eastAsia="ko-KR"/>
            </w:rPr>
            <w:t>www.ijbamr.com   P ISSN: 2250-284X, E ISSN: 2250-2858</w:t>
          </w:r>
        </w:p>
        <w:p w:rsidR="004D0C03" w:rsidRDefault="004D0C03">
          <w:pPr>
            <w:pStyle w:val="Footer"/>
            <w:jc w:val="right"/>
          </w:pPr>
        </w:p>
      </w:tc>
      <w:tc>
        <w:tcPr>
          <w:tcW w:w="1500" w:type="pct"/>
          <w:shd w:val="clear" w:color="auto" w:fill="8064A2" w:themeFill="accent4"/>
        </w:tcPr>
        <w:p w:rsidR="004D0C03" w:rsidRDefault="004D0C03">
          <w:pPr>
            <w:pStyle w:val="Footer"/>
            <w:jc w:val="right"/>
            <w:rPr>
              <w:color w:val="FFFFFF" w:themeColor="background1"/>
            </w:rPr>
          </w:pPr>
          <w:r>
            <w:fldChar w:fldCharType="begin"/>
          </w:r>
          <w:r>
            <w:instrText xml:space="preserve"> PAGE    \* MERGEFORMAT </w:instrText>
          </w:r>
          <w:r>
            <w:fldChar w:fldCharType="separate"/>
          </w:r>
          <w:r w:rsidRPr="004D0C03">
            <w:rPr>
              <w:noProof/>
              <w:color w:val="FFFFFF" w:themeColor="background1"/>
            </w:rPr>
            <w:t>14</w:t>
          </w:r>
          <w:r>
            <w:rPr>
              <w:noProof/>
              <w:color w:val="FFFFFF" w:themeColor="background1"/>
            </w:rPr>
            <w:fldChar w:fldCharType="end"/>
          </w:r>
        </w:p>
      </w:tc>
    </w:tr>
  </w:tbl>
  <w:p w:rsidR="004D0C03" w:rsidRDefault="004D0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199"/>
      <w:gridCol w:w="2657"/>
    </w:tblGrid>
    <w:tr w:rsidR="004D0C03">
      <w:trPr>
        <w:trHeight w:val="360"/>
      </w:trPr>
      <w:tc>
        <w:tcPr>
          <w:tcW w:w="3500" w:type="pct"/>
        </w:tcPr>
        <w:p w:rsidR="004D0C03" w:rsidRPr="00B41CDB" w:rsidRDefault="004D0C03" w:rsidP="004D0C03">
          <w:pPr>
            <w:pStyle w:val="Footer"/>
            <w:rPr>
              <w:rFonts w:ascii="Cambria" w:hAnsi="Cambria"/>
              <w:sz w:val="20"/>
            </w:rPr>
          </w:pPr>
          <w:r w:rsidRPr="00B41CDB">
            <w:rPr>
              <w:rFonts w:ascii="Cambria" w:eastAsia="Batang" w:hAnsi="Cambria"/>
              <w:sz w:val="20"/>
              <w:lang w:eastAsia="ko-KR"/>
            </w:rPr>
            <w:t>www.ijbamr.com   P ISSN: 2250-284X, E ISSN: 2250-2858</w:t>
          </w:r>
        </w:p>
        <w:p w:rsidR="004D0C03" w:rsidRDefault="004D0C03">
          <w:pPr>
            <w:pStyle w:val="Footer"/>
            <w:jc w:val="right"/>
          </w:pPr>
        </w:p>
      </w:tc>
      <w:tc>
        <w:tcPr>
          <w:tcW w:w="1500" w:type="pct"/>
          <w:shd w:val="clear" w:color="auto" w:fill="8064A2" w:themeFill="accent4"/>
        </w:tcPr>
        <w:p w:rsidR="004D0C03" w:rsidRDefault="004D0C03">
          <w:pPr>
            <w:pStyle w:val="Footer"/>
            <w:jc w:val="right"/>
            <w:rPr>
              <w:color w:val="FFFFFF" w:themeColor="background1"/>
            </w:rPr>
          </w:pPr>
          <w:r>
            <w:fldChar w:fldCharType="begin"/>
          </w:r>
          <w:r>
            <w:instrText xml:space="preserve"> PAGE    \* MERGEFORMAT </w:instrText>
          </w:r>
          <w:r>
            <w:fldChar w:fldCharType="separate"/>
          </w:r>
          <w:r w:rsidRPr="004D0C03">
            <w:rPr>
              <w:noProof/>
              <w:color w:val="FFFFFF" w:themeColor="background1"/>
            </w:rPr>
            <w:t>1</w:t>
          </w:r>
          <w:r>
            <w:rPr>
              <w:noProof/>
              <w:color w:val="FFFFFF" w:themeColor="background1"/>
            </w:rPr>
            <w:fldChar w:fldCharType="end"/>
          </w:r>
        </w:p>
      </w:tc>
    </w:tr>
  </w:tbl>
  <w:p w:rsidR="004D0C03" w:rsidRDefault="004D0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EA" w:rsidRDefault="00D338EA" w:rsidP="004E47B7">
      <w:pPr>
        <w:spacing w:after="0" w:line="240" w:lineRule="auto"/>
      </w:pPr>
      <w:r>
        <w:separator/>
      </w:r>
    </w:p>
  </w:footnote>
  <w:footnote w:type="continuationSeparator" w:id="0">
    <w:p w:rsidR="00D338EA" w:rsidRDefault="00D338EA" w:rsidP="004E4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03" w:rsidRPr="00B41CDB" w:rsidRDefault="004D0C03" w:rsidP="004D0C03">
    <w:pPr>
      <w:pStyle w:val="Header"/>
      <w:tabs>
        <w:tab w:val="left" w:pos="496"/>
      </w:tabs>
      <w:ind w:right="-567"/>
      <w:rPr>
        <w:rFonts w:ascii="Cambria" w:eastAsia="Cambria" w:hAnsi="Cambria"/>
        <w:sz w:val="20"/>
      </w:rPr>
    </w:pPr>
    <w:r w:rsidRPr="00B41CDB">
      <w:rPr>
        <w:rFonts w:ascii="Cambria" w:eastAsia="Cambria" w:hAnsi="Cambria"/>
        <w:sz w:val="20"/>
      </w:rPr>
      <w:t>Indian Journal of Basic and</w:t>
    </w:r>
    <w:r>
      <w:rPr>
        <w:rFonts w:ascii="Cambria" w:eastAsia="Cambria" w:hAnsi="Cambria"/>
        <w:sz w:val="20"/>
      </w:rPr>
      <w:t xml:space="preserve"> Applied Medical Research; </w:t>
    </w:r>
    <w:r>
      <w:rPr>
        <w:rFonts w:ascii="Cambria" w:eastAsia="Cambria" w:hAnsi="Cambria"/>
        <w:sz w:val="20"/>
      </w:rPr>
      <w:t>March 2021</w:t>
    </w:r>
    <w:r w:rsidRPr="00B41CDB">
      <w:rPr>
        <w:rFonts w:ascii="Cambria" w:eastAsia="Cambria" w:hAnsi="Cambria"/>
        <w:sz w:val="20"/>
      </w:rPr>
      <w:t>:</w:t>
    </w:r>
    <w:r>
      <w:rPr>
        <w:rFonts w:ascii="Cambria" w:eastAsia="Cambria" w:hAnsi="Cambria"/>
        <w:sz w:val="20"/>
      </w:rPr>
      <w:t xml:space="preserve"> Vol.-10, Issue- 2</w:t>
    </w:r>
    <w:proofErr w:type="gramStart"/>
    <w:r w:rsidRPr="00B41CDB">
      <w:rPr>
        <w:rFonts w:ascii="Cambria" w:eastAsia="Cambria" w:hAnsi="Cambria"/>
        <w:sz w:val="20"/>
      </w:rPr>
      <w:t>,  P</w:t>
    </w:r>
    <w:proofErr w:type="gramEnd"/>
    <w:r w:rsidRPr="00B41CDB">
      <w:rPr>
        <w:rFonts w:ascii="Cambria" w:eastAsia="Cambria" w:hAnsi="Cambria"/>
        <w:sz w:val="20"/>
      </w:rPr>
      <w:t xml:space="preserve">. </w:t>
    </w:r>
    <w:r>
      <w:rPr>
        <w:rFonts w:ascii="Cambria" w:eastAsia="Cambria" w:hAnsi="Cambria"/>
        <w:sz w:val="20"/>
      </w:rPr>
      <w:t>5-14</w:t>
    </w:r>
  </w:p>
  <w:p w:rsidR="004D0C03" w:rsidRPr="00B41CDB" w:rsidRDefault="004D0C03" w:rsidP="004D0C03">
    <w:pPr>
      <w:pStyle w:val="Header"/>
      <w:tabs>
        <w:tab w:val="left" w:pos="496"/>
      </w:tabs>
      <w:ind w:right="-567"/>
      <w:rPr>
        <w:rFonts w:ascii="Cambria" w:hAnsi="Cambria"/>
        <w:sz w:val="20"/>
      </w:rPr>
    </w:pPr>
    <w:r w:rsidRPr="00B41CDB">
      <w:rPr>
        <w:rFonts w:ascii="Cambria" w:hAnsi="Cambria" w:cs="Calibri Light"/>
        <w:bCs/>
        <w:sz w:val="20"/>
        <w:shd w:val="clear" w:color="auto" w:fill="FFFFFF"/>
      </w:rPr>
      <w:t xml:space="preserve">DOI: </w:t>
    </w:r>
    <w:r>
      <w:rPr>
        <w:rFonts w:ascii="Cambria" w:hAnsi="Cambria" w:cs="Calibri Light"/>
        <w:bCs/>
        <w:sz w:val="20"/>
        <w:shd w:val="clear" w:color="auto" w:fill="FFFFFF"/>
      </w:rPr>
      <w:t>10.36848/IJBAMR/2020/26215.55550</w:t>
    </w:r>
  </w:p>
  <w:p w:rsidR="004D0C03" w:rsidRDefault="004D0C03" w:rsidP="004D0C03">
    <w:pPr>
      <w:pStyle w:val="Header"/>
    </w:pPr>
  </w:p>
  <w:p w:rsidR="004D0C03" w:rsidRDefault="004D0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03" w:rsidRPr="00B41CDB" w:rsidRDefault="004D0C03" w:rsidP="004D0C03">
    <w:pPr>
      <w:pStyle w:val="Header"/>
      <w:tabs>
        <w:tab w:val="left" w:pos="496"/>
      </w:tabs>
      <w:ind w:right="-567"/>
      <w:rPr>
        <w:rFonts w:ascii="Cambria" w:eastAsia="Cambria" w:hAnsi="Cambria"/>
        <w:sz w:val="20"/>
      </w:rPr>
    </w:pPr>
    <w:r w:rsidRPr="00B41CDB">
      <w:rPr>
        <w:rFonts w:ascii="Cambria" w:eastAsia="Cambria" w:hAnsi="Cambria"/>
        <w:sz w:val="20"/>
      </w:rPr>
      <w:t>Indian Journal of Basic and</w:t>
    </w:r>
    <w:r>
      <w:rPr>
        <w:rFonts w:ascii="Cambria" w:eastAsia="Cambria" w:hAnsi="Cambria"/>
        <w:sz w:val="20"/>
      </w:rPr>
      <w:t xml:space="preserve"> Applied Medical Research; December </w:t>
    </w:r>
    <w:r w:rsidRPr="00B41CDB">
      <w:rPr>
        <w:rFonts w:ascii="Cambria" w:eastAsia="Cambria" w:hAnsi="Cambria"/>
        <w:sz w:val="20"/>
      </w:rPr>
      <w:t>2020:</w:t>
    </w:r>
    <w:r>
      <w:rPr>
        <w:rFonts w:ascii="Cambria" w:eastAsia="Cambria" w:hAnsi="Cambria"/>
        <w:sz w:val="20"/>
      </w:rPr>
      <w:t xml:space="preserve"> Vol.-10, Issue- 1</w:t>
    </w:r>
    <w:proofErr w:type="gramStart"/>
    <w:r w:rsidRPr="00B41CDB">
      <w:rPr>
        <w:rFonts w:ascii="Cambria" w:eastAsia="Cambria" w:hAnsi="Cambria"/>
        <w:sz w:val="20"/>
      </w:rPr>
      <w:t>,  P</w:t>
    </w:r>
    <w:proofErr w:type="gramEnd"/>
    <w:r w:rsidRPr="00B41CDB">
      <w:rPr>
        <w:rFonts w:ascii="Cambria" w:eastAsia="Cambria" w:hAnsi="Cambria"/>
        <w:sz w:val="20"/>
      </w:rPr>
      <w:t xml:space="preserve">. </w:t>
    </w:r>
    <w:r>
      <w:rPr>
        <w:rFonts w:ascii="Cambria" w:eastAsia="Cambria" w:hAnsi="Cambria"/>
        <w:sz w:val="20"/>
      </w:rPr>
      <w:t>5-11</w:t>
    </w:r>
  </w:p>
  <w:p w:rsidR="004D0C03" w:rsidRPr="00B41CDB" w:rsidRDefault="004D0C03" w:rsidP="004D0C03">
    <w:pPr>
      <w:pStyle w:val="Header"/>
      <w:tabs>
        <w:tab w:val="left" w:pos="496"/>
      </w:tabs>
      <w:ind w:right="-567"/>
      <w:rPr>
        <w:rFonts w:ascii="Cambria" w:hAnsi="Cambria"/>
        <w:sz w:val="20"/>
      </w:rPr>
    </w:pPr>
    <w:r w:rsidRPr="00B41CDB">
      <w:rPr>
        <w:rFonts w:ascii="Cambria" w:hAnsi="Cambria" w:cs="Calibri Light"/>
        <w:bCs/>
        <w:sz w:val="20"/>
        <w:shd w:val="clear" w:color="auto" w:fill="FFFFFF"/>
      </w:rPr>
      <w:t xml:space="preserve">DOI: </w:t>
    </w:r>
    <w:r>
      <w:rPr>
        <w:rFonts w:ascii="Cambria" w:hAnsi="Cambria" w:cs="Calibri Light"/>
        <w:bCs/>
        <w:sz w:val="20"/>
        <w:shd w:val="clear" w:color="auto" w:fill="FFFFFF"/>
      </w:rPr>
      <w:t>10.36848/IJBAMR/2020/16215.55515</w:t>
    </w:r>
  </w:p>
  <w:p w:rsidR="004D0C03" w:rsidRDefault="004D0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3081C"/>
    <w:multiLevelType w:val="hybridMultilevel"/>
    <w:tmpl w:val="89027ED0"/>
    <w:lvl w:ilvl="0" w:tplc="5A107A1C">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B7"/>
    <w:rsid w:val="000460C4"/>
    <w:rsid w:val="000762D7"/>
    <w:rsid w:val="001472B1"/>
    <w:rsid w:val="0015430E"/>
    <w:rsid w:val="00172564"/>
    <w:rsid w:val="001B159B"/>
    <w:rsid w:val="001C70A8"/>
    <w:rsid w:val="002D0AFB"/>
    <w:rsid w:val="003412A9"/>
    <w:rsid w:val="003716BC"/>
    <w:rsid w:val="003870CF"/>
    <w:rsid w:val="00392378"/>
    <w:rsid w:val="003A0264"/>
    <w:rsid w:val="004177A3"/>
    <w:rsid w:val="00476498"/>
    <w:rsid w:val="00491D6B"/>
    <w:rsid w:val="004D0C03"/>
    <w:rsid w:val="004E47B7"/>
    <w:rsid w:val="004E7A45"/>
    <w:rsid w:val="0051765C"/>
    <w:rsid w:val="005304D6"/>
    <w:rsid w:val="00531701"/>
    <w:rsid w:val="00535F8F"/>
    <w:rsid w:val="00546611"/>
    <w:rsid w:val="00664A5F"/>
    <w:rsid w:val="006F27B1"/>
    <w:rsid w:val="00710192"/>
    <w:rsid w:val="00767E68"/>
    <w:rsid w:val="007761D0"/>
    <w:rsid w:val="00777BE8"/>
    <w:rsid w:val="00794FD2"/>
    <w:rsid w:val="00803E5F"/>
    <w:rsid w:val="0083435B"/>
    <w:rsid w:val="00853D38"/>
    <w:rsid w:val="00892B59"/>
    <w:rsid w:val="008F1C59"/>
    <w:rsid w:val="0090231F"/>
    <w:rsid w:val="00903651"/>
    <w:rsid w:val="00991E84"/>
    <w:rsid w:val="00A4440C"/>
    <w:rsid w:val="00B02F62"/>
    <w:rsid w:val="00B452EE"/>
    <w:rsid w:val="00BA542A"/>
    <w:rsid w:val="00BB08A9"/>
    <w:rsid w:val="00BE3297"/>
    <w:rsid w:val="00C86B19"/>
    <w:rsid w:val="00CC0D90"/>
    <w:rsid w:val="00CE21C0"/>
    <w:rsid w:val="00CE326A"/>
    <w:rsid w:val="00CF2E53"/>
    <w:rsid w:val="00D338EA"/>
    <w:rsid w:val="00DC0376"/>
    <w:rsid w:val="00E60FB1"/>
    <w:rsid w:val="00EB45A6"/>
    <w:rsid w:val="00ED28C7"/>
    <w:rsid w:val="00F4288D"/>
    <w:rsid w:val="00F42960"/>
    <w:rsid w:val="00F64D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qFormat/>
    <w:rsid w:val="004E47B7"/>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4E47B7"/>
  </w:style>
  <w:style w:type="paragraph" w:styleId="Footer">
    <w:name w:val="footer"/>
    <w:basedOn w:val="Normal"/>
    <w:link w:val="FooterChar"/>
    <w:uiPriority w:val="99"/>
    <w:unhideWhenUsed/>
    <w:rsid w:val="004E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7B7"/>
  </w:style>
  <w:style w:type="character" w:customStyle="1" w:styleId="apple-converted-space">
    <w:name w:val="apple-converted-space"/>
    <w:basedOn w:val="DefaultParagraphFont"/>
    <w:rsid w:val="004E47B7"/>
  </w:style>
  <w:style w:type="character" w:styleId="Emphasis">
    <w:name w:val="Emphasis"/>
    <w:basedOn w:val="DefaultParagraphFont"/>
    <w:uiPriority w:val="20"/>
    <w:qFormat/>
    <w:rsid w:val="004E47B7"/>
    <w:rPr>
      <w:i/>
      <w:iCs/>
    </w:rPr>
  </w:style>
  <w:style w:type="paragraph" w:styleId="ListParagraph">
    <w:name w:val="List Paragraph"/>
    <w:basedOn w:val="Normal"/>
    <w:uiPriority w:val="34"/>
    <w:qFormat/>
    <w:rsid w:val="003870CF"/>
    <w:pPr>
      <w:ind w:left="720"/>
      <w:contextualSpacing/>
      <w:jc w:val="left"/>
    </w:pPr>
  </w:style>
  <w:style w:type="character" w:styleId="Hyperlink">
    <w:name w:val="Hyperlink"/>
    <w:basedOn w:val="DefaultParagraphFont"/>
    <w:uiPriority w:val="99"/>
    <w:unhideWhenUsed/>
    <w:rsid w:val="003870CF"/>
    <w:rPr>
      <w:color w:val="0000FF" w:themeColor="hyperlink"/>
      <w:u w:val="single"/>
    </w:rPr>
  </w:style>
  <w:style w:type="character" w:customStyle="1" w:styleId="reference-accessdate">
    <w:name w:val="reference-accessdate"/>
    <w:basedOn w:val="DefaultParagraphFont"/>
    <w:rsid w:val="003870CF"/>
  </w:style>
  <w:style w:type="table" w:styleId="TableGrid">
    <w:name w:val="Table Grid"/>
    <w:basedOn w:val="TableNormal"/>
    <w:uiPriority w:val="59"/>
    <w:rsid w:val="00546611"/>
    <w:pPr>
      <w:spacing w:after="0" w:line="240" w:lineRule="auto"/>
      <w:jc w:val="left"/>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qFormat/>
    <w:rsid w:val="004E47B7"/>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qFormat/>
    <w:rsid w:val="004E47B7"/>
  </w:style>
  <w:style w:type="paragraph" w:styleId="Footer">
    <w:name w:val="footer"/>
    <w:basedOn w:val="Normal"/>
    <w:link w:val="FooterChar"/>
    <w:uiPriority w:val="99"/>
    <w:unhideWhenUsed/>
    <w:rsid w:val="004E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7B7"/>
  </w:style>
  <w:style w:type="character" w:customStyle="1" w:styleId="apple-converted-space">
    <w:name w:val="apple-converted-space"/>
    <w:basedOn w:val="DefaultParagraphFont"/>
    <w:rsid w:val="004E47B7"/>
  </w:style>
  <w:style w:type="character" w:styleId="Emphasis">
    <w:name w:val="Emphasis"/>
    <w:basedOn w:val="DefaultParagraphFont"/>
    <w:uiPriority w:val="20"/>
    <w:qFormat/>
    <w:rsid w:val="004E47B7"/>
    <w:rPr>
      <w:i/>
      <w:iCs/>
    </w:rPr>
  </w:style>
  <w:style w:type="paragraph" w:styleId="ListParagraph">
    <w:name w:val="List Paragraph"/>
    <w:basedOn w:val="Normal"/>
    <w:uiPriority w:val="34"/>
    <w:qFormat/>
    <w:rsid w:val="003870CF"/>
    <w:pPr>
      <w:ind w:left="720"/>
      <w:contextualSpacing/>
      <w:jc w:val="left"/>
    </w:pPr>
  </w:style>
  <w:style w:type="character" w:styleId="Hyperlink">
    <w:name w:val="Hyperlink"/>
    <w:basedOn w:val="DefaultParagraphFont"/>
    <w:uiPriority w:val="99"/>
    <w:unhideWhenUsed/>
    <w:rsid w:val="003870CF"/>
    <w:rPr>
      <w:color w:val="0000FF" w:themeColor="hyperlink"/>
      <w:u w:val="single"/>
    </w:rPr>
  </w:style>
  <w:style w:type="character" w:customStyle="1" w:styleId="reference-accessdate">
    <w:name w:val="reference-accessdate"/>
    <w:basedOn w:val="DefaultParagraphFont"/>
    <w:rsid w:val="003870CF"/>
  </w:style>
  <w:style w:type="table" w:styleId="TableGrid">
    <w:name w:val="Table Grid"/>
    <w:basedOn w:val="TableNormal"/>
    <w:uiPriority w:val="59"/>
    <w:rsid w:val="00546611"/>
    <w:pPr>
      <w:spacing w:after="0" w:line="240" w:lineRule="auto"/>
      <w:jc w:val="left"/>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Saad%20F%5Bauth%5D"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Egerdie%20B%5Bauth%5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Lee%20C%5Bauth%5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hqlibdoc.who.int/trs/WHO_TRS_921.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Lumbar Region T Score </a:t>
            </a:r>
          </a:p>
        </c:rich>
      </c:tx>
      <c:overlay val="0"/>
    </c:title>
    <c:autoTitleDeleted val="0"/>
    <c:plotArea>
      <c:layout/>
      <c:barChart>
        <c:barDir val="col"/>
        <c:grouping val="clustered"/>
        <c:varyColors val="0"/>
        <c:ser>
          <c:idx val="0"/>
          <c:order val="0"/>
          <c:tx>
            <c:strRef>
              <c:f>Sheet2!$F$1</c:f>
              <c:strCache>
                <c:ptCount val="1"/>
                <c:pt idx="0">
                  <c:v>Base line T-Score</c:v>
                </c:pt>
              </c:strCache>
            </c:strRef>
          </c:tx>
          <c:invertIfNegative val="0"/>
          <c:cat>
            <c:strRef>
              <c:f>Sheet2!$E$2:$E$6</c:f>
              <c:strCache>
                <c:ptCount val="5"/>
                <c:pt idx="0">
                  <c:v>Obs</c:v>
                </c:pt>
                <c:pt idx="1">
                  <c:v>Z</c:v>
                </c:pt>
                <c:pt idx="2">
                  <c:v>D</c:v>
                </c:pt>
                <c:pt idx="3">
                  <c:v>Obs to Z</c:v>
                </c:pt>
                <c:pt idx="4">
                  <c:v>Z to D</c:v>
                </c:pt>
              </c:strCache>
            </c:strRef>
          </c:cat>
          <c:val>
            <c:numRef>
              <c:f>Sheet2!$F$2:$F$6</c:f>
              <c:numCache>
                <c:formatCode>General</c:formatCode>
                <c:ptCount val="5"/>
                <c:pt idx="0">
                  <c:v>0.70000000000000062</c:v>
                </c:pt>
                <c:pt idx="1">
                  <c:v>-0.68518518518518501</c:v>
                </c:pt>
                <c:pt idx="2">
                  <c:v>-1.7051282051281904</c:v>
                </c:pt>
                <c:pt idx="3">
                  <c:v>0.27500000000000002</c:v>
                </c:pt>
                <c:pt idx="4">
                  <c:v>-1.0169999999999886</c:v>
                </c:pt>
              </c:numCache>
            </c:numRef>
          </c:val>
          <c:extLst xmlns:c16r2="http://schemas.microsoft.com/office/drawing/2015/06/chart">
            <c:ext xmlns:c16="http://schemas.microsoft.com/office/drawing/2014/chart" uri="{C3380CC4-5D6E-409C-BE32-E72D297353CC}">
              <c16:uniqueId val="{00000000-AAEB-5947-A0D7-1F1C4FD04E04}"/>
            </c:ext>
          </c:extLst>
        </c:ser>
        <c:ser>
          <c:idx val="1"/>
          <c:order val="1"/>
          <c:tx>
            <c:strRef>
              <c:f>Sheet2!$G$1</c:f>
              <c:strCache>
                <c:ptCount val="1"/>
                <c:pt idx="0">
                  <c:v>T-Score at 3rd month</c:v>
                </c:pt>
              </c:strCache>
            </c:strRef>
          </c:tx>
          <c:invertIfNegative val="0"/>
          <c:cat>
            <c:strRef>
              <c:f>Sheet2!$E$2:$E$6</c:f>
              <c:strCache>
                <c:ptCount val="5"/>
                <c:pt idx="0">
                  <c:v>Obs</c:v>
                </c:pt>
                <c:pt idx="1">
                  <c:v>Z</c:v>
                </c:pt>
                <c:pt idx="2">
                  <c:v>D</c:v>
                </c:pt>
                <c:pt idx="3">
                  <c:v>Obs to Z</c:v>
                </c:pt>
                <c:pt idx="4">
                  <c:v>Z to D</c:v>
                </c:pt>
              </c:strCache>
            </c:strRef>
          </c:cat>
          <c:val>
            <c:numRef>
              <c:f>Sheet2!$G$2:$G$6</c:f>
              <c:numCache>
                <c:formatCode>General</c:formatCode>
                <c:ptCount val="5"/>
                <c:pt idx="0">
                  <c:v>0.92727272727272758</c:v>
                </c:pt>
                <c:pt idx="1">
                  <c:v>2.5925925925926012E-2</c:v>
                </c:pt>
                <c:pt idx="2">
                  <c:v>-0.89736842105262427</c:v>
                </c:pt>
                <c:pt idx="3">
                  <c:v>-0.125</c:v>
                </c:pt>
                <c:pt idx="4">
                  <c:v>-0.86500000000000365</c:v>
                </c:pt>
              </c:numCache>
            </c:numRef>
          </c:val>
          <c:extLst xmlns:c16r2="http://schemas.microsoft.com/office/drawing/2015/06/chart">
            <c:ext xmlns:c16="http://schemas.microsoft.com/office/drawing/2014/chart" uri="{C3380CC4-5D6E-409C-BE32-E72D297353CC}">
              <c16:uniqueId val="{00000001-AAEB-5947-A0D7-1F1C4FD04E04}"/>
            </c:ext>
          </c:extLst>
        </c:ser>
        <c:ser>
          <c:idx val="2"/>
          <c:order val="2"/>
          <c:tx>
            <c:strRef>
              <c:f>Sheet2!$H$1</c:f>
              <c:strCache>
                <c:ptCount val="1"/>
                <c:pt idx="0">
                  <c:v>T-Score at 6th month</c:v>
                </c:pt>
              </c:strCache>
            </c:strRef>
          </c:tx>
          <c:invertIfNegative val="0"/>
          <c:cat>
            <c:strRef>
              <c:f>Sheet2!$E$2:$E$6</c:f>
              <c:strCache>
                <c:ptCount val="5"/>
                <c:pt idx="0">
                  <c:v>Obs</c:v>
                </c:pt>
                <c:pt idx="1">
                  <c:v>Z</c:v>
                </c:pt>
                <c:pt idx="2">
                  <c:v>D</c:v>
                </c:pt>
                <c:pt idx="3">
                  <c:v>Obs to Z</c:v>
                </c:pt>
                <c:pt idx="4">
                  <c:v>Z to D</c:v>
                </c:pt>
              </c:strCache>
            </c:strRef>
          </c:cat>
          <c:val>
            <c:numRef>
              <c:f>Sheet2!$H$2:$H$6</c:f>
              <c:numCache>
                <c:formatCode>General</c:formatCode>
                <c:ptCount val="5"/>
                <c:pt idx="0">
                  <c:v>0.94545454545454533</c:v>
                </c:pt>
                <c:pt idx="1">
                  <c:v>0.51111111111111118</c:v>
                </c:pt>
                <c:pt idx="2">
                  <c:v>-0.59729729729729719</c:v>
                </c:pt>
                <c:pt idx="3">
                  <c:v>0.40000000000000008</c:v>
                </c:pt>
                <c:pt idx="4">
                  <c:v>-0.61600000000000465</c:v>
                </c:pt>
              </c:numCache>
            </c:numRef>
          </c:val>
          <c:extLst xmlns:c16r2="http://schemas.microsoft.com/office/drawing/2015/06/chart">
            <c:ext xmlns:c16="http://schemas.microsoft.com/office/drawing/2014/chart" uri="{C3380CC4-5D6E-409C-BE32-E72D297353CC}">
              <c16:uniqueId val="{00000002-AAEB-5947-A0D7-1F1C4FD04E04}"/>
            </c:ext>
          </c:extLst>
        </c:ser>
        <c:dLbls>
          <c:showLegendKey val="0"/>
          <c:showVal val="0"/>
          <c:showCatName val="0"/>
          <c:showSerName val="0"/>
          <c:showPercent val="0"/>
          <c:showBubbleSize val="0"/>
        </c:dLbls>
        <c:gapWidth val="150"/>
        <c:axId val="305232896"/>
        <c:axId val="306475776"/>
      </c:barChart>
      <c:catAx>
        <c:axId val="305232896"/>
        <c:scaling>
          <c:orientation val="minMax"/>
        </c:scaling>
        <c:delete val="0"/>
        <c:axPos val="b"/>
        <c:numFmt formatCode="General" sourceLinked="0"/>
        <c:majorTickMark val="none"/>
        <c:minorTickMark val="none"/>
        <c:tickLblPos val="nextTo"/>
        <c:crossAx val="306475776"/>
        <c:crosses val="autoZero"/>
        <c:auto val="1"/>
        <c:lblAlgn val="ctr"/>
        <c:lblOffset val="100"/>
        <c:noMultiLvlLbl val="0"/>
      </c:catAx>
      <c:valAx>
        <c:axId val="306475776"/>
        <c:scaling>
          <c:orientation val="minMax"/>
        </c:scaling>
        <c:delete val="0"/>
        <c:axPos val="l"/>
        <c:majorGridlines/>
        <c:numFmt formatCode="General" sourceLinked="1"/>
        <c:majorTickMark val="none"/>
        <c:minorTickMark val="none"/>
        <c:tickLblPos val="nextTo"/>
        <c:crossAx val="30523289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Lumbar Region</a:t>
            </a:r>
          </a:p>
        </c:rich>
      </c:tx>
      <c:overlay val="0"/>
    </c:title>
    <c:autoTitleDeleted val="0"/>
    <c:plotArea>
      <c:layout/>
      <c:barChart>
        <c:barDir val="col"/>
        <c:grouping val="clustered"/>
        <c:varyColors val="0"/>
        <c:ser>
          <c:idx val="0"/>
          <c:order val="0"/>
          <c:tx>
            <c:strRef>
              <c:f>Sheet2!$B$1</c:f>
              <c:strCache>
                <c:ptCount val="1"/>
                <c:pt idx="0">
                  <c:v>L1-L4 Baseline BMD </c:v>
                </c:pt>
              </c:strCache>
            </c:strRef>
          </c:tx>
          <c:invertIfNegative val="0"/>
          <c:cat>
            <c:strRef>
              <c:f>Sheet2!$A$2:$A$6</c:f>
              <c:strCache>
                <c:ptCount val="5"/>
                <c:pt idx="0">
                  <c:v>Obs</c:v>
                </c:pt>
                <c:pt idx="1">
                  <c:v>Z</c:v>
                </c:pt>
                <c:pt idx="2">
                  <c:v>D</c:v>
                </c:pt>
                <c:pt idx="3">
                  <c:v>Obs to Z</c:v>
                </c:pt>
                <c:pt idx="4">
                  <c:v>Z to D</c:v>
                </c:pt>
              </c:strCache>
            </c:strRef>
          </c:cat>
          <c:val>
            <c:numRef>
              <c:f>Sheet2!$B$2:$B$6</c:f>
              <c:numCache>
                <c:formatCode>General</c:formatCode>
                <c:ptCount val="5"/>
                <c:pt idx="0">
                  <c:v>1.242</c:v>
                </c:pt>
                <c:pt idx="1">
                  <c:v>1.1167037037037129</c:v>
                </c:pt>
                <c:pt idx="2">
                  <c:v>0.93946153846153835</c:v>
                </c:pt>
                <c:pt idx="3">
                  <c:v>1.2497499999999906</c:v>
                </c:pt>
                <c:pt idx="4">
                  <c:v>1.08755</c:v>
                </c:pt>
              </c:numCache>
            </c:numRef>
          </c:val>
          <c:extLst xmlns:c16r2="http://schemas.microsoft.com/office/drawing/2015/06/chart">
            <c:ext xmlns:c16="http://schemas.microsoft.com/office/drawing/2014/chart" uri="{C3380CC4-5D6E-409C-BE32-E72D297353CC}">
              <c16:uniqueId val="{00000000-69F1-F846-B581-3A7150D27C3E}"/>
            </c:ext>
          </c:extLst>
        </c:ser>
        <c:ser>
          <c:idx val="1"/>
          <c:order val="1"/>
          <c:tx>
            <c:strRef>
              <c:f>Sheet2!$C$1</c:f>
              <c:strCache>
                <c:ptCount val="1"/>
                <c:pt idx="0">
                  <c:v>L1-L4 BMD after 3rd month</c:v>
                </c:pt>
              </c:strCache>
            </c:strRef>
          </c:tx>
          <c:invertIfNegative val="0"/>
          <c:cat>
            <c:strRef>
              <c:f>Sheet2!$A$2:$A$6</c:f>
              <c:strCache>
                <c:ptCount val="5"/>
                <c:pt idx="0">
                  <c:v>Obs</c:v>
                </c:pt>
                <c:pt idx="1">
                  <c:v>Z</c:v>
                </c:pt>
                <c:pt idx="2">
                  <c:v>D</c:v>
                </c:pt>
                <c:pt idx="3">
                  <c:v>Obs to Z</c:v>
                </c:pt>
                <c:pt idx="4">
                  <c:v>Z to D</c:v>
                </c:pt>
              </c:strCache>
            </c:strRef>
          </c:cat>
          <c:val>
            <c:numRef>
              <c:f>Sheet2!$C$2:$C$6</c:f>
              <c:numCache>
                <c:formatCode>General</c:formatCode>
                <c:ptCount val="5"/>
                <c:pt idx="0">
                  <c:v>1.279272727272728</c:v>
                </c:pt>
                <c:pt idx="1">
                  <c:v>1.214962962962963</c:v>
                </c:pt>
                <c:pt idx="2">
                  <c:v>1.0955789473684217</c:v>
                </c:pt>
                <c:pt idx="3">
                  <c:v>1.1759999999999913</c:v>
                </c:pt>
                <c:pt idx="4">
                  <c:v>1.10728</c:v>
                </c:pt>
              </c:numCache>
            </c:numRef>
          </c:val>
          <c:extLst xmlns:c16r2="http://schemas.microsoft.com/office/drawing/2015/06/chart">
            <c:ext xmlns:c16="http://schemas.microsoft.com/office/drawing/2014/chart" uri="{C3380CC4-5D6E-409C-BE32-E72D297353CC}">
              <c16:uniqueId val="{00000001-69F1-F846-B581-3A7150D27C3E}"/>
            </c:ext>
          </c:extLst>
        </c:ser>
        <c:ser>
          <c:idx val="2"/>
          <c:order val="2"/>
          <c:tx>
            <c:strRef>
              <c:f>Sheet2!$D$1</c:f>
              <c:strCache>
                <c:ptCount val="1"/>
                <c:pt idx="0">
                  <c:v>L1-L4 BMD at 6th month</c:v>
                </c:pt>
              </c:strCache>
            </c:strRef>
          </c:tx>
          <c:invertIfNegative val="0"/>
          <c:cat>
            <c:strRef>
              <c:f>Sheet2!$A$2:$A$6</c:f>
              <c:strCache>
                <c:ptCount val="5"/>
                <c:pt idx="0">
                  <c:v>Obs</c:v>
                </c:pt>
                <c:pt idx="1">
                  <c:v>Z</c:v>
                </c:pt>
                <c:pt idx="2">
                  <c:v>D</c:v>
                </c:pt>
                <c:pt idx="3">
                  <c:v>Obs to Z</c:v>
                </c:pt>
                <c:pt idx="4">
                  <c:v>Z to D</c:v>
                </c:pt>
              </c:strCache>
            </c:strRef>
          </c:cat>
          <c:val>
            <c:numRef>
              <c:f>Sheet2!$D$2:$D$6</c:f>
              <c:numCache>
                <c:formatCode>General</c:formatCode>
                <c:ptCount val="5"/>
                <c:pt idx="0">
                  <c:v>1.2812727272727271</c:v>
                </c:pt>
                <c:pt idx="1">
                  <c:v>1.2701111111111121</c:v>
                </c:pt>
                <c:pt idx="2">
                  <c:v>1.1394594594594594</c:v>
                </c:pt>
                <c:pt idx="3">
                  <c:v>1.25725</c:v>
                </c:pt>
                <c:pt idx="4">
                  <c:v>1.1512899999999997</c:v>
                </c:pt>
              </c:numCache>
            </c:numRef>
          </c:val>
          <c:extLst xmlns:c16r2="http://schemas.microsoft.com/office/drawing/2015/06/chart">
            <c:ext xmlns:c16="http://schemas.microsoft.com/office/drawing/2014/chart" uri="{C3380CC4-5D6E-409C-BE32-E72D297353CC}">
              <c16:uniqueId val="{00000002-69F1-F846-B581-3A7150D27C3E}"/>
            </c:ext>
          </c:extLst>
        </c:ser>
        <c:dLbls>
          <c:showLegendKey val="0"/>
          <c:showVal val="0"/>
          <c:showCatName val="0"/>
          <c:showSerName val="0"/>
          <c:showPercent val="0"/>
          <c:showBubbleSize val="0"/>
        </c:dLbls>
        <c:gapWidth val="150"/>
        <c:axId val="305320320"/>
        <c:axId val="305321856"/>
      </c:barChart>
      <c:catAx>
        <c:axId val="305320320"/>
        <c:scaling>
          <c:orientation val="minMax"/>
        </c:scaling>
        <c:delete val="0"/>
        <c:axPos val="b"/>
        <c:numFmt formatCode="General" sourceLinked="0"/>
        <c:majorTickMark val="none"/>
        <c:minorTickMark val="none"/>
        <c:tickLblPos val="nextTo"/>
        <c:crossAx val="305321856"/>
        <c:crosses val="autoZero"/>
        <c:auto val="1"/>
        <c:lblAlgn val="ctr"/>
        <c:lblOffset val="100"/>
        <c:noMultiLvlLbl val="0"/>
      </c:catAx>
      <c:valAx>
        <c:axId val="305321856"/>
        <c:scaling>
          <c:orientation val="minMax"/>
        </c:scaling>
        <c:delete val="0"/>
        <c:axPos val="l"/>
        <c:majorGridlines/>
        <c:numFmt formatCode="General" sourceLinked="1"/>
        <c:majorTickMark val="none"/>
        <c:minorTickMark val="none"/>
        <c:tickLblPos val="nextTo"/>
        <c:crossAx val="3053203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1</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docmakkar</dc:creator>
  <cp:lastModifiedBy>RDRL</cp:lastModifiedBy>
  <cp:revision>4</cp:revision>
  <cp:lastPrinted>2021-03-05T10:07:00Z</cp:lastPrinted>
  <dcterms:created xsi:type="dcterms:W3CDTF">2021-03-05T09:54:00Z</dcterms:created>
  <dcterms:modified xsi:type="dcterms:W3CDTF">2021-03-05T10:08:00Z</dcterms:modified>
</cp:coreProperties>
</file>