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F6" w:rsidRPr="009E59F6" w:rsidRDefault="009E59F6" w:rsidP="00834C70">
      <w:pPr>
        <w:tabs>
          <w:tab w:val="left" w:pos="1379"/>
          <w:tab w:val="left" w:pos="1380"/>
        </w:tabs>
        <w:spacing w:after="0" w:line="360" w:lineRule="auto"/>
        <w:jc w:val="both"/>
        <w:rPr>
          <w:rFonts w:asciiTheme="majorHAnsi" w:hAnsiTheme="majorHAnsi" w:cs="Times New Roman"/>
          <w:b/>
          <w:sz w:val="24"/>
          <w:szCs w:val="24"/>
        </w:rPr>
      </w:pPr>
      <w:r w:rsidRPr="009E59F6">
        <w:rPr>
          <w:rFonts w:asciiTheme="majorHAnsi" w:hAnsiTheme="majorHAnsi" w:cs="Times New Roman"/>
          <w:b/>
          <w:sz w:val="24"/>
          <w:szCs w:val="24"/>
          <w:highlight w:val="lightGray"/>
        </w:rPr>
        <w:t>Original article:</w:t>
      </w:r>
    </w:p>
    <w:p w:rsidR="00834C70" w:rsidRPr="009E59F6" w:rsidRDefault="00834C70" w:rsidP="00834C70">
      <w:pPr>
        <w:tabs>
          <w:tab w:val="left" w:pos="1379"/>
          <w:tab w:val="left" w:pos="1380"/>
        </w:tabs>
        <w:spacing w:after="0" w:line="360" w:lineRule="auto"/>
        <w:jc w:val="both"/>
        <w:rPr>
          <w:rFonts w:asciiTheme="majorHAnsi" w:hAnsiTheme="majorHAnsi" w:cs="Times New Roman"/>
          <w:b/>
          <w:color w:val="0070C0"/>
          <w:sz w:val="28"/>
          <w:szCs w:val="28"/>
        </w:rPr>
      </w:pPr>
      <w:r w:rsidRPr="009E59F6">
        <w:rPr>
          <w:rFonts w:asciiTheme="majorHAnsi" w:hAnsiTheme="majorHAnsi" w:cs="Times New Roman"/>
          <w:b/>
          <w:color w:val="0070C0"/>
          <w:sz w:val="28"/>
          <w:szCs w:val="28"/>
        </w:rPr>
        <w:t>Study of success rates of different treatment</w:t>
      </w:r>
      <w:r w:rsidRPr="009E59F6">
        <w:rPr>
          <w:rFonts w:asciiTheme="majorHAnsi" w:hAnsiTheme="majorHAnsi" w:cs="Times New Roman"/>
          <w:b/>
          <w:color w:val="0070C0"/>
          <w:spacing w:val="-2"/>
          <w:sz w:val="28"/>
          <w:szCs w:val="28"/>
        </w:rPr>
        <w:t xml:space="preserve"> </w:t>
      </w:r>
      <w:r w:rsidRPr="009E59F6">
        <w:rPr>
          <w:rFonts w:asciiTheme="majorHAnsi" w:hAnsiTheme="majorHAnsi" w:cs="Times New Roman"/>
          <w:b/>
          <w:color w:val="0070C0"/>
          <w:sz w:val="28"/>
          <w:szCs w:val="28"/>
        </w:rPr>
        <w:t>modalities of epistaxis</w:t>
      </w:r>
    </w:p>
    <w:p w:rsidR="009E59F6" w:rsidRPr="009E59F6" w:rsidRDefault="009E59F6" w:rsidP="009E59F6">
      <w:pPr>
        <w:pStyle w:val="BodyText"/>
        <w:spacing w:line="360" w:lineRule="auto"/>
        <w:ind w:right="647"/>
        <w:jc w:val="both"/>
        <w:rPr>
          <w:rFonts w:asciiTheme="majorHAnsi" w:hAnsiTheme="majorHAnsi"/>
          <w:b/>
          <w:sz w:val="20"/>
          <w:szCs w:val="20"/>
        </w:rPr>
      </w:pPr>
      <w:r w:rsidRPr="009E59F6">
        <w:rPr>
          <w:rFonts w:asciiTheme="majorHAnsi" w:hAnsiTheme="majorHAnsi"/>
          <w:b/>
          <w:sz w:val="20"/>
          <w:szCs w:val="20"/>
          <w:vertAlign w:val="superscript"/>
        </w:rPr>
        <w:t>1</w:t>
      </w:r>
      <w:r w:rsidR="00E600A8" w:rsidRPr="009E59F6">
        <w:rPr>
          <w:rFonts w:asciiTheme="majorHAnsi" w:hAnsiTheme="majorHAnsi"/>
          <w:b/>
          <w:sz w:val="20"/>
          <w:szCs w:val="20"/>
        </w:rPr>
        <w:t xml:space="preserve">Dr </w:t>
      </w:r>
      <w:proofErr w:type="spellStart"/>
      <w:r w:rsidR="00E600A8" w:rsidRPr="009E59F6">
        <w:rPr>
          <w:rFonts w:asciiTheme="majorHAnsi" w:hAnsiTheme="majorHAnsi"/>
          <w:b/>
          <w:sz w:val="20"/>
          <w:szCs w:val="20"/>
        </w:rPr>
        <w:t>Abhishek</w:t>
      </w:r>
      <w:proofErr w:type="spellEnd"/>
      <w:r w:rsidR="00E600A8" w:rsidRPr="009E59F6">
        <w:rPr>
          <w:rFonts w:asciiTheme="majorHAnsi" w:hAnsiTheme="majorHAnsi"/>
          <w:b/>
          <w:sz w:val="20"/>
          <w:szCs w:val="20"/>
        </w:rPr>
        <w:t xml:space="preserve"> </w:t>
      </w:r>
      <w:proofErr w:type="spellStart"/>
      <w:r w:rsidR="00E600A8" w:rsidRPr="009E59F6">
        <w:rPr>
          <w:rFonts w:asciiTheme="majorHAnsi" w:hAnsiTheme="majorHAnsi"/>
          <w:b/>
          <w:sz w:val="20"/>
          <w:szCs w:val="20"/>
        </w:rPr>
        <w:t>Gaurav</w:t>
      </w:r>
      <w:proofErr w:type="spellEnd"/>
      <w:r w:rsidR="00E600A8" w:rsidRPr="009E59F6">
        <w:rPr>
          <w:rFonts w:asciiTheme="majorHAnsi" w:hAnsiTheme="majorHAnsi"/>
          <w:b/>
          <w:sz w:val="20"/>
          <w:szCs w:val="20"/>
        </w:rPr>
        <w:t xml:space="preserve">, </w:t>
      </w:r>
      <w:r w:rsidRPr="009E59F6">
        <w:rPr>
          <w:rFonts w:asciiTheme="majorHAnsi" w:hAnsiTheme="majorHAnsi"/>
          <w:b/>
          <w:sz w:val="20"/>
          <w:szCs w:val="20"/>
          <w:vertAlign w:val="superscript"/>
        </w:rPr>
        <w:t>2</w:t>
      </w:r>
      <w:r w:rsidRPr="009E59F6">
        <w:rPr>
          <w:rFonts w:asciiTheme="majorHAnsi" w:hAnsiTheme="majorHAnsi"/>
          <w:b/>
          <w:sz w:val="20"/>
          <w:szCs w:val="20"/>
        </w:rPr>
        <w:t xml:space="preserve">Dr Susan k. Sebastian, </w:t>
      </w:r>
      <w:r w:rsidRPr="009E59F6">
        <w:rPr>
          <w:rFonts w:asciiTheme="majorHAnsi" w:hAnsiTheme="majorHAnsi"/>
          <w:b/>
          <w:sz w:val="20"/>
          <w:szCs w:val="20"/>
          <w:vertAlign w:val="superscript"/>
        </w:rPr>
        <w:t>3</w:t>
      </w:r>
      <w:r w:rsidRPr="009E59F6">
        <w:rPr>
          <w:rFonts w:asciiTheme="majorHAnsi" w:hAnsiTheme="majorHAnsi"/>
          <w:b/>
          <w:sz w:val="20"/>
          <w:szCs w:val="20"/>
        </w:rPr>
        <w:t xml:space="preserve">Dr </w:t>
      </w:r>
      <w:proofErr w:type="spellStart"/>
      <w:r w:rsidRPr="009E59F6">
        <w:rPr>
          <w:rFonts w:asciiTheme="majorHAnsi" w:hAnsiTheme="majorHAnsi"/>
          <w:b/>
          <w:sz w:val="20"/>
          <w:szCs w:val="20"/>
        </w:rPr>
        <w:t>Payal</w:t>
      </w:r>
      <w:proofErr w:type="spellEnd"/>
      <w:r w:rsidRPr="009E59F6">
        <w:rPr>
          <w:rFonts w:asciiTheme="majorHAnsi" w:hAnsiTheme="majorHAnsi"/>
          <w:b/>
          <w:sz w:val="20"/>
          <w:szCs w:val="20"/>
        </w:rPr>
        <w:t xml:space="preserve"> </w:t>
      </w:r>
      <w:proofErr w:type="spellStart"/>
      <w:proofErr w:type="gramStart"/>
      <w:r w:rsidRPr="009E59F6">
        <w:rPr>
          <w:rFonts w:asciiTheme="majorHAnsi" w:hAnsiTheme="majorHAnsi"/>
          <w:b/>
          <w:sz w:val="20"/>
          <w:szCs w:val="20"/>
        </w:rPr>
        <w:t>Garg</w:t>
      </w:r>
      <w:proofErr w:type="spellEnd"/>
      <w:r w:rsidRPr="009E59F6">
        <w:rPr>
          <w:rFonts w:asciiTheme="majorHAnsi" w:hAnsiTheme="majorHAnsi"/>
          <w:b/>
          <w:sz w:val="20"/>
          <w:szCs w:val="20"/>
        </w:rPr>
        <w:t xml:space="preserve"> ,</w:t>
      </w:r>
      <w:proofErr w:type="gramEnd"/>
      <w:r w:rsidRPr="009E59F6">
        <w:rPr>
          <w:rFonts w:asciiTheme="majorHAnsi" w:hAnsiTheme="majorHAnsi"/>
          <w:b/>
          <w:sz w:val="20"/>
          <w:szCs w:val="20"/>
        </w:rPr>
        <w:t xml:space="preserve"> </w:t>
      </w:r>
      <w:r w:rsidRPr="009E59F6">
        <w:rPr>
          <w:rFonts w:asciiTheme="majorHAnsi" w:hAnsiTheme="majorHAnsi"/>
          <w:b/>
          <w:sz w:val="20"/>
          <w:szCs w:val="20"/>
          <w:vertAlign w:val="superscript"/>
        </w:rPr>
        <w:t>4</w:t>
      </w:r>
      <w:r w:rsidRPr="009E59F6">
        <w:rPr>
          <w:rFonts w:asciiTheme="majorHAnsi" w:hAnsiTheme="majorHAnsi"/>
          <w:b/>
          <w:sz w:val="20"/>
          <w:szCs w:val="20"/>
        </w:rPr>
        <w:t xml:space="preserve">Dr.Amit Kumar Sharma </w:t>
      </w:r>
    </w:p>
    <w:p w:rsidR="009E59F6" w:rsidRPr="009E59F6" w:rsidRDefault="009E59F6" w:rsidP="00E600A8">
      <w:pPr>
        <w:pStyle w:val="BodyText"/>
        <w:spacing w:line="360" w:lineRule="auto"/>
        <w:ind w:right="647"/>
        <w:jc w:val="both"/>
        <w:rPr>
          <w:rFonts w:asciiTheme="majorHAnsi" w:hAnsiTheme="majorHAnsi"/>
          <w:sz w:val="20"/>
          <w:szCs w:val="20"/>
        </w:rPr>
      </w:pPr>
    </w:p>
    <w:p w:rsidR="00E600A8" w:rsidRPr="009E59F6" w:rsidRDefault="009E59F6" w:rsidP="00E600A8">
      <w:pPr>
        <w:pStyle w:val="BodyText"/>
        <w:spacing w:line="360" w:lineRule="auto"/>
        <w:ind w:right="647"/>
        <w:jc w:val="both"/>
        <w:rPr>
          <w:rFonts w:asciiTheme="majorHAnsi" w:hAnsiTheme="majorHAnsi"/>
          <w:sz w:val="18"/>
          <w:szCs w:val="18"/>
        </w:rPr>
      </w:pPr>
      <w:r w:rsidRPr="009E59F6">
        <w:rPr>
          <w:rFonts w:asciiTheme="majorHAnsi" w:hAnsiTheme="majorHAnsi"/>
          <w:sz w:val="18"/>
          <w:szCs w:val="18"/>
          <w:vertAlign w:val="superscript"/>
        </w:rPr>
        <w:t>1</w:t>
      </w:r>
      <w:r w:rsidR="00235F96">
        <w:rPr>
          <w:rFonts w:asciiTheme="majorHAnsi" w:hAnsiTheme="majorHAnsi"/>
          <w:sz w:val="18"/>
          <w:szCs w:val="18"/>
        </w:rPr>
        <w:t>Consultant, Advanced ENT and Head Neck H</w:t>
      </w:r>
      <w:r w:rsidR="00E600A8" w:rsidRPr="009E59F6">
        <w:rPr>
          <w:rFonts w:asciiTheme="majorHAnsi" w:hAnsiTheme="majorHAnsi"/>
          <w:sz w:val="18"/>
          <w:szCs w:val="18"/>
        </w:rPr>
        <w:t xml:space="preserve">ospital, </w:t>
      </w:r>
      <w:proofErr w:type="spellStart"/>
      <w:r w:rsidR="00E600A8" w:rsidRPr="009E59F6">
        <w:rPr>
          <w:rFonts w:asciiTheme="majorHAnsi" w:hAnsiTheme="majorHAnsi"/>
          <w:sz w:val="18"/>
          <w:szCs w:val="18"/>
        </w:rPr>
        <w:t>Begusarai</w:t>
      </w:r>
      <w:proofErr w:type="spellEnd"/>
    </w:p>
    <w:p w:rsidR="009E59F6" w:rsidRPr="00F93212" w:rsidRDefault="009E59F6" w:rsidP="009E59F6">
      <w:pPr>
        <w:pStyle w:val="BodyText"/>
        <w:spacing w:line="360" w:lineRule="auto"/>
        <w:jc w:val="both"/>
        <w:rPr>
          <w:rFonts w:asciiTheme="majorHAnsi" w:hAnsiTheme="majorHAnsi"/>
          <w:spacing w:val="-4"/>
          <w:sz w:val="18"/>
          <w:szCs w:val="18"/>
        </w:rPr>
      </w:pPr>
      <w:r w:rsidRPr="009E59F6">
        <w:rPr>
          <w:rFonts w:asciiTheme="majorHAnsi" w:hAnsiTheme="majorHAnsi"/>
          <w:sz w:val="18"/>
          <w:szCs w:val="18"/>
          <w:vertAlign w:val="superscript"/>
        </w:rPr>
        <w:t>2</w:t>
      </w:r>
      <w:r w:rsidRPr="009E59F6">
        <w:rPr>
          <w:rFonts w:asciiTheme="majorHAnsi" w:hAnsiTheme="majorHAnsi"/>
          <w:spacing w:val="-4"/>
          <w:sz w:val="18"/>
          <w:szCs w:val="18"/>
        </w:rPr>
        <w:t xml:space="preserve"> </w:t>
      </w:r>
      <w:proofErr w:type="gramStart"/>
      <w:r w:rsidRPr="00F93212">
        <w:rPr>
          <w:rFonts w:asciiTheme="majorHAnsi" w:hAnsiTheme="majorHAnsi"/>
          <w:spacing w:val="-4"/>
          <w:sz w:val="18"/>
          <w:szCs w:val="18"/>
        </w:rPr>
        <w:t xml:space="preserve">HOD </w:t>
      </w:r>
      <w:r>
        <w:rPr>
          <w:rFonts w:asciiTheme="majorHAnsi" w:hAnsiTheme="majorHAnsi"/>
          <w:spacing w:val="-4"/>
          <w:sz w:val="18"/>
          <w:szCs w:val="18"/>
        </w:rPr>
        <w:t>,</w:t>
      </w:r>
      <w:proofErr w:type="gramEnd"/>
      <w:r>
        <w:rPr>
          <w:rFonts w:asciiTheme="majorHAnsi" w:hAnsiTheme="majorHAnsi"/>
          <w:spacing w:val="-4"/>
          <w:sz w:val="18"/>
          <w:szCs w:val="18"/>
        </w:rPr>
        <w:t xml:space="preserve"> </w:t>
      </w:r>
      <w:proofErr w:type="spellStart"/>
      <w:r w:rsidRPr="00F93212">
        <w:rPr>
          <w:rFonts w:asciiTheme="majorHAnsi" w:hAnsiTheme="majorHAnsi"/>
          <w:spacing w:val="-4"/>
          <w:sz w:val="18"/>
          <w:szCs w:val="18"/>
        </w:rPr>
        <w:t>Dept</w:t>
      </w:r>
      <w:proofErr w:type="spellEnd"/>
      <w:r w:rsidRPr="00F93212">
        <w:rPr>
          <w:rFonts w:asciiTheme="majorHAnsi" w:hAnsiTheme="majorHAnsi"/>
          <w:spacing w:val="-4"/>
          <w:sz w:val="18"/>
          <w:szCs w:val="18"/>
        </w:rPr>
        <w:t xml:space="preserve"> of ENT, St. Stephens Hospital, Delhi</w:t>
      </w:r>
    </w:p>
    <w:p w:rsidR="009E59F6" w:rsidRPr="009E59F6" w:rsidRDefault="009E59F6" w:rsidP="009E59F6">
      <w:pPr>
        <w:pStyle w:val="BodyText"/>
        <w:spacing w:line="360" w:lineRule="auto"/>
        <w:ind w:right="647"/>
        <w:jc w:val="both"/>
        <w:rPr>
          <w:rFonts w:asciiTheme="majorHAnsi" w:hAnsiTheme="majorHAnsi"/>
          <w:sz w:val="18"/>
          <w:szCs w:val="18"/>
        </w:rPr>
      </w:pPr>
      <w:proofErr w:type="gramStart"/>
      <w:r w:rsidRPr="009E59F6">
        <w:rPr>
          <w:rFonts w:asciiTheme="majorHAnsi" w:hAnsiTheme="majorHAnsi"/>
          <w:sz w:val="18"/>
          <w:szCs w:val="18"/>
          <w:vertAlign w:val="superscript"/>
        </w:rPr>
        <w:t>3</w:t>
      </w:r>
      <w:r w:rsidR="00EF154D">
        <w:rPr>
          <w:rFonts w:asciiTheme="majorHAnsi" w:hAnsiTheme="majorHAnsi"/>
          <w:sz w:val="18"/>
          <w:szCs w:val="18"/>
        </w:rPr>
        <w:t>Consultant ,</w:t>
      </w:r>
      <w:proofErr w:type="gramEnd"/>
      <w:r w:rsidR="00EF154D">
        <w:rPr>
          <w:rFonts w:asciiTheme="majorHAnsi" w:hAnsiTheme="majorHAnsi"/>
          <w:sz w:val="18"/>
          <w:szCs w:val="18"/>
        </w:rPr>
        <w:t xml:space="preserve"> Department</w:t>
      </w:r>
      <w:r w:rsidRPr="009E59F6">
        <w:rPr>
          <w:rFonts w:asciiTheme="majorHAnsi" w:hAnsiTheme="majorHAnsi"/>
          <w:sz w:val="18"/>
          <w:szCs w:val="18"/>
        </w:rPr>
        <w:t xml:space="preserve">  of ENT., </w:t>
      </w:r>
      <w:proofErr w:type="spellStart"/>
      <w:r w:rsidRPr="009E59F6">
        <w:rPr>
          <w:rFonts w:asciiTheme="majorHAnsi" w:hAnsiTheme="majorHAnsi"/>
          <w:sz w:val="18"/>
          <w:szCs w:val="18"/>
        </w:rPr>
        <w:t>St.Stephens</w:t>
      </w:r>
      <w:proofErr w:type="spellEnd"/>
      <w:r w:rsidRPr="009E59F6">
        <w:rPr>
          <w:rFonts w:asciiTheme="majorHAnsi" w:hAnsiTheme="majorHAnsi"/>
          <w:sz w:val="18"/>
          <w:szCs w:val="18"/>
        </w:rPr>
        <w:t xml:space="preserve"> Hospital , Delhi</w:t>
      </w:r>
    </w:p>
    <w:p w:rsidR="009E59F6" w:rsidRPr="009E59F6" w:rsidRDefault="009E59F6" w:rsidP="009E59F6">
      <w:pPr>
        <w:pStyle w:val="BodyText"/>
        <w:spacing w:line="360" w:lineRule="auto"/>
        <w:ind w:right="647"/>
        <w:jc w:val="both"/>
        <w:rPr>
          <w:rFonts w:asciiTheme="majorHAnsi" w:hAnsiTheme="majorHAnsi"/>
          <w:sz w:val="18"/>
          <w:szCs w:val="18"/>
        </w:rPr>
      </w:pPr>
      <w:r w:rsidRPr="009E59F6">
        <w:rPr>
          <w:rFonts w:asciiTheme="majorHAnsi" w:hAnsiTheme="majorHAnsi"/>
          <w:sz w:val="18"/>
          <w:szCs w:val="18"/>
          <w:vertAlign w:val="superscript"/>
        </w:rPr>
        <w:t>4</w:t>
      </w:r>
      <w:r w:rsidRPr="009E59F6">
        <w:rPr>
          <w:rFonts w:asciiTheme="majorHAnsi" w:hAnsiTheme="majorHAnsi"/>
          <w:sz w:val="18"/>
          <w:szCs w:val="18"/>
        </w:rPr>
        <w:t xml:space="preserve">Assistant </w:t>
      </w:r>
      <w:proofErr w:type="gramStart"/>
      <w:r w:rsidRPr="009E59F6">
        <w:rPr>
          <w:rFonts w:asciiTheme="majorHAnsi" w:hAnsiTheme="majorHAnsi"/>
          <w:sz w:val="18"/>
          <w:szCs w:val="18"/>
        </w:rPr>
        <w:t>Professor ,</w:t>
      </w:r>
      <w:proofErr w:type="gramEnd"/>
      <w:r w:rsidRPr="009E59F6">
        <w:rPr>
          <w:rFonts w:asciiTheme="majorHAnsi" w:hAnsiTheme="majorHAnsi"/>
          <w:sz w:val="18"/>
          <w:szCs w:val="18"/>
        </w:rPr>
        <w:t xml:space="preserve"> Department of ENT , Indira Gandhi Institute of Medical </w:t>
      </w:r>
      <w:proofErr w:type="spellStart"/>
      <w:r w:rsidRPr="009E59F6">
        <w:rPr>
          <w:rFonts w:asciiTheme="majorHAnsi" w:hAnsiTheme="majorHAnsi"/>
          <w:sz w:val="18"/>
          <w:szCs w:val="18"/>
        </w:rPr>
        <w:t>Sciences.Patna</w:t>
      </w:r>
      <w:proofErr w:type="spellEnd"/>
    </w:p>
    <w:p w:rsidR="00E600A8" w:rsidRPr="009E59F6" w:rsidRDefault="00E600A8" w:rsidP="00E600A8">
      <w:pPr>
        <w:pStyle w:val="BodyText"/>
        <w:spacing w:line="360" w:lineRule="auto"/>
        <w:ind w:right="647"/>
        <w:jc w:val="both"/>
        <w:rPr>
          <w:rFonts w:asciiTheme="majorHAnsi" w:hAnsiTheme="majorHAnsi"/>
          <w:sz w:val="18"/>
          <w:szCs w:val="18"/>
        </w:rPr>
      </w:pPr>
      <w:r w:rsidRPr="009E59F6">
        <w:rPr>
          <w:rFonts w:asciiTheme="majorHAnsi" w:hAnsiTheme="majorHAnsi"/>
          <w:sz w:val="18"/>
          <w:szCs w:val="18"/>
        </w:rPr>
        <w:t xml:space="preserve">Corresponding </w:t>
      </w:r>
      <w:proofErr w:type="gramStart"/>
      <w:r w:rsidRPr="009E59F6">
        <w:rPr>
          <w:rFonts w:asciiTheme="majorHAnsi" w:hAnsiTheme="majorHAnsi"/>
          <w:sz w:val="18"/>
          <w:szCs w:val="18"/>
        </w:rPr>
        <w:t>author</w:t>
      </w:r>
      <w:r w:rsidR="009E59F6" w:rsidRPr="009E59F6">
        <w:rPr>
          <w:rFonts w:asciiTheme="majorHAnsi" w:hAnsiTheme="majorHAnsi"/>
          <w:sz w:val="18"/>
          <w:szCs w:val="18"/>
        </w:rPr>
        <w:t xml:space="preserve"> :</w:t>
      </w:r>
      <w:proofErr w:type="gramEnd"/>
      <w:r w:rsidR="009E59F6" w:rsidRPr="009E59F6">
        <w:rPr>
          <w:rFonts w:asciiTheme="majorHAnsi" w:hAnsiTheme="majorHAnsi"/>
          <w:sz w:val="18"/>
          <w:szCs w:val="18"/>
        </w:rPr>
        <w:t xml:space="preserve"> </w:t>
      </w:r>
      <w:proofErr w:type="spellStart"/>
      <w:r w:rsidRPr="009E59F6">
        <w:rPr>
          <w:rFonts w:asciiTheme="majorHAnsi" w:hAnsiTheme="majorHAnsi"/>
          <w:sz w:val="18"/>
          <w:szCs w:val="18"/>
        </w:rPr>
        <w:t>Dr.Amit</w:t>
      </w:r>
      <w:proofErr w:type="spellEnd"/>
      <w:r w:rsidRPr="009E59F6">
        <w:rPr>
          <w:rFonts w:asciiTheme="majorHAnsi" w:hAnsiTheme="majorHAnsi"/>
          <w:sz w:val="18"/>
          <w:szCs w:val="18"/>
        </w:rPr>
        <w:t xml:space="preserve"> Kumar Sharma </w:t>
      </w:r>
      <w:r w:rsidR="009E59F6" w:rsidRPr="009E59F6">
        <w:rPr>
          <w:rFonts w:asciiTheme="majorHAnsi" w:hAnsiTheme="majorHAnsi"/>
          <w:sz w:val="18"/>
          <w:szCs w:val="18"/>
        </w:rPr>
        <w:t xml:space="preserve">, </w:t>
      </w:r>
      <w:r w:rsidRPr="009E59F6">
        <w:rPr>
          <w:rFonts w:asciiTheme="majorHAnsi" w:hAnsiTheme="majorHAnsi"/>
          <w:sz w:val="18"/>
          <w:szCs w:val="18"/>
        </w:rPr>
        <w:t xml:space="preserve">Assistant Professor </w:t>
      </w:r>
      <w:r w:rsidR="009E59F6" w:rsidRPr="009E59F6">
        <w:rPr>
          <w:rFonts w:asciiTheme="majorHAnsi" w:hAnsiTheme="majorHAnsi"/>
          <w:sz w:val="18"/>
          <w:szCs w:val="18"/>
        </w:rPr>
        <w:t xml:space="preserve">, </w:t>
      </w:r>
      <w:r w:rsidRPr="009E59F6">
        <w:rPr>
          <w:rFonts w:asciiTheme="majorHAnsi" w:hAnsiTheme="majorHAnsi"/>
          <w:sz w:val="18"/>
          <w:szCs w:val="18"/>
        </w:rPr>
        <w:t>Department of ENT</w:t>
      </w:r>
      <w:r w:rsidR="009E59F6" w:rsidRPr="009E59F6">
        <w:rPr>
          <w:rFonts w:asciiTheme="majorHAnsi" w:hAnsiTheme="majorHAnsi"/>
          <w:sz w:val="18"/>
          <w:szCs w:val="18"/>
        </w:rPr>
        <w:t xml:space="preserve"> , </w:t>
      </w:r>
      <w:r w:rsidRPr="009E59F6">
        <w:rPr>
          <w:rFonts w:asciiTheme="majorHAnsi" w:hAnsiTheme="majorHAnsi"/>
          <w:sz w:val="18"/>
          <w:szCs w:val="18"/>
        </w:rPr>
        <w:t>Indira Gandh</w:t>
      </w:r>
      <w:r w:rsidR="009E59F6">
        <w:rPr>
          <w:rFonts w:asciiTheme="majorHAnsi" w:hAnsiTheme="majorHAnsi"/>
          <w:sz w:val="18"/>
          <w:szCs w:val="18"/>
        </w:rPr>
        <w:t xml:space="preserve">i Institute of Medical Sciences, </w:t>
      </w:r>
      <w:r w:rsidRPr="009E59F6">
        <w:rPr>
          <w:rFonts w:asciiTheme="majorHAnsi" w:hAnsiTheme="majorHAnsi"/>
          <w:sz w:val="18"/>
          <w:szCs w:val="18"/>
        </w:rPr>
        <w:t>Patna</w:t>
      </w:r>
    </w:p>
    <w:p w:rsidR="009E59F6" w:rsidRPr="009E59F6" w:rsidRDefault="009E59F6" w:rsidP="00E600A8">
      <w:pPr>
        <w:pStyle w:val="BodyText"/>
        <w:spacing w:line="360" w:lineRule="auto"/>
        <w:ind w:right="647"/>
        <w:jc w:val="both"/>
        <w:rPr>
          <w:rFonts w:asciiTheme="majorHAnsi" w:hAnsiTheme="majorHAnsi"/>
          <w:sz w:val="24"/>
          <w:szCs w:val="24"/>
        </w:rPr>
      </w:pPr>
      <w:bookmarkStart w:id="0" w:name="_GoBack"/>
      <w:bookmarkEnd w:id="0"/>
    </w:p>
    <w:p w:rsidR="00FB7B17" w:rsidRPr="00EF154D" w:rsidRDefault="00FB7B17" w:rsidP="00FB7B17">
      <w:pPr>
        <w:pStyle w:val="BodyText"/>
        <w:spacing w:line="360" w:lineRule="auto"/>
        <w:ind w:right="647"/>
        <w:jc w:val="both"/>
        <w:rPr>
          <w:b/>
          <w:sz w:val="20"/>
          <w:szCs w:val="20"/>
        </w:rPr>
      </w:pPr>
      <w:r w:rsidRPr="00EF154D">
        <w:rPr>
          <w:b/>
          <w:sz w:val="20"/>
          <w:szCs w:val="20"/>
        </w:rPr>
        <w:t>Abstract:</w:t>
      </w:r>
    </w:p>
    <w:p w:rsidR="00FB7B17" w:rsidRPr="00EF154D" w:rsidRDefault="00FB7B17" w:rsidP="00FB7B17">
      <w:pPr>
        <w:pStyle w:val="BodyText"/>
        <w:spacing w:line="360" w:lineRule="auto"/>
        <w:ind w:right="647"/>
        <w:jc w:val="both"/>
        <w:rPr>
          <w:b/>
          <w:sz w:val="18"/>
          <w:szCs w:val="18"/>
        </w:rPr>
      </w:pPr>
      <w:r w:rsidRPr="00EF154D">
        <w:rPr>
          <w:b/>
          <w:sz w:val="18"/>
          <w:szCs w:val="18"/>
        </w:rPr>
        <w:t xml:space="preserve">Introduction: </w:t>
      </w:r>
      <w:r w:rsidRPr="00EF154D">
        <w:rPr>
          <w:sz w:val="18"/>
          <w:szCs w:val="18"/>
        </w:rPr>
        <w:t>Epistaxis is defined as bleeding from the nose. Most epistaxis patients can be managed by simple conservative techniques such as nasal packing or cauterization of bleeding points directly or with the help of endoscopes.</w:t>
      </w:r>
    </w:p>
    <w:p w:rsidR="00FB7B17" w:rsidRPr="00EF154D" w:rsidRDefault="00FB7B17" w:rsidP="00FB7B17">
      <w:pPr>
        <w:pStyle w:val="BodyText"/>
        <w:spacing w:line="360" w:lineRule="auto"/>
        <w:ind w:right="730"/>
        <w:jc w:val="both"/>
        <w:rPr>
          <w:b/>
          <w:sz w:val="18"/>
          <w:szCs w:val="18"/>
        </w:rPr>
      </w:pPr>
      <w:r w:rsidRPr="00EF154D">
        <w:rPr>
          <w:b/>
          <w:sz w:val="18"/>
          <w:szCs w:val="18"/>
        </w:rPr>
        <w:t xml:space="preserve">Material and methods: </w:t>
      </w:r>
      <w:r w:rsidRPr="00EF154D">
        <w:rPr>
          <w:sz w:val="18"/>
          <w:szCs w:val="18"/>
        </w:rPr>
        <w:t xml:space="preserve">A study was conducted in Department of Otorhinolaryngology at St. Stephen’s Hospital, on 100 patients with </w:t>
      </w:r>
      <w:proofErr w:type="gramStart"/>
      <w:r w:rsidRPr="00EF154D">
        <w:rPr>
          <w:sz w:val="18"/>
          <w:szCs w:val="18"/>
        </w:rPr>
        <w:t>epistaxis</w:t>
      </w:r>
      <w:r w:rsidRPr="00EF154D">
        <w:rPr>
          <w:b/>
          <w:sz w:val="18"/>
          <w:szCs w:val="18"/>
        </w:rPr>
        <w:t xml:space="preserve"> .</w:t>
      </w:r>
      <w:proofErr w:type="gramEnd"/>
      <w:r w:rsidRPr="00EF154D">
        <w:rPr>
          <w:b/>
          <w:sz w:val="18"/>
          <w:szCs w:val="18"/>
        </w:rPr>
        <w:t xml:space="preserve"> </w:t>
      </w:r>
      <w:proofErr w:type="gramStart"/>
      <w:r w:rsidRPr="00EF154D">
        <w:rPr>
          <w:sz w:val="18"/>
          <w:szCs w:val="18"/>
        </w:rPr>
        <w:t>Patients presenting in the ENT OPD or Casualty, or referred from other departments in St. Stephen’s hospital, New Delhi.</w:t>
      </w:r>
      <w:proofErr w:type="gramEnd"/>
      <w:r w:rsidRPr="00EF154D">
        <w:rPr>
          <w:b/>
          <w:sz w:val="18"/>
          <w:szCs w:val="18"/>
        </w:rPr>
        <w:t xml:space="preserve"> </w:t>
      </w:r>
      <w:r w:rsidRPr="00EF154D">
        <w:rPr>
          <w:sz w:val="18"/>
          <w:szCs w:val="18"/>
        </w:rPr>
        <w:t>Hundred patients of both sexes and all age groups presenting with epistaxis were included in this</w:t>
      </w:r>
      <w:r w:rsidRPr="00EF154D">
        <w:rPr>
          <w:spacing w:val="-5"/>
          <w:sz w:val="18"/>
          <w:szCs w:val="18"/>
        </w:rPr>
        <w:t xml:space="preserve"> </w:t>
      </w:r>
      <w:r w:rsidRPr="00EF154D">
        <w:rPr>
          <w:sz w:val="18"/>
          <w:szCs w:val="18"/>
        </w:rPr>
        <w:t>study.</w:t>
      </w:r>
    </w:p>
    <w:p w:rsidR="00FB7B17" w:rsidRPr="00EF154D" w:rsidRDefault="00FB7B17" w:rsidP="00FB7B17">
      <w:pPr>
        <w:pStyle w:val="BodyText"/>
        <w:spacing w:line="360" w:lineRule="auto"/>
        <w:ind w:right="654"/>
        <w:jc w:val="both"/>
        <w:rPr>
          <w:sz w:val="18"/>
          <w:szCs w:val="18"/>
        </w:rPr>
      </w:pPr>
      <w:r w:rsidRPr="00EF154D">
        <w:rPr>
          <w:b/>
          <w:sz w:val="18"/>
          <w:szCs w:val="18"/>
        </w:rPr>
        <w:t>Results:</w:t>
      </w:r>
      <w:r w:rsidRPr="00EF154D">
        <w:rPr>
          <w:sz w:val="18"/>
          <w:szCs w:val="18"/>
        </w:rPr>
        <w:t xml:space="preserve"> As per our study, anterior nasal packing was successful in 68% patients on initial attempt. In 18 (18%) out of 100 patients of bleeding could only be controlled by endoscopic </w:t>
      </w:r>
      <w:proofErr w:type="spellStart"/>
      <w:r w:rsidRPr="00EF154D">
        <w:rPr>
          <w:sz w:val="18"/>
          <w:szCs w:val="18"/>
        </w:rPr>
        <w:t>cauterisation</w:t>
      </w:r>
      <w:proofErr w:type="spellEnd"/>
      <w:r w:rsidRPr="00EF154D">
        <w:rPr>
          <w:sz w:val="18"/>
          <w:szCs w:val="18"/>
        </w:rPr>
        <w:t xml:space="preserve"> of the source of the bleeding. 1 (1%) patient, responded to posterior nasal packing. Surgical methods such as Nasal bone reduction and </w:t>
      </w:r>
      <w:proofErr w:type="spellStart"/>
      <w:r w:rsidRPr="00EF154D">
        <w:rPr>
          <w:sz w:val="18"/>
          <w:szCs w:val="18"/>
        </w:rPr>
        <w:t>septoplasty</w:t>
      </w:r>
      <w:proofErr w:type="spellEnd"/>
      <w:r w:rsidRPr="00EF154D">
        <w:rPr>
          <w:sz w:val="18"/>
          <w:szCs w:val="18"/>
        </w:rPr>
        <w:t xml:space="preserve"> were done in 10 (10%) of patients.</w:t>
      </w:r>
    </w:p>
    <w:p w:rsidR="00FB7B17" w:rsidRPr="00EF154D" w:rsidRDefault="00FB7B17" w:rsidP="00FB7B17">
      <w:pPr>
        <w:pStyle w:val="BodyText"/>
        <w:spacing w:line="360" w:lineRule="auto"/>
        <w:ind w:right="651"/>
        <w:jc w:val="both"/>
        <w:rPr>
          <w:sz w:val="18"/>
          <w:szCs w:val="18"/>
        </w:rPr>
      </w:pPr>
      <w:r w:rsidRPr="00EF154D">
        <w:rPr>
          <w:b/>
          <w:sz w:val="18"/>
          <w:szCs w:val="18"/>
        </w:rPr>
        <w:t xml:space="preserve">Conclusion: </w:t>
      </w:r>
      <w:r w:rsidRPr="00EF154D">
        <w:rPr>
          <w:sz w:val="18"/>
          <w:szCs w:val="18"/>
        </w:rPr>
        <w:t xml:space="preserve">Majority of cases responded to anterior nasal packing. Rest of the cases were surgically managed which included endoscopic </w:t>
      </w:r>
      <w:proofErr w:type="spellStart"/>
      <w:r w:rsidRPr="00EF154D">
        <w:rPr>
          <w:sz w:val="18"/>
          <w:szCs w:val="18"/>
        </w:rPr>
        <w:t>cauterisation</w:t>
      </w:r>
      <w:proofErr w:type="spellEnd"/>
      <w:r w:rsidRPr="00EF154D">
        <w:rPr>
          <w:sz w:val="18"/>
          <w:szCs w:val="18"/>
        </w:rPr>
        <w:t xml:space="preserve"> of the source of the bleed which included </w:t>
      </w:r>
      <w:proofErr w:type="spellStart"/>
      <w:r w:rsidRPr="00EF154D">
        <w:rPr>
          <w:sz w:val="18"/>
          <w:szCs w:val="18"/>
        </w:rPr>
        <w:t>cauterisation</w:t>
      </w:r>
      <w:proofErr w:type="spellEnd"/>
      <w:r w:rsidRPr="00EF154D">
        <w:rPr>
          <w:sz w:val="18"/>
          <w:szCs w:val="18"/>
        </w:rPr>
        <w:t xml:space="preserve"> of </w:t>
      </w:r>
      <w:proofErr w:type="spellStart"/>
      <w:r w:rsidRPr="00EF154D">
        <w:rPr>
          <w:sz w:val="18"/>
          <w:szCs w:val="18"/>
        </w:rPr>
        <w:t>Sphenopalatine</w:t>
      </w:r>
      <w:proofErr w:type="spellEnd"/>
      <w:r w:rsidRPr="00EF154D">
        <w:rPr>
          <w:sz w:val="18"/>
          <w:szCs w:val="18"/>
        </w:rPr>
        <w:t xml:space="preserve"> artery in some</w:t>
      </w:r>
      <w:r w:rsidRPr="00EF154D">
        <w:rPr>
          <w:spacing w:val="-2"/>
          <w:sz w:val="18"/>
          <w:szCs w:val="18"/>
        </w:rPr>
        <w:t xml:space="preserve"> </w:t>
      </w:r>
      <w:r w:rsidRPr="00EF154D">
        <w:rPr>
          <w:sz w:val="18"/>
          <w:szCs w:val="18"/>
        </w:rPr>
        <w:t>cases.</w:t>
      </w:r>
    </w:p>
    <w:p w:rsidR="00834C70" w:rsidRPr="00EF154D" w:rsidRDefault="00834C70" w:rsidP="00834C70">
      <w:pPr>
        <w:pStyle w:val="BodyText"/>
        <w:spacing w:line="360" w:lineRule="auto"/>
        <w:ind w:right="651"/>
        <w:jc w:val="both"/>
        <w:rPr>
          <w:sz w:val="18"/>
          <w:szCs w:val="18"/>
        </w:rPr>
      </w:pPr>
    </w:p>
    <w:p w:rsidR="00834C70" w:rsidRPr="00EF154D" w:rsidRDefault="00834C70" w:rsidP="00834C70">
      <w:pPr>
        <w:pStyle w:val="BodyText"/>
        <w:spacing w:line="360" w:lineRule="auto"/>
        <w:ind w:right="651"/>
        <w:jc w:val="both"/>
        <w:rPr>
          <w:b/>
          <w:sz w:val="20"/>
          <w:szCs w:val="20"/>
        </w:rPr>
      </w:pPr>
      <w:r w:rsidRPr="00EF154D">
        <w:rPr>
          <w:b/>
          <w:sz w:val="20"/>
          <w:szCs w:val="20"/>
        </w:rPr>
        <w:t>Introduction:</w:t>
      </w:r>
    </w:p>
    <w:p w:rsidR="00834C70" w:rsidRPr="00EF154D" w:rsidRDefault="00834C70" w:rsidP="00834C70">
      <w:pPr>
        <w:pStyle w:val="BodyText"/>
        <w:spacing w:line="360" w:lineRule="auto"/>
        <w:ind w:right="651"/>
        <w:jc w:val="both"/>
        <w:rPr>
          <w:sz w:val="20"/>
          <w:szCs w:val="20"/>
        </w:rPr>
      </w:pPr>
      <w:r w:rsidRPr="00EF154D">
        <w:rPr>
          <w:sz w:val="20"/>
          <w:szCs w:val="20"/>
        </w:rPr>
        <w:t xml:space="preserve">Epistaxis is defined as bleeding from the nose. Most epistaxis patients can be managed by simple conservative techniques such as nasal packing or cauterization of bleeding points directly or with the help of endoscopes. </w:t>
      </w:r>
      <w:r w:rsidR="005230D6" w:rsidRPr="00EF154D">
        <w:rPr>
          <w:sz w:val="20"/>
          <w:szCs w:val="20"/>
          <w:vertAlign w:val="superscript"/>
        </w:rPr>
        <w:t>1</w:t>
      </w:r>
      <w:r w:rsidRPr="00EF154D">
        <w:rPr>
          <w:sz w:val="20"/>
          <w:szCs w:val="20"/>
        </w:rPr>
        <w:t xml:space="preserve">Interventional treatment i.e. surgical treatment is warranted when bleeding is continued after adequate conservative treatment or when bleeding is massive and severe, compromising the vital prognosis. This includes </w:t>
      </w:r>
      <w:proofErr w:type="spellStart"/>
      <w:r w:rsidRPr="00EF154D">
        <w:rPr>
          <w:sz w:val="20"/>
          <w:szCs w:val="20"/>
        </w:rPr>
        <w:t>septal</w:t>
      </w:r>
      <w:proofErr w:type="spellEnd"/>
      <w:r w:rsidRPr="00EF154D">
        <w:rPr>
          <w:sz w:val="20"/>
          <w:szCs w:val="20"/>
        </w:rPr>
        <w:t xml:space="preserve"> surgery, sinus surgery, and arterial ligation and embolization procedures. Each patient of epistaxis should be clinically assessed and managed as per individual merits. The traditional methods of management of epistaxis include anterior nasal packing, nasal balloons and arterial ligation.</w:t>
      </w:r>
      <w:r w:rsidR="005230D6" w:rsidRPr="00EF154D">
        <w:rPr>
          <w:sz w:val="20"/>
          <w:szCs w:val="20"/>
          <w:vertAlign w:val="superscript"/>
        </w:rPr>
        <w:t>2</w:t>
      </w:r>
      <w:r w:rsidRPr="00EF154D">
        <w:rPr>
          <w:sz w:val="20"/>
          <w:szCs w:val="20"/>
        </w:rPr>
        <w:t xml:space="preserve"> Nasal packing is the most commonly employed method. It is associated with high failure rate of 26– 50%, along with marked discomfort, pain and swallowing difficulty. Further nasal packing may lead to a number of local and systemic complications. Local complications comprise of sinusitis, </w:t>
      </w:r>
      <w:proofErr w:type="spellStart"/>
      <w:r w:rsidRPr="00EF154D">
        <w:rPr>
          <w:sz w:val="20"/>
          <w:szCs w:val="20"/>
        </w:rPr>
        <w:t>synechiae</w:t>
      </w:r>
      <w:proofErr w:type="spellEnd"/>
      <w:r w:rsidRPr="00EF154D">
        <w:rPr>
          <w:sz w:val="20"/>
          <w:szCs w:val="20"/>
        </w:rPr>
        <w:t xml:space="preserve">, otitis media, </w:t>
      </w:r>
      <w:proofErr w:type="spellStart"/>
      <w:r w:rsidRPr="00EF154D">
        <w:rPr>
          <w:sz w:val="20"/>
          <w:szCs w:val="20"/>
        </w:rPr>
        <w:t>columellar</w:t>
      </w:r>
      <w:proofErr w:type="spellEnd"/>
      <w:r w:rsidRPr="00EF154D">
        <w:rPr>
          <w:sz w:val="20"/>
          <w:szCs w:val="20"/>
        </w:rPr>
        <w:t xml:space="preserve">/alar necrosis, </w:t>
      </w:r>
      <w:proofErr w:type="spellStart"/>
      <w:r w:rsidRPr="00EF154D">
        <w:rPr>
          <w:sz w:val="20"/>
          <w:szCs w:val="20"/>
        </w:rPr>
        <w:t>septal</w:t>
      </w:r>
      <w:proofErr w:type="spellEnd"/>
      <w:r w:rsidRPr="00EF154D">
        <w:rPr>
          <w:sz w:val="20"/>
          <w:szCs w:val="20"/>
        </w:rPr>
        <w:t xml:space="preserve"> perforation, facial </w:t>
      </w:r>
      <w:proofErr w:type="spellStart"/>
      <w:r w:rsidRPr="00EF154D">
        <w:rPr>
          <w:sz w:val="20"/>
          <w:szCs w:val="20"/>
        </w:rPr>
        <w:t>oedema</w:t>
      </w:r>
      <w:proofErr w:type="spellEnd"/>
      <w:r w:rsidRPr="00EF154D">
        <w:rPr>
          <w:sz w:val="20"/>
          <w:szCs w:val="20"/>
        </w:rPr>
        <w:t xml:space="preserve">, </w:t>
      </w:r>
      <w:proofErr w:type="spellStart"/>
      <w:r w:rsidRPr="00EF154D">
        <w:rPr>
          <w:sz w:val="20"/>
          <w:szCs w:val="20"/>
        </w:rPr>
        <w:t>epiphora</w:t>
      </w:r>
      <w:proofErr w:type="spellEnd"/>
      <w:r w:rsidRPr="00EF154D">
        <w:rPr>
          <w:sz w:val="20"/>
          <w:szCs w:val="20"/>
        </w:rPr>
        <w:t>/</w:t>
      </w:r>
      <w:proofErr w:type="spellStart"/>
      <w:r w:rsidRPr="00EF154D">
        <w:rPr>
          <w:sz w:val="20"/>
          <w:szCs w:val="20"/>
        </w:rPr>
        <w:t>dacryocystitis</w:t>
      </w:r>
      <w:proofErr w:type="spellEnd"/>
      <w:r w:rsidRPr="00EF154D">
        <w:rPr>
          <w:sz w:val="20"/>
          <w:szCs w:val="20"/>
        </w:rPr>
        <w:t>, orbital cellulitis and even cavernous sinus thrombosis.</w:t>
      </w:r>
      <w:r w:rsidR="005230D6" w:rsidRPr="00EF154D">
        <w:rPr>
          <w:sz w:val="20"/>
          <w:szCs w:val="20"/>
          <w:vertAlign w:val="superscript"/>
        </w:rPr>
        <w:t>3</w:t>
      </w:r>
      <w:r w:rsidRPr="00EF154D">
        <w:rPr>
          <w:sz w:val="20"/>
          <w:szCs w:val="20"/>
        </w:rPr>
        <w:t xml:space="preserve"> Various general complications reported are toxic shock syndrome, hypoxia, angina, cardiac arrhythmia,</w:t>
      </w:r>
      <w:r w:rsidRPr="00EF154D">
        <w:rPr>
          <w:spacing w:val="46"/>
          <w:sz w:val="20"/>
          <w:szCs w:val="20"/>
        </w:rPr>
        <w:t xml:space="preserve"> </w:t>
      </w:r>
      <w:r w:rsidRPr="00EF154D">
        <w:rPr>
          <w:sz w:val="20"/>
          <w:szCs w:val="20"/>
        </w:rPr>
        <w:t>sepsis and</w:t>
      </w:r>
      <w:r w:rsidRPr="00EF154D">
        <w:rPr>
          <w:spacing w:val="40"/>
          <w:sz w:val="20"/>
          <w:szCs w:val="20"/>
        </w:rPr>
        <w:t xml:space="preserve"> </w:t>
      </w:r>
      <w:r w:rsidRPr="00EF154D">
        <w:rPr>
          <w:sz w:val="20"/>
          <w:szCs w:val="20"/>
        </w:rPr>
        <w:t>even</w:t>
      </w:r>
      <w:r w:rsidRPr="00EF154D">
        <w:rPr>
          <w:spacing w:val="42"/>
          <w:sz w:val="20"/>
          <w:szCs w:val="20"/>
        </w:rPr>
        <w:t xml:space="preserve"> </w:t>
      </w:r>
      <w:r w:rsidRPr="00EF154D">
        <w:rPr>
          <w:sz w:val="20"/>
          <w:szCs w:val="20"/>
        </w:rPr>
        <w:lastRenderedPageBreak/>
        <w:t>death</w:t>
      </w:r>
      <w:r w:rsidRPr="00EF154D">
        <w:rPr>
          <w:spacing w:val="40"/>
          <w:sz w:val="20"/>
          <w:szCs w:val="20"/>
        </w:rPr>
        <w:t xml:space="preserve"> </w:t>
      </w:r>
      <w:r w:rsidRPr="00EF154D">
        <w:rPr>
          <w:sz w:val="20"/>
          <w:szCs w:val="20"/>
        </w:rPr>
        <w:t>.Keeping</w:t>
      </w:r>
      <w:r w:rsidRPr="00EF154D">
        <w:rPr>
          <w:spacing w:val="40"/>
          <w:sz w:val="20"/>
          <w:szCs w:val="20"/>
        </w:rPr>
        <w:t xml:space="preserve"> </w:t>
      </w:r>
      <w:r w:rsidRPr="00EF154D">
        <w:rPr>
          <w:sz w:val="20"/>
          <w:szCs w:val="20"/>
        </w:rPr>
        <w:t>these</w:t>
      </w:r>
      <w:r w:rsidRPr="00EF154D">
        <w:rPr>
          <w:spacing w:val="43"/>
          <w:sz w:val="20"/>
          <w:szCs w:val="20"/>
        </w:rPr>
        <w:t xml:space="preserve"> </w:t>
      </w:r>
      <w:r w:rsidRPr="00EF154D">
        <w:rPr>
          <w:sz w:val="20"/>
          <w:szCs w:val="20"/>
        </w:rPr>
        <w:t>complications</w:t>
      </w:r>
      <w:r w:rsidRPr="00EF154D">
        <w:rPr>
          <w:spacing w:val="40"/>
          <w:sz w:val="20"/>
          <w:szCs w:val="20"/>
        </w:rPr>
        <w:t xml:space="preserve"> </w:t>
      </w:r>
      <w:r w:rsidRPr="00EF154D">
        <w:rPr>
          <w:sz w:val="20"/>
          <w:szCs w:val="20"/>
        </w:rPr>
        <w:t>in</w:t>
      </w:r>
      <w:r w:rsidRPr="00EF154D">
        <w:rPr>
          <w:spacing w:val="40"/>
          <w:sz w:val="20"/>
          <w:szCs w:val="20"/>
        </w:rPr>
        <w:t xml:space="preserve"> </w:t>
      </w:r>
      <w:r w:rsidRPr="00EF154D">
        <w:rPr>
          <w:sz w:val="20"/>
          <w:szCs w:val="20"/>
        </w:rPr>
        <w:t>view,</w:t>
      </w:r>
      <w:r w:rsidRPr="00EF154D">
        <w:rPr>
          <w:spacing w:val="41"/>
          <w:sz w:val="20"/>
          <w:szCs w:val="20"/>
        </w:rPr>
        <w:t xml:space="preserve"> </w:t>
      </w:r>
      <w:r w:rsidRPr="00EF154D">
        <w:rPr>
          <w:sz w:val="20"/>
          <w:szCs w:val="20"/>
        </w:rPr>
        <w:t>patients</w:t>
      </w:r>
      <w:r w:rsidRPr="00EF154D">
        <w:rPr>
          <w:spacing w:val="40"/>
          <w:sz w:val="20"/>
          <w:szCs w:val="20"/>
        </w:rPr>
        <w:t xml:space="preserve"> </w:t>
      </w:r>
      <w:r w:rsidRPr="00EF154D">
        <w:rPr>
          <w:sz w:val="20"/>
          <w:szCs w:val="20"/>
        </w:rPr>
        <w:t>with</w:t>
      </w:r>
      <w:r w:rsidRPr="00EF154D">
        <w:rPr>
          <w:spacing w:val="40"/>
          <w:sz w:val="20"/>
          <w:szCs w:val="20"/>
        </w:rPr>
        <w:t xml:space="preserve"> </w:t>
      </w:r>
      <w:r w:rsidRPr="00EF154D">
        <w:rPr>
          <w:sz w:val="20"/>
          <w:szCs w:val="20"/>
        </w:rPr>
        <w:t>anterior nasal packing require hospitalization and constant monitoring.</w:t>
      </w:r>
    </w:p>
    <w:p w:rsidR="00834C70" w:rsidRPr="00EF154D" w:rsidRDefault="00834C70" w:rsidP="00834C70">
      <w:pPr>
        <w:pStyle w:val="BodyText"/>
        <w:spacing w:line="360" w:lineRule="auto"/>
        <w:ind w:right="730"/>
        <w:jc w:val="both"/>
        <w:rPr>
          <w:b/>
          <w:sz w:val="20"/>
          <w:szCs w:val="20"/>
        </w:rPr>
      </w:pPr>
      <w:r w:rsidRPr="00EF154D">
        <w:rPr>
          <w:b/>
          <w:sz w:val="20"/>
          <w:szCs w:val="20"/>
        </w:rPr>
        <w:t>Material and methods:</w:t>
      </w:r>
    </w:p>
    <w:p w:rsidR="00834C70" w:rsidRPr="00EF154D" w:rsidRDefault="00834C70" w:rsidP="00834C70">
      <w:pPr>
        <w:pStyle w:val="BodyText"/>
        <w:spacing w:line="360" w:lineRule="auto"/>
        <w:ind w:right="730"/>
        <w:jc w:val="both"/>
        <w:rPr>
          <w:sz w:val="20"/>
          <w:szCs w:val="20"/>
        </w:rPr>
      </w:pPr>
      <w:r w:rsidRPr="00EF154D">
        <w:rPr>
          <w:sz w:val="20"/>
          <w:szCs w:val="20"/>
        </w:rPr>
        <w:t>A study was conducted in Department of Otorhinolaryngology at St. Stephen’s Hospital, on 100 patients with epistaxis</w:t>
      </w:r>
    </w:p>
    <w:p w:rsidR="00834C70" w:rsidRPr="00EF154D" w:rsidRDefault="00834C70" w:rsidP="00834C70">
      <w:pPr>
        <w:pStyle w:val="BodyText"/>
        <w:spacing w:line="360" w:lineRule="auto"/>
        <w:jc w:val="both"/>
        <w:rPr>
          <w:sz w:val="20"/>
          <w:szCs w:val="20"/>
        </w:rPr>
      </w:pPr>
      <w:r w:rsidRPr="00EF154D">
        <w:rPr>
          <w:sz w:val="20"/>
          <w:szCs w:val="20"/>
        </w:rPr>
        <w:t>T</w:t>
      </w:r>
      <w:r w:rsidR="007F3BC8" w:rsidRPr="00EF154D">
        <w:rPr>
          <w:sz w:val="20"/>
          <w:szCs w:val="20"/>
        </w:rPr>
        <w:t xml:space="preserve">ype of study: </w:t>
      </w:r>
      <w:r w:rsidRPr="00EF154D">
        <w:rPr>
          <w:sz w:val="20"/>
          <w:szCs w:val="20"/>
        </w:rPr>
        <w:t>Descriptive study</w:t>
      </w:r>
    </w:p>
    <w:p w:rsidR="00834C70" w:rsidRPr="00EF154D" w:rsidRDefault="00834C70" w:rsidP="00834C70">
      <w:pPr>
        <w:pStyle w:val="BodyText"/>
        <w:spacing w:line="360" w:lineRule="auto"/>
        <w:ind w:right="506"/>
        <w:jc w:val="both"/>
        <w:rPr>
          <w:sz w:val="20"/>
          <w:szCs w:val="20"/>
        </w:rPr>
      </w:pPr>
      <w:proofErr w:type="gramStart"/>
      <w:r w:rsidRPr="00EF154D">
        <w:rPr>
          <w:sz w:val="20"/>
          <w:szCs w:val="20"/>
        </w:rPr>
        <w:t>Patients presenting in the ENT OPD or Casualty, or referred from other departments in St. Stephen’s hospital, New Delhi.</w:t>
      </w:r>
      <w:proofErr w:type="gramEnd"/>
    </w:p>
    <w:p w:rsidR="00834C70" w:rsidRPr="00EF154D" w:rsidRDefault="00834C70" w:rsidP="00834C70">
      <w:pPr>
        <w:pStyle w:val="BodyText"/>
        <w:spacing w:line="360" w:lineRule="auto"/>
        <w:jc w:val="both"/>
        <w:rPr>
          <w:b/>
          <w:sz w:val="20"/>
          <w:szCs w:val="20"/>
        </w:rPr>
      </w:pPr>
      <w:proofErr w:type="gramStart"/>
      <w:r w:rsidRPr="00EF154D">
        <w:rPr>
          <w:b/>
          <w:sz w:val="20"/>
          <w:szCs w:val="20"/>
        </w:rPr>
        <w:t>I</w:t>
      </w:r>
      <w:r w:rsidR="007F3BC8" w:rsidRPr="00EF154D">
        <w:rPr>
          <w:b/>
          <w:sz w:val="20"/>
          <w:szCs w:val="20"/>
        </w:rPr>
        <w:t xml:space="preserve">nclusion </w:t>
      </w:r>
      <w:r w:rsidR="007F3BC8" w:rsidRPr="00EF154D">
        <w:rPr>
          <w:b/>
          <w:spacing w:val="6"/>
          <w:sz w:val="20"/>
          <w:szCs w:val="20"/>
        </w:rPr>
        <w:t xml:space="preserve"> </w:t>
      </w:r>
      <w:r w:rsidR="007F3BC8" w:rsidRPr="00EF154D">
        <w:rPr>
          <w:b/>
          <w:sz w:val="20"/>
          <w:szCs w:val="20"/>
        </w:rPr>
        <w:t>criteria</w:t>
      </w:r>
      <w:proofErr w:type="gramEnd"/>
    </w:p>
    <w:p w:rsidR="00834C70" w:rsidRPr="00EF154D" w:rsidRDefault="00834C70" w:rsidP="00834C70">
      <w:pPr>
        <w:pStyle w:val="BodyText"/>
        <w:spacing w:line="360" w:lineRule="auto"/>
        <w:ind w:right="1106"/>
        <w:jc w:val="both"/>
        <w:rPr>
          <w:sz w:val="20"/>
          <w:szCs w:val="20"/>
        </w:rPr>
      </w:pPr>
      <w:r w:rsidRPr="00EF154D">
        <w:rPr>
          <w:sz w:val="20"/>
          <w:szCs w:val="20"/>
        </w:rPr>
        <w:t>Hundred patients of both sexes and all age groups presenting with epistaxis were included in this</w:t>
      </w:r>
      <w:r w:rsidRPr="00EF154D">
        <w:rPr>
          <w:spacing w:val="-5"/>
          <w:sz w:val="20"/>
          <w:szCs w:val="20"/>
        </w:rPr>
        <w:t xml:space="preserve"> </w:t>
      </w:r>
      <w:r w:rsidRPr="00EF154D">
        <w:rPr>
          <w:sz w:val="20"/>
          <w:szCs w:val="20"/>
        </w:rPr>
        <w:t>study.</w:t>
      </w:r>
    </w:p>
    <w:p w:rsidR="00834C70" w:rsidRPr="00EF154D" w:rsidRDefault="00834C70" w:rsidP="00834C70">
      <w:pPr>
        <w:pStyle w:val="BodyText"/>
        <w:spacing w:line="360" w:lineRule="auto"/>
        <w:jc w:val="both"/>
        <w:rPr>
          <w:b/>
          <w:sz w:val="20"/>
          <w:szCs w:val="20"/>
        </w:rPr>
      </w:pPr>
      <w:r w:rsidRPr="00EF154D">
        <w:rPr>
          <w:b/>
          <w:w w:val="105"/>
          <w:sz w:val="20"/>
          <w:szCs w:val="20"/>
        </w:rPr>
        <w:t>E</w:t>
      </w:r>
      <w:r w:rsidR="007F3BC8" w:rsidRPr="00EF154D">
        <w:rPr>
          <w:b/>
          <w:w w:val="105"/>
          <w:sz w:val="20"/>
          <w:szCs w:val="20"/>
        </w:rPr>
        <w:t>xclusion criteria</w:t>
      </w:r>
    </w:p>
    <w:p w:rsidR="00834C70" w:rsidRPr="00EF154D" w:rsidRDefault="00834C70" w:rsidP="00834C70">
      <w:pPr>
        <w:pStyle w:val="BodyText"/>
        <w:spacing w:line="360" w:lineRule="auto"/>
        <w:ind w:right="730"/>
        <w:jc w:val="both"/>
        <w:rPr>
          <w:sz w:val="20"/>
          <w:szCs w:val="20"/>
        </w:rPr>
      </w:pPr>
      <w:r w:rsidRPr="00EF154D">
        <w:rPr>
          <w:sz w:val="20"/>
          <w:szCs w:val="20"/>
        </w:rPr>
        <w:t xml:space="preserve">Patients presenting with epistaxis resulting from recent nasal </w:t>
      </w:r>
      <w:proofErr w:type="gramStart"/>
      <w:r w:rsidRPr="00EF154D">
        <w:rPr>
          <w:sz w:val="20"/>
          <w:szCs w:val="20"/>
        </w:rPr>
        <w:t xml:space="preserve">or  </w:t>
      </w:r>
      <w:proofErr w:type="spellStart"/>
      <w:r w:rsidRPr="00EF154D">
        <w:rPr>
          <w:sz w:val="20"/>
          <w:szCs w:val="20"/>
        </w:rPr>
        <w:t>paranasal</w:t>
      </w:r>
      <w:proofErr w:type="spellEnd"/>
      <w:proofErr w:type="gramEnd"/>
      <w:r w:rsidRPr="00EF154D">
        <w:rPr>
          <w:sz w:val="20"/>
          <w:szCs w:val="20"/>
        </w:rPr>
        <w:t xml:space="preserve"> sinus surgery were excluded from this</w:t>
      </w:r>
      <w:r w:rsidRPr="00EF154D">
        <w:rPr>
          <w:spacing w:val="-2"/>
          <w:sz w:val="20"/>
          <w:szCs w:val="20"/>
        </w:rPr>
        <w:t xml:space="preserve"> </w:t>
      </w:r>
      <w:r w:rsidRPr="00EF154D">
        <w:rPr>
          <w:sz w:val="20"/>
          <w:szCs w:val="20"/>
        </w:rPr>
        <w:t>study.</w:t>
      </w:r>
    </w:p>
    <w:p w:rsidR="00834C70" w:rsidRPr="00EF154D" w:rsidRDefault="00834C70" w:rsidP="00834C70">
      <w:pPr>
        <w:pStyle w:val="ListParagraph"/>
        <w:numPr>
          <w:ilvl w:val="0"/>
          <w:numId w:val="2"/>
        </w:numPr>
        <w:tabs>
          <w:tab w:val="left" w:pos="1200"/>
        </w:tabs>
        <w:spacing w:line="360" w:lineRule="auto"/>
        <w:ind w:right="653"/>
        <w:jc w:val="both"/>
        <w:rPr>
          <w:sz w:val="20"/>
          <w:szCs w:val="20"/>
        </w:rPr>
      </w:pPr>
      <w:r w:rsidRPr="00EF154D">
        <w:rPr>
          <w:sz w:val="20"/>
          <w:szCs w:val="20"/>
        </w:rPr>
        <w:t>Patients were informed regarding the method of treatment and a written and informed consent duly signed by them was</w:t>
      </w:r>
      <w:r w:rsidRPr="00EF154D">
        <w:rPr>
          <w:spacing w:val="2"/>
          <w:sz w:val="20"/>
          <w:szCs w:val="20"/>
        </w:rPr>
        <w:t xml:space="preserve"> </w:t>
      </w:r>
      <w:r w:rsidRPr="00EF154D">
        <w:rPr>
          <w:sz w:val="20"/>
          <w:szCs w:val="20"/>
        </w:rPr>
        <w:t>taken.</w:t>
      </w:r>
    </w:p>
    <w:p w:rsidR="00834C70" w:rsidRPr="00EF154D" w:rsidRDefault="00834C70" w:rsidP="00834C70">
      <w:pPr>
        <w:pStyle w:val="ListParagraph"/>
        <w:numPr>
          <w:ilvl w:val="0"/>
          <w:numId w:val="2"/>
        </w:numPr>
        <w:tabs>
          <w:tab w:val="left" w:pos="1200"/>
        </w:tabs>
        <w:spacing w:line="360" w:lineRule="auto"/>
        <w:ind w:right="654"/>
        <w:jc w:val="both"/>
        <w:rPr>
          <w:sz w:val="20"/>
          <w:szCs w:val="20"/>
        </w:rPr>
      </w:pPr>
      <w:r w:rsidRPr="00EF154D">
        <w:rPr>
          <w:sz w:val="20"/>
          <w:szCs w:val="20"/>
        </w:rPr>
        <w:t>A detailed history was asked, especially history of trauma/fever/sore- throat/foreign body insertion/nose picking/drug intake/bleeding diathesis/hypertension/other</w:t>
      </w:r>
      <w:r w:rsidRPr="00EF154D">
        <w:rPr>
          <w:spacing w:val="-2"/>
          <w:sz w:val="20"/>
          <w:szCs w:val="20"/>
        </w:rPr>
        <w:t xml:space="preserve"> </w:t>
      </w:r>
      <w:r w:rsidRPr="00EF154D">
        <w:rPr>
          <w:sz w:val="20"/>
          <w:szCs w:val="20"/>
        </w:rPr>
        <w:t>illnesses.</w:t>
      </w:r>
    </w:p>
    <w:p w:rsidR="00834C70" w:rsidRPr="00EF154D" w:rsidRDefault="007F3BC8" w:rsidP="00834C70">
      <w:pPr>
        <w:spacing w:after="0" w:line="360" w:lineRule="auto"/>
        <w:jc w:val="both"/>
        <w:rPr>
          <w:rFonts w:ascii="Times New Roman" w:hAnsi="Times New Roman" w:cs="Times New Roman"/>
          <w:b/>
          <w:sz w:val="20"/>
          <w:szCs w:val="20"/>
        </w:rPr>
      </w:pPr>
      <w:r w:rsidRPr="00EF154D">
        <w:rPr>
          <w:rFonts w:ascii="Times New Roman" w:hAnsi="Times New Roman" w:cs="Times New Roman"/>
          <w:b/>
          <w:sz w:val="20"/>
          <w:szCs w:val="20"/>
        </w:rPr>
        <w:t xml:space="preserve">Results: </w:t>
      </w:r>
    </w:p>
    <w:p w:rsidR="007F3BC8" w:rsidRPr="00EF154D" w:rsidRDefault="00834C70" w:rsidP="00834C70">
      <w:pPr>
        <w:spacing w:after="0" w:line="360" w:lineRule="auto"/>
        <w:jc w:val="both"/>
        <w:rPr>
          <w:rFonts w:ascii="Times New Roman" w:hAnsi="Times New Roman" w:cs="Times New Roman"/>
          <w:sz w:val="20"/>
          <w:szCs w:val="20"/>
        </w:rPr>
      </w:pPr>
      <w:r w:rsidRPr="00EF154D">
        <w:rPr>
          <w:rFonts w:ascii="Times New Roman" w:hAnsi="Times New Roman" w:cs="Times New Roman"/>
          <w:sz w:val="20"/>
          <w:szCs w:val="20"/>
        </w:rPr>
        <w:t xml:space="preserve">A study was conducted in the Department of Otorhinolaryngology at St. Stephen’s Hospital on 100 patients with epistaxis. Patients from all age groups were included in this study. </w:t>
      </w:r>
    </w:p>
    <w:p w:rsidR="00834C70" w:rsidRPr="00EF154D" w:rsidRDefault="00834C70" w:rsidP="007F3BC8">
      <w:pPr>
        <w:spacing w:after="0" w:line="360" w:lineRule="auto"/>
        <w:jc w:val="both"/>
        <w:rPr>
          <w:rFonts w:ascii="Times New Roman" w:hAnsi="Times New Roman" w:cs="Times New Roman"/>
          <w:sz w:val="20"/>
          <w:szCs w:val="20"/>
        </w:rPr>
      </w:pPr>
      <w:r w:rsidRPr="00EF154D">
        <w:rPr>
          <w:rFonts w:ascii="Times New Roman" w:hAnsi="Times New Roman" w:cs="Times New Roman"/>
          <w:sz w:val="20"/>
          <w:szCs w:val="20"/>
        </w:rPr>
        <w:t xml:space="preserve">The mean age was 44.27 years of age. Median came to be 45 years of age and mode was 60 years of age. Maximum patients were above 50 years. </w:t>
      </w:r>
    </w:p>
    <w:p w:rsidR="00834C70" w:rsidRPr="00EF154D" w:rsidRDefault="007F3BC8" w:rsidP="007F3BC8">
      <w:pPr>
        <w:pStyle w:val="BodyText"/>
        <w:spacing w:line="360" w:lineRule="auto"/>
        <w:ind w:left="1068" w:right="1064"/>
        <w:jc w:val="both"/>
        <w:rPr>
          <w:sz w:val="20"/>
          <w:szCs w:val="20"/>
        </w:rPr>
      </w:pPr>
      <w:r w:rsidRPr="00EF154D">
        <w:rPr>
          <w:w w:val="105"/>
          <w:sz w:val="20"/>
          <w:szCs w:val="20"/>
        </w:rPr>
        <w:t>Table 1</w:t>
      </w:r>
      <w:r w:rsidR="00834C70" w:rsidRPr="00EF154D">
        <w:rPr>
          <w:w w:val="105"/>
          <w:sz w:val="20"/>
          <w:szCs w:val="20"/>
        </w:rPr>
        <w:t>: T</w:t>
      </w:r>
      <w:r w:rsidRPr="00EF154D">
        <w:rPr>
          <w:w w:val="105"/>
          <w:sz w:val="20"/>
          <w:szCs w:val="20"/>
        </w:rPr>
        <w:t>reatment modalities in patients</w:t>
      </w:r>
    </w:p>
    <w:tbl>
      <w:tblPr>
        <w:tblW w:w="855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gridCol w:w="2440"/>
        <w:gridCol w:w="1850"/>
      </w:tblGrid>
      <w:tr w:rsidR="00834C70" w:rsidRPr="00EF154D" w:rsidTr="00235F96">
        <w:trPr>
          <w:trHeight w:val="476"/>
        </w:trPr>
        <w:tc>
          <w:tcPr>
            <w:tcW w:w="4263" w:type="dxa"/>
          </w:tcPr>
          <w:p w:rsidR="00834C70" w:rsidRPr="00EF154D" w:rsidRDefault="00834C70" w:rsidP="00834C70">
            <w:pPr>
              <w:pStyle w:val="TableParagraph"/>
              <w:spacing w:before="0" w:line="360" w:lineRule="auto"/>
              <w:ind w:left="1094"/>
              <w:jc w:val="both"/>
              <w:rPr>
                <w:sz w:val="20"/>
                <w:szCs w:val="20"/>
              </w:rPr>
            </w:pPr>
            <w:r w:rsidRPr="00EF154D">
              <w:rPr>
                <w:sz w:val="20"/>
                <w:szCs w:val="20"/>
              </w:rPr>
              <w:t>Treatment modality</w:t>
            </w:r>
          </w:p>
        </w:tc>
        <w:tc>
          <w:tcPr>
            <w:tcW w:w="2440" w:type="dxa"/>
          </w:tcPr>
          <w:p w:rsidR="00834C70" w:rsidRPr="00EF154D" w:rsidRDefault="00834C70" w:rsidP="00EF154D">
            <w:pPr>
              <w:pStyle w:val="TableParagraph"/>
              <w:spacing w:before="0" w:line="360" w:lineRule="auto"/>
              <w:ind w:left="634" w:right="631"/>
              <w:rPr>
                <w:sz w:val="20"/>
                <w:szCs w:val="20"/>
              </w:rPr>
            </w:pPr>
            <w:r w:rsidRPr="00EF154D">
              <w:rPr>
                <w:sz w:val="20"/>
                <w:szCs w:val="20"/>
              </w:rPr>
              <w:t>Frequency</w:t>
            </w:r>
          </w:p>
        </w:tc>
        <w:tc>
          <w:tcPr>
            <w:tcW w:w="1850" w:type="dxa"/>
          </w:tcPr>
          <w:p w:rsidR="00834C70" w:rsidRPr="00EF154D" w:rsidRDefault="00834C70" w:rsidP="00EF154D">
            <w:pPr>
              <w:pStyle w:val="TableParagraph"/>
              <w:spacing w:before="0" w:line="360" w:lineRule="auto"/>
              <w:ind w:left="479" w:right="479"/>
              <w:rPr>
                <w:sz w:val="20"/>
                <w:szCs w:val="20"/>
              </w:rPr>
            </w:pPr>
            <w:r w:rsidRPr="00EF154D">
              <w:rPr>
                <w:sz w:val="20"/>
                <w:szCs w:val="20"/>
              </w:rPr>
              <w:t>Percent</w:t>
            </w:r>
          </w:p>
        </w:tc>
      </w:tr>
      <w:tr w:rsidR="00834C70" w:rsidRPr="00EF154D" w:rsidTr="00235F96">
        <w:trPr>
          <w:trHeight w:val="478"/>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Anterior nasal packing</w:t>
            </w:r>
          </w:p>
        </w:tc>
        <w:tc>
          <w:tcPr>
            <w:tcW w:w="2440" w:type="dxa"/>
          </w:tcPr>
          <w:p w:rsidR="00834C70" w:rsidRPr="00EF154D" w:rsidRDefault="00834C70" w:rsidP="00EF154D">
            <w:pPr>
              <w:pStyle w:val="TableParagraph"/>
              <w:spacing w:before="0" w:line="360" w:lineRule="auto"/>
              <w:ind w:left="634" w:right="630"/>
              <w:rPr>
                <w:sz w:val="20"/>
                <w:szCs w:val="20"/>
              </w:rPr>
            </w:pPr>
            <w:r w:rsidRPr="00EF154D">
              <w:rPr>
                <w:sz w:val="20"/>
                <w:szCs w:val="20"/>
              </w:rPr>
              <w:t>68</w:t>
            </w:r>
          </w:p>
        </w:tc>
        <w:tc>
          <w:tcPr>
            <w:tcW w:w="1850" w:type="dxa"/>
          </w:tcPr>
          <w:p w:rsidR="00834C70" w:rsidRPr="00EF154D" w:rsidRDefault="00834C70" w:rsidP="00EF154D">
            <w:pPr>
              <w:pStyle w:val="TableParagraph"/>
              <w:spacing w:before="0" w:line="360" w:lineRule="auto"/>
              <w:ind w:left="479" w:right="479"/>
              <w:rPr>
                <w:sz w:val="20"/>
                <w:szCs w:val="20"/>
              </w:rPr>
            </w:pPr>
            <w:r w:rsidRPr="00EF154D">
              <w:rPr>
                <w:sz w:val="20"/>
                <w:szCs w:val="20"/>
              </w:rPr>
              <w:t>68%</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proofErr w:type="spellStart"/>
            <w:r w:rsidRPr="00EF154D">
              <w:rPr>
                <w:sz w:val="20"/>
                <w:szCs w:val="20"/>
              </w:rPr>
              <w:t>Electrocautery</w:t>
            </w:r>
            <w:proofErr w:type="spellEnd"/>
          </w:p>
        </w:tc>
        <w:tc>
          <w:tcPr>
            <w:tcW w:w="2440" w:type="dxa"/>
          </w:tcPr>
          <w:p w:rsidR="00834C70" w:rsidRPr="00EF154D" w:rsidRDefault="00834C70" w:rsidP="00EF154D">
            <w:pPr>
              <w:pStyle w:val="TableParagraph"/>
              <w:spacing w:before="0" w:line="360" w:lineRule="auto"/>
              <w:ind w:left="634" w:right="629"/>
              <w:rPr>
                <w:sz w:val="20"/>
                <w:szCs w:val="20"/>
              </w:rPr>
            </w:pPr>
            <w:r w:rsidRPr="00EF154D">
              <w:rPr>
                <w:sz w:val="20"/>
                <w:szCs w:val="20"/>
              </w:rPr>
              <w:t>18</w:t>
            </w:r>
          </w:p>
        </w:tc>
        <w:tc>
          <w:tcPr>
            <w:tcW w:w="1850" w:type="dxa"/>
          </w:tcPr>
          <w:p w:rsidR="00834C70" w:rsidRPr="00EF154D" w:rsidRDefault="00834C70" w:rsidP="00EF154D">
            <w:pPr>
              <w:pStyle w:val="TableParagraph"/>
              <w:spacing w:before="0" w:line="360" w:lineRule="auto"/>
              <w:ind w:left="479" w:right="479"/>
              <w:rPr>
                <w:sz w:val="20"/>
                <w:szCs w:val="20"/>
              </w:rPr>
            </w:pPr>
            <w:r w:rsidRPr="00EF154D">
              <w:rPr>
                <w:sz w:val="20"/>
                <w:szCs w:val="20"/>
              </w:rPr>
              <w:t>18%</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Nasal bone reduction (NBR)</w:t>
            </w:r>
          </w:p>
        </w:tc>
        <w:tc>
          <w:tcPr>
            <w:tcW w:w="2440" w:type="dxa"/>
          </w:tcPr>
          <w:p w:rsidR="00834C70" w:rsidRPr="00EF154D" w:rsidRDefault="00834C70" w:rsidP="00EF154D">
            <w:pPr>
              <w:pStyle w:val="TableParagraph"/>
              <w:spacing w:before="0" w:line="360" w:lineRule="auto"/>
              <w:ind w:left="3"/>
              <w:rPr>
                <w:sz w:val="20"/>
                <w:szCs w:val="20"/>
              </w:rPr>
            </w:pPr>
            <w:r w:rsidRPr="00EF154D">
              <w:rPr>
                <w:sz w:val="20"/>
                <w:szCs w:val="20"/>
              </w:rPr>
              <w:t>5</w:t>
            </w:r>
          </w:p>
        </w:tc>
        <w:tc>
          <w:tcPr>
            <w:tcW w:w="1850" w:type="dxa"/>
          </w:tcPr>
          <w:p w:rsidR="00834C70" w:rsidRPr="00EF154D" w:rsidRDefault="00834C70" w:rsidP="00EF154D">
            <w:pPr>
              <w:pStyle w:val="TableParagraph"/>
              <w:spacing w:before="0" w:line="360" w:lineRule="auto"/>
              <w:ind w:left="478" w:right="479"/>
              <w:rPr>
                <w:sz w:val="20"/>
                <w:szCs w:val="20"/>
              </w:rPr>
            </w:pPr>
            <w:r w:rsidRPr="00EF154D">
              <w:rPr>
                <w:sz w:val="20"/>
                <w:szCs w:val="20"/>
              </w:rPr>
              <w:t>5%</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 xml:space="preserve">Nasal bone reduction with </w:t>
            </w:r>
            <w:proofErr w:type="spellStart"/>
            <w:r w:rsidRPr="00EF154D">
              <w:rPr>
                <w:sz w:val="20"/>
                <w:szCs w:val="20"/>
              </w:rPr>
              <w:t>Septoplasty</w:t>
            </w:r>
            <w:proofErr w:type="spellEnd"/>
          </w:p>
        </w:tc>
        <w:tc>
          <w:tcPr>
            <w:tcW w:w="2440" w:type="dxa"/>
          </w:tcPr>
          <w:p w:rsidR="00834C70" w:rsidRPr="00EF154D" w:rsidRDefault="00834C70" w:rsidP="00EF154D">
            <w:pPr>
              <w:pStyle w:val="TableParagraph"/>
              <w:spacing w:before="0" w:line="360" w:lineRule="auto"/>
              <w:ind w:left="2"/>
              <w:rPr>
                <w:sz w:val="20"/>
                <w:szCs w:val="20"/>
              </w:rPr>
            </w:pPr>
            <w:r w:rsidRPr="00EF154D">
              <w:rPr>
                <w:sz w:val="20"/>
                <w:szCs w:val="20"/>
              </w:rPr>
              <w:t>1</w:t>
            </w:r>
          </w:p>
        </w:tc>
        <w:tc>
          <w:tcPr>
            <w:tcW w:w="1850" w:type="dxa"/>
          </w:tcPr>
          <w:p w:rsidR="00834C70" w:rsidRPr="00EF154D" w:rsidRDefault="00834C70" w:rsidP="00EF154D">
            <w:pPr>
              <w:pStyle w:val="TableParagraph"/>
              <w:spacing w:before="0" w:line="360" w:lineRule="auto"/>
              <w:ind w:left="479" w:right="479"/>
              <w:rPr>
                <w:sz w:val="20"/>
                <w:szCs w:val="20"/>
              </w:rPr>
            </w:pPr>
            <w:r w:rsidRPr="00EF154D">
              <w:rPr>
                <w:sz w:val="20"/>
                <w:szCs w:val="20"/>
              </w:rPr>
              <w:t>1%</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Medical treatment</w:t>
            </w:r>
          </w:p>
        </w:tc>
        <w:tc>
          <w:tcPr>
            <w:tcW w:w="2440" w:type="dxa"/>
          </w:tcPr>
          <w:p w:rsidR="00834C70" w:rsidRPr="00EF154D" w:rsidRDefault="00834C70" w:rsidP="00EF154D">
            <w:pPr>
              <w:pStyle w:val="TableParagraph"/>
              <w:spacing w:before="0" w:line="360" w:lineRule="auto"/>
              <w:ind w:left="5"/>
              <w:rPr>
                <w:sz w:val="20"/>
                <w:szCs w:val="20"/>
              </w:rPr>
            </w:pPr>
            <w:r w:rsidRPr="00EF154D">
              <w:rPr>
                <w:sz w:val="20"/>
                <w:szCs w:val="20"/>
              </w:rPr>
              <w:t>2</w:t>
            </w:r>
          </w:p>
        </w:tc>
        <w:tc>
          <w:tcPr>
            <w:tcW w:w="1850" w:type="dxa"/>
          </w:tcPr>
          <w:p w:rsidR="00834C70" w:rsidRPr="00EF154D" w:rsidRDefault="00834C70" w:rsidP="00EF154D">
            <w:pPr>
              <w:pStyle w:val="TableParagraph"/>
              <w:spacing w:before="0" w:line="360" w:lineRule="auto"/>
              <w:ind w:left="479" w:right="479"/>
              <w:rPr>
                <w:sz w:val="20"/>
                <w:szCs w:val="20"/>
              </w:rPr>
            </w:pPr>
            <w:r w:rsidRPr="00EF154D">
              <w:rPr>
                <w:sz w:val="20"/>
                <w:szCs w:val="20"/>
              </w:rPr>
              <w:t>2%</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Posterior nasal packing</w:t>
            </w:r>
          </w:p>
        </w:tc>
        <w:tc>
          <w:tcPr>
            <w:tcW w:w="2440" w:type="dxa"/>
          </w:tcPr>
          <w:p w:rsidR="00834C70" w:rsidRPr="00EF154D" w:rsidRDefault="00834C70" w:rsidP="00EF154D">
            <w:pPr>
              <w:pStyle w:val="TableParagraph"/>
              <w:spacing w:before="0" w:line="360" w:lineRule="auto"/>
              <w:ind w:left="4"/>
              <w:rPr>
                <w:sz w:val="20"/>
                <w:szCs w:val="20"/>
              </w:rPr>
            </w:pPr>
            <w:r w:rsidRPr="00EF154D">
              <w:rPr>
                <w:sz w:val="20"/>
                <w:szCs w:val="20"/>
              </w:rPr>
              <w:t>1</w:t>
            </w:r>
          </w:p>
        </w:tc>
        <w:tc>
          <w:tcPr>
            <w:tcW w:w="1850" w:type="dxa"/>
          </w:tcPr>
          <w:p w:rsidR="00834C70" w:rsidRPr="00EF154D" w:rsidRDefault="00834C70" w:rsidP="00EF154D">
            <w:pPr>
              <w:pStyle w:val="TableParagraph"/>
              <w:spacing w:before="0" w:line="360" w:lineRule="auto"/>
              <w:ind w:left="479" w:right="479"/>
              <w:rPr>
                <w:sz w:val="20"/>
                <w:szCs w:val="20"/>
              </w:rPr>
            </w:pPr>
            <w:r w:rsidRPr="00EF154D">
              <w:rPr>
                <w:sz w:val="20"/>
                <w:szCs w:val="20"/>
              </w:rPr>
              <w:t>1%</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proofErr w:type="spellStart"/>
            <w:r w:rsidRPr="00EF154D">
              <w:rPr>
                <w:sz w:val="20"/>
                <w:szCs w:val="20"/>
              </w:rPr>
              <w:t>Septoplasty</w:t>
            </w:r>
            <w:proofErr w:type="spellEnd"/>
          </w:p>
        </w:tc>
        <w:tc>
          <w:tcPr>
            <w:tcW w:w="2440" w:type="dxa"/>
          </w:tcPr>
          <w:p w:rsidR="00834C70" w:rsidRPr="00EF154D" w:rsidRDefault="00834C70" w:rsidP="00EF154D">
            <w:pPr>
              <w:pStyle w:val="TableParagraph"/>
              <w:spacing w:before="0" w:line="360" w:lineRule="auto"/>
              <w:ind w:left="7"/>
              <w:rPr>
                <w:sz w:val="20"/>
                <w:szCs w:val="20"/>
              </w:rPr>
            </w:pPr>
            <w:r w:rsidRPr="00EF154D">
              <w:rPr>
                <w:sz w:val="20"/>
                <w:szCs w:val="20"/>
              </w:rPr>
              <w:t>4</w:t>
            </w:r>
          </w:p>
        </w:tc>
        <w:tc>
          <w:tcPr>
            <w:tcW w:w="1850" w:type="dxa"/>
          </w:tcPr>
          <w:p w:rsidR="00834C70" w:rsidRPr="00EF154D" w:rsidRDefault="00834C70" w:rsidP="00EF154D">
            <w:pPr>
              <w:pStyle w:val="TableParagraph"/>
              <w:spacing w:before="0" w:line="360" w:lineRule="auto"/>
              <w:ind w:left="479" w:right="477"/>
              <w:rPr>
                <w:sz w:val="20"/>
                <w:szCs w:val="20"/>
              </w:rPr>
            </w:pPr>
            <w:r w:rsidRPr="00EF154D">
              <w:rPr>
                <w:sz w:val="20"/>
                <w:szCs w:val="20"/>
              </w:rPr>
              <w:t>4%</w:t>
            </w:r>
          </w:p>
        </w:tc>
      </w:tr>
      <w:tr w:rsidR="00834C70" w:rsidRPr="00EF154D" w:rsidTr="00235F96">
        <w:trPr>
          <w:trHeight w:val="478"/>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Suturing</w:t>
            </w:r>
          </w:p>
        </w:tc>
        <w:tc>
          <w:tcPr>
            <w:tcW w:w="2440" w:type="dxa"/>
          </w:tcPr>
          <w:p w:rsidR="00834C70" w:rsidRPr="00EF154D" w:rsidRDefault="00834C70" w:rsidP="00EF154D">
            <w:pPr>
              <w:pStyle w:val="TableParagraph"/>
              <w:spacing w:before="0" w:line="360" w:lineRule="auto"/>
              <w:ind w:left="7"/>
              <w:rPr>
                <w:sz w:val="20"/>
                <w:szCs w:val="20"/>
              </w:rPr>
            </w:pPr>
            <w:r w:rsidRPr="00EF154D">
              <w:rPr>
                <w:sz w:val="20"/>
                <w:szCs w:val="20"/>
              </w:rPr>
              <w:t>1</w:t>
            </w:r>
          </w:p>
        </w:tc>
        <w:tc>
          <w:tcPr>
            <w:tcW w:w="1850" w:type="dxa"/>
          </w:tcPr>
          <w:p w:rsidR="00834C70" w:rsidRPr="00EF154D" w:rsidRDefault="00834C70" w:rsidP="00EF154D">
            <w:pPr>
              <w:pStyle w:val="TableParagraph"/>
              <w:spacing w:before="0" w:line="360" w:lineRule="auto"/>
              <w:ind w:left="479" w:right="477"/>
              <w:rPr>
                <w:sz w:val="20"/>
                <w:szCs w:val="20"/>
              </w:rPr>
            </w:pPr>
            <w:r w:rsidRPr="00EF154D">
              <w:rPr>
                <w:sz w:val="20"/>
                <w:szCs w:val="20"/>
              </w:rPr>
              <w:t>1%</w:t>
            </w:r>
          </w:p>
        </w:tc>
      </w:tr>
      <w:tr w:rsidR="00834C70" w:rsidRPr="00EF154D" w:rsidTr="00235F96">
        <w:trPr>
          <w:trHeight w:val="476"/>
        </w:trPr>
        <w:tc>
          <w:tcPr>
            <w:tcW w:w="4263" w:type="dxa"/>
          </w:tcPr>
          <w:p w:rsidR="00834C70" w:rsidRPr="00EF154D" w:rsidRDefault="00834C70" w:rsidP="00834C70">
            <w:pPr>
              <w:pStyle w:val="TableParagraph"/>
              <w:spacing w:before="0" w:line="360" w:lineRule="auto"/>
              <w:ind w:left="107"/>
              <w:jc w:val="both"/>
              <w:rPr>
                <w:sz w:val="20"/>
                <w:szCs w:val="20"/>
              </w:rPr>
            </w:pPr>
            <w:r w:rsidRPr="00EF154D">
              <w:rPr>
                <w:sz w:val="20"/>
                <w:szCs w:val="20"/>
              </w:rPr>
              <w:t>Total</w:t>
            </w:r>
          </w:p>
        </w:tc>
        <w:tc>
          <w:tcPr>
            <w:tcW w:w="2440" w:type="dxa"/>
          </w:tcPr>
          <w:p w:rsidR="00834C70" w:rsidRPr="00EF154D" w:rsidRDefault="00235F96" w:rsidP="00834C70">
            <w:pPr>
              <w:pStyle w:val="TableParagraph"/>
              <w:spacing w:before="0" w:line="360" w:lineRule="auto"/>
              <w:ind w:left="634" w:right="627"/>
              <w:jc w:val="both"/>
              <w:rPr>
                <w:sz w:val="20"/>
                <w:szCs w:val="20"/>
              </w:rPr>
            </w:pPr>
            <w:r>
              <w:rPr>
                <w:sz w:val="20"/>
                <w:szCs w:val="20"/>
              </w:rPr>
              <w:t xml:space="preserve">          </w:t>
            </w:r>
            <w:r w:rsidR="00834C70" w:rsidRPr="00EF154D">
              <w:rPr>
                <w:sz w:val="20"/>
                <w:szCs w:val="20"/>
              </w:rPr>
              <w:t>100</w:t>
            </w:r>
          </w:p>
        </w:tc>
        <w:tc>
          <w:tcPr>
            <w:tcW w:w="1850" w:type="dxa"/>
          </w:tcPr>
          <w:p w:rsidR="00834C70" w:rsidRPr="00EF154D" w:rsidRDefault="00235F96" w:rsidP="00834C70">
            <w:pPr>
              <w:pStyle w:val="TableParagraph"/>
              <w:spacing w:before="0" w:line="360" w:lineRule="auto"/>
              <w:ind w:left="479" w:right="478"/>
              <w:jc w:val="both"/>
              <w:rPr>
                <w:sz w:val="20"/>
                <w:szCs w:val="20"/>
              </w:rPr>
            </w:pPr>
            <w:r>
              <w:rPr>
                <w:sz w:val="20"/>
                <w:szCs w:val="20"/>
              </w:rPr>
              <w:t xml:space="preserve">     </w:t>
            </w:r>
            <w:r w:rsidR="00834C70" w:rsidRPr="00EF154D">
              <w:rPr>
                <w:sz w:val="20"/>
                <w:szCs w:val="20"/>
              </w:rPr>
              <w:t>100%</w:t>
            </w:r>
          </w:p>
        </w:tc>
      </w:tr>
    </w:tbl>
    <w:p w:rsidR="00834C70" w:rsidRPr="00EF154D" w:rsidRDefault="00834C70" w:rsidP="00834C70">
      <w:pPr>
        <w:pStyle w:val="BodyText"/>
        <w:spacing w:line="360" w:lineRule="auto"/>
        <w:ind w:left="659"/>
        <w:jc w:val="both"/>
        <w:rPr>
          <w:sz w:val="20"/>
          <w:szCs w:val="20"/>
        </w:rPr>
      </w:pPr>
      <w:r w:rsidRPr="00EF154D">
        <w:rPr>
          <w:sz w:val="20"/>
          <w:szCs w:val="20"/>
        </w:rPr>
        <w:t>p = 1</w:t>
      </w:r>
    </w:p>
    <w:p w:rsidR="00834C70" w:rsidRPr="00EF154D" w:rsidRDefault="00834C70" w:rsidP="00834C70">
      <w:pPr>
        <w:spacing w:after="0" w:line="360" w:lineRule="auto"/>
        <w:jc w:val="both"/>
        <w:rPr>
          <w:rFonts w:ascii="Times New Roman" w:hAnsi="Times New Roman" w:cs="Times New Roman"/>
          <w:sz w:val="20"/>
          <w:szCs w:val="20"/>
        </w:rPr>
      </w:pPr>
    </w:p>
    <w:p w:rsidR="00FB7B17" w:rsidRPr="00EF154D" w:rsidRDefault="00FB7B17" w:rsidP="00FB7B17">
      <w:pPr>
        <w:pStyle w:val="BodyText"/>
        <w:spacing w:line="360" w:lineRule="auto"/>
        <w:ind w:right="654"/>
        <w:jc w:val="both"/>
        <w:rPr>
          <w:sz w:val="20"/>
          <w:szCs w:val="20"/>
        </w:rPr>
      </w:pPr>
      <w:r w:rsidRPr="00EF154D">
        <w:rPr>
          <w:sz w:val="20"/>
          <w:szCs w:val="20"/>
        </w:rPr>
        <w:t xml:space="preserve">As per our study, anterior nasal packing was successful in 68% patients on initial attempt. In 18 (18%) out of 100 patients of bleeding could only be controlled by endoscopic </w:t>
      </w:r>
      <w:proofErr w:type="spellStart"/>
      <w:r w:rsidRPr="00EF154D">
        <w:rPr>
          <w:sz w:val="20"/>
          <w:szCs w:val="20"/>
        </w:rPr>
        <w:t>cauterisation</w:t>
      </w:r>
      <w:proofErr w:type="spellEnd"/>
      <w:r w:rsidRPr="00EF154D">
        <w:rPr>
          <w:sz w:val="20"/>
          <w:szCs w:val="20"/>
        </w:rPr>
        <w:t xml:space="preserve"> of the source of the bleeding. 1 (1%) patient, responded to posterior nasal packing. Surgical methods such as Nasal bone reduction and </w:t>
      </w:r>
      <w:proofErr w:type="spellStart"/>
      <w:r w:rsidRPr="00EF154D">
        <w:rPr>
          <w:sz w:val="20"/>
          <w:szCs w:val="20"/>
        </w:rPr>
        <w:t>septoplasty</w:t>
      </w:r>
      <w:proofErr w:type="spellEnd"/>
      <w:r w:rsidRPr="00EF154D">
        <w:rPr>
          <w:sz w:val="20"/>
          <w:szCs w:val="20"/>
        </w:rPr>
        <w:t xml:space="preserve"> were done in 10 (10%) of patients.</w:t>
      </w:r>
    </w:p>
    <w:p w:rsidR="007F3BC8" w:rsidRPr="00EF154D" w:rsidRDefault="007F3BC8" w:rsidP="007F3BC8">
      <w:pPr>
        <w:pStyle w:val="BodyText"/>
        <w:spacing w:line="360" w:lineRule="auto"/>
        <w:ind w:right="654"/>
        <w:jc w:val="both"/>
        <w:rPr>
          <w:b/>
          <w:sz w:val="20"/>
          <w:szCs w:val="20"/>
        </w:rPr>
      </w:pPr>
      <w:r w:rsidRPr="00EF154D">
        <w:rPr>
          <w:b/>
          <w:sz w:val="20"/>
          <w:szCs w:val="20"/>
        </w:rPr>
        <w:t>Discussion:</w:t>
      </w:r>
    </w:p>
    <w:p w:rsidR="00834C70" w:rsidRPr="00EF154D" w:rsidRDefault="00834C70" w:rsidP="007F3BC8">
      <w:pPr>
        <w:pStyle w:val="BodyText"/>
        <w:spacing w:line="360" w:lineRule="auto"/>
        <w:jc w:val="both"/>
        <w:rPr>
          <w:sz w:val="20"/>
          <w:szCs w:val="20"/>
        </w:rPr>
      </w:pPr>
      <w:r w:rsidRPr="00EF154D">
        <w:rPr>
          <w:sz w:val="20"/>
          <w:szCs w:val="20"/>
        </w:rPr>
        <w:t>Treatment options by conservative techniques had expanded over the last 10 years quite significantly. Presently techniques using modern technology like latest optic and electrical devices have an upper edge over traditional strategies like nasal packing.</w:t>
      </w:r>
    </w:p>
    <w:p w:rsidR="00834C70" w:rsidRPr="00EF154D" w:rsidRDefault="00834C70" w:rsidP="007F3BC8">
      <w:pPr>
        <w:pStyle w:val="BodyText"/>
        <w:spacing w:line="360" w:lineRule="auto"/>
        <w:jc w:val="both"/>
        <w:rPr>
          <w:sz w:val="20"/>
          <w:szCs w:val="20"/>
        </w:rPr>
      </w:pPr>
      <w:r w:rsidRPr="00EF154D">
        <w:rPr>
          <w:sz w:val="20"/>
          <w:szCs w:val="20"/>
        </w:rPr>
        <w:t>Nasal packing has an advantage of easy placement, removal and cost benefits. Disadvantage lies in the fact that, it requires considerable training besides</w:t>
      </w:r>
      <w:r w:rsidR="007F3BC8" w:rsidRPr="00EF154D">
        <w:rPr>
          <w:sz w:val="20"/>
          <w:szCs w:val="20"/>
        </w:rPr>
        <w:t xml:space="preserve"> </w:t>
      </w:r>
      <w:r w:rsidRPr="00EF154D">
        <w:rPr>
          <w:sz w:val="20"/>
          <w:szCs w:val="20"/>
        </w:rPr>
        <w:t xml:space="preserve">causing significant discomfort to the patient. Above all, there are invitations to severe problems because of the easy traumatization during the packing procedure. Apart from the high failure rate of up to 26–50%, it is associated with marked discomfort, pain and swallowing difficulty. It can lead to a large number of local and systemic complications. </w:t>
      </w:r>
      <w:r w:rsidR="005230D6" w:rsidRPr="00EF154D">
        <w:rPr>
          <w:sz w:val="20"/>
          <w:szCs w:val="20"/>
          <w:vertAlign w:val="superscript"/>
        </w:rPr>
        <w:t>4</w:t>
      </w:r>
    </w:p>
    <w:p w:rsidR="00834C70" w:rsidRPr="00EF154D" w:rsidRDefault="00834C70" w:rsidP="007F3BC8">
      <w:pPr>
        <w:pStyle w:val="BodyText"/>
        <w:spacing w:line="360" w:lineRule="auto"/>
        <w:ind w:right="654"/>
        <w:jc w:val="both"/>
        <w:rPr>
          <w:sz w:val="20"/>
          <w:szCs w:val="20"/>
        </w:rPr>
      </w:pPr>
      <w:r w:rsidRPr="00EF154D">
        <w:rPr>
          <w:sz w:val="20"/>
          <w:szCs w:val="20"/>
        </w:rPr>
        <w:t xml:space="preserve">As per our study, anterior nasal packing was successful in 68% patients on initial attempt. In 18 (18%) out of 100 patients of bleeding could only be controlled by endoscopic </w:t>
      </w:r>
      <w:proofErr w:type="spellStart"/>
      <w:r w:rsidRPr="00EF154D">
        <w:rPr>
          <w:sz w:val="20"/>
          <w:szCs w:val="20"/>
        </w:rPr>
        <w:t>cauterisation</w:t>
      </w:r>
      <w:proofErr w:type="spellEnd"/>
      <w:r w:rsidRPr="00EF154D">
        <w:rPr>
          <w:sz w:val="20"/>
          <w:szCs w:val="20"/>
        </w:rPr>
        <w:t xml:space="preserve"> of the source of the bleeding. 1 (1%) patient, responded to posterior nasal packing. Surgical methods such as Nasal bone reduction and </w:t>
      </w:r>
      <w:proofErr w:type="spellStart"/>
      <w:r w:rsidRPr="00EF154D">
        <w:rPr>
          <w:sz w:val="20"/>
          <w:szCs w:val="20"/>
        </w:rPr>
        <w:t>septoplasty</w:t>
      </w:r>
      <w:proofErr w:type="spellEnd"/>
      <w:r w:rsidRPr="00EF154D">
        <w:rPr>
          <w:sz w:val="20"/>
          <w:szCs w:val="20"/>
        </w:rPr>
        <w:t xml:space="preserve"> were done in 10 (10%) of patients.</w:t>
      </w:r>
    </w:p>
    <w:p w:rsidR="00834C70" w:rsidRPr="00EF154D" w:rsidRDefault="00834C70" w:rsidP="007F3BC8">
      <w:pPr>
        <w:pStyle w:val="BodyText"/>
        <w:spacing w:line="360" w:lineRule="auto"/>
        <w:ind w:right="651"/>
        <w:jc w:val="both"/>
        <w:rPr>
          <w:sz w:val="20"/>
          <w:szCs w:val="20"/>
        </w:rPr>
      </w:pPr>
      <w:r w:rsidRPr="00EF154D">
        <w:rPr>
          <w:sz w:val="20"/>
          <w:szCs w:val="20"/>
        </w:rPr>
        <w:t xml:space="preserve">Our study showed similarity in this respect to others like in a study done by Muhammad Ismail </w:t>
      </w:r>
      <w:proofErr w:type="gramStart"/>
      <w:r w:rsidRPr="00EF154D">
        <w:rPr>
          <w:sz w:val="20"/>
          <w:szCs w:val="20"/>
        </w:rPr>
        <w:t>Khan,</w:t>
      </w:r>
      <w:proofErr w:type="gramEnd"/>
      <w:r w:rsidRPr="00EF154D">
        <w:rPr>
          <w:sz w:val="20"/>
          <w:szCs w:val="20"/>
        </w:rPr>
        <w:t xml:space="preserve"> it was successful in 78% of patients on initial attempt.</w:t>
      </w:r>
      <w:r w:rsidR="005230D6" w:rsidRPr="00EF154D">
        <w:rPr>
          <w:sz w:val="20"/>
          <w:szCs w:val="20"/>
          <w:vertAlign w:val="superscript"/>
        </w:rPr>
        <w:t>5</w:t>
      </w:r>
      <w:r w:rsidRPr="00EF154D">
        <w:rPr>
          <w:sz w:val="20"/>
          <w:szCs w:val="20"/>
        </w:rPr>
        <w:t xml:space="preserve"> </w:t>
      </w:r>
      <w:proofErr w:type="spellStart"/>
      <w:r w:rsidRPr="00EF154D">
        <w:rPr>
          <w:sz w:val="20"/>
          <w:szCs w:val="20"/>
        </w:rPr>
        <w:t>Nicholaides</w:t>
      </w:r>
      <w:proofErr w:type="spellEnd"/>
      <w:r w:rsidRPr="00EF154D">
        <w:rPr>
          <w:sz w:val="20"/>
          <w:szCs w:val="20"/>
        </w:rPr>
        <w:t xml:space="preserve"> et al has reported successful use of anterior nasal packing in only 22.3% cases. </w:t>
      </w:r>
      <w:r w:rsidR="005230D6" w:rsidRPr="00EF154D">
        <w:rPr>
          <w:sz w:val="20"/>
          <w:szCs w:val="20"/>
          <w:vertAlign w:val="superscript"/>
        </w:rPr>
        <w:t>6</w:t>
      </w:r>
      <w:r w:rsidRPr="00EF154D">
        <w:rPr>
          <w:sz w:val="20"/>
          <w:szCs w:val="20"/>
        </w:rPr>
        <w:t xml:space="preserve"> In contrast, </w:t>
      </w:r>
      <w:proofErr w:type="spellStart"/>
      <w:r w:rsidRPr="00EF154D">
        <w:rPr>
          <w:sz w:val="20"/>
          <w:szCs w:val="20"/>
        </w:rPr>
        <w:t>Gilyoma</w:t>
      </w:r>
      <w:proofErr w:type="spellEnd"/>
      <w:r w:rsidRPr="00EF154D">
        <w:rPr>
          <w:sz w:val="20"/>
          <w:szCs w:val="20"/>
        </w:rPr>
        <w:t xml:space="preserve"> et al has used anterior nasal packing for 38.5% of his patients and noted a success rate of 92.5%[37] Similarly </w:t>
      </w:r>
      <w:proofErr w:type="spellStart"/>
      <w:r w:rsidRPr="00EF154D">
        <w:rPr>
          <w:sz w:val="20"/>
          <w:szCs w:val="20"/>
        </w:rPr>
        <w:t>Hussain</w:t>
      </w:r>
      <w:proofErr w:type="spellEnd"/>
      <w:r w:rsidRPr="00EF154D">
        <w:rPr>
          <w:sz w:val="20"/>
          <w:szCs w:val="20"/>
        </w:rPr>
        <w:t xml:space="preserve"> G et al, reported a success rate of 98.2% for anterior nasal packing in managing epistaxis.</w:t>
      </w:r>
      <w:r w:rsidR="005230D6" w:rsidRPr="00EF154D">
        <w:rPr>
          <w:sz w:val="20"/>
          <w:szCs w:val="20"/>
          <w:vertAlign w:val="superscript"/>
        </w:rPr>
        <w:t>7</w:t>
      </w:r>
    </w:p>
    <w:p w:rsidR="00834C70" w:rsidRPr="00EF154D" w:rsidRDefault="00834C70" w:rsidP="007F3BC8">
      <w:pPr>
        <w:pStyle w:val="BodyText"/>
        <w:spacing w:line="360" w:lineRule="auto"/>
        <w:ind w:right="649"/>
        <w:jc w:val="both"/>
        <w:rPr>
          <w:sz w:val="20"/>
          <w:szCs w:val="20"/>
        </w:rPr>
      </w:pPr>
      <w:r w:rsidRPr="00EF154D">
        <w:rPr>
          <w:sz w:val="20"/>
          <w:szCs w:val="20"/>
        </w:rPr>
        <w:t>As much as 68% rate of complications has been reported by Wang et al.</w:t>
      </w:r>
      <w:r w:rsidR="005230D6" w:rsidRPr="00EF154D">
        <w:rPr>
          <w:sz w:val="20"/>
          <w:szCs w:val="20"/>
          <w:vertAlign w:val="superscript"/>
        </w:rPr>
        <w:t>8</w:t>
      </w:r>
      <w:r w:rsidRPr="00EF154D">
        <w:rPr>
          <w:sz w:val="20"/>
          <w:szCs w:val="20"/>
        </w:rPr>
        <w:t xml:space="preserve"> In a study by Muhammad Ismail Khan et al, infection (sinusitis and acute otitis media) was seen in 6% and 4% of patients after anterior nasal packing and silver nitrate cautery respectively.</w:t>
      </w:r>
      <w:r w:rsidR="005230D6" w:rsidRPr="00EF154D">
        <w:rPr>
          <w:sz w:val="20"/>
          <w:szCs w:val="20"/>
          <w:vertAlign w:val="superscript"/>
        </w:rPr>
        <w:t>5</w:t>
      </w:r>
      <w:r w:rsidRPr="00EF154D">
        <w:rPr>
          <w:sz w:val="20"/>
          <w:szCs w:val="20"/>
        </w:rPr>
        <w:t xml:space="preserve"> </w:t>
      </w:r>
      <w:proofErr w:type="spellStart"/>
      <w:r w:rsidRPr="00EF154D">
        <w:rPr>
          <w:sz w:val="20"/>
          <w:szCs w:val="20"/>
        </w:rPr>
        <w:t>Juselius</w:t>
      </w:r>
      <w:proofErr w:type="spellEnd"/>
      <w:r w:rsidRPr="00EF154D">
        <w:rPr>
          <w:sz w:val="20"/>
          <w:szCs w:val="20"/>
        </w:rPr>
        <w:t xml:space="preserve"> and Malik, have observed acute</w:t>
      </w:r>
      <w:r w:rsidR="007F3BC8" w:rsidRPr="00EF154D">
        <w:rPr>
          <w:sz w:val="20"/>
          <w:szCs w:val="20"/>
        </w:rPr>
        <w:t xml:space="preserve"> </w:t>
      </w:r>
      <w:r w:rsidRPr="00EF154D">
        <w:rPr>
          <w:sz w:val="20"/>
          <w:szCs w:val="20"/>
        </w:rPr>
        <w:t>otitis media in 0.9-6.8% cases after anterior nasal packing.</w:t>
      </w:r>
      <w:r w:rsidR="005230D6" w:rsidRPr="00EF154D">
        <w:rPr>
          <w:sz w:val="20"/>
          <w:szCs w:val="20"/>
          <w:vertAlign w:val="superscript"/>
        </w:rPr>
        <w:t>9</w:t>
      </w:r>
      <w:r w:rsidRPr="00EF154D">
        <w:rPr>
          <w:sz w:val="20"/>
          <w:szCs w:val="20"/>
        </w:rPr>
        <w:t xml:space="preserve"> Facial </w:t>
      </w:r>
      <w:proofErr w:type="spellStart"/>
      <w:r w:rsidRPr="00EF154D">
        <w:rPr>
          <w:sz w:val="20"/>
          <w:szCs w:val="20"/>
        </w:rPr>
        <w:t>oedema</w:t>
      </w:r>
      <w:proofErr w:type="spellEnd"/>
      <w:r w:rsidRPr="00EF154D">
        <w:rPr>
          <w:sz w:val="20"/>
          <w:szCs w:val="20"/>
        </w:rPr>
        <w:t xml:space="preserve"> was noticed following anterior nasal packing by Malik and </w:t>
      </w:r>
      <w:proofErr w:type="spellStart"/>
      <w:r w:rsidRPr="00EF154D">
        <w:rPr>
          <w:sz w:val="20"/>
          <w:szCs w:val="20"/>
        </w:rPr>
        <w:t>Okafor</w:t>
      </w:r>
      <w:proofErr w:type="spellEnd"/>
      <w:r w:rsidRPr="00EF154D">
        <w:rPr>
          <w:sz w:val="20"/>
          <w:szCs w:val="20"/>
        </w:rPr>
        <w:t xml:space="preserve"> in 8.4- 13.3% cases.</w:t>
      </w:r>
      <w:r w:rsidR="005230D6" w:rsidRPr="00EF154D">
        <w:rPr>
          <w:sz w:val="20"/>
          <w:szCs w:val="20"/>
          <w:vertAlign w:val="superscript"/>
        </w:rPr>
        <w:t>10.11</w:t>
      </w:r>
      <w:r w:rsidRPr="00EF154D">
        <w:rPr>
          <w:sz w:val="20"/>
          <w:szCs w:val="20"/>
        </w:rPr>
        <w:t xml:space="preserve"> In a study conducted by </w:t>
      </w:r>
      <w:proofErr w:type="spellStart"/>
      <w:r w:rsidRPr="00EF154D">
        <w:rPr>
          <w:sz w:val="20"/>
          <w:szCs w:val="20"/>
        </w:rPr>
        <w:t>Chauhan</w:t>
      </w:r>
      <w:proofErr w:type="spellEnd"/>
      <w:r w:rsidRPr="00EF154D">
        <w:rPr>
          <w:sz w:val="20"/>
          <w:szCs w:val="20"/>
        </w:rPr>
        <w:t xml:space="preserve"> B in 2011, it was concluded that almost all patients in group A with complete nasal packing had dry mouth, difficulty in swallowing and disturbed sleep. They interpreted that nasal packing with an airway </w:t>
      </w:r>
      <w:r w:rsidRPr="00EF154D">
        <w:rPr>
          <w:spacing w:val="2"/>
          <w:sz w:val="20"/>
          <w:szCs w:val="20"/>
        </w:rPr>
        <w:t xml:space="preserve">may </w:t>
      </w:r>
      <w:r w:rsidRPr="00EF154D">
        <w:rPr>
          <w:sz w:val="20"/>
          <w:szCs w:val="20"/>
        </w:rPr>
        <w:t>help to reduce post-operative morbidity and risk</w:t>
      </w:r>
      <w:r w:rsidRPr="00EF154D">
        <w:rPr>
          <w:spacing w:val="-41"/>
          <w:sz w:val="20"/>
          <w:szCs w:val="20"/>
        </w:rPr>
        <w:t xml:space="preserve"> </w:t>
      </w:r>
      <w:r w:rsidRPr="00EF154D">
        <w:rPr>
          <w:sz w:val="20"/>
          <w:szCs w:val="20"/>
        </w:rPr>
        <w:t>of hypoxemia.</w:t>
      </w:r>
      <w:r w:rsidR="005230D6" w:rsidRPr="00EF154D">
        <w:rPr>
          <w:sz w:val="20"/>
          <w:szCs w:val="20"/>
          <w:vertAlign w:val="superscript"/>
        </w:rPr>
        <w:t>12</w:t>
      </w:r>
      <w:r w:rsidRPr="00EF154D">
        <w:rPr>
          <w:sz w:val="20"/>
          <w:szCs w:val="20"/>
        </w:rPr>
        <w:t xml:space="preserve"> </w:t>
      </w:r>
      <w:proofErr w:type="spellStart"/>
      <w:r w:rsidRPr="00EF154D">
        <w:rPr>
          <w:sz w:val="20"/>
          <w:szCs w:val="20"/>
        </w:rPr>
        <w:t>Sunitha</w:t>
      </w:r>
      <w:proofErr w:type="spellEnd"/>
      <w:r w:rsidRPr="00EF154D">
        <w:rPr>
          <w:sz w:val="20"/>
          <w:szCs w:val="20"/>
        </w:rPr>
        <w:t xml:space="preserve"> </w:t>
      </w:r>
      <w:proofErr w:type="spellStart"/>
      <w:r w:rsidRPr="00EF154D">
        <w:rPr>
          <w:sz w:val="20"/>
          <w:szCs w:val="20"/>
        </w:rPr>
        <w:t>Chhapola</w:t>
      </w:r>
      <w:proofErr w:type="spellEnd"/>
      <w:r w:rsidRPr="00EF154D">
        <w:rPr>
          <w:sz w:val="20"/>
          <w:szCs w:val="20"/>
        </w:rPr>
        <w:t xml:space="preserve">, </w:t>
      </w:r>
      <w:proofErr w:type="spellStart"/>
      <w:r w:rsidRPr="00EF154D">
        <w:rPr>
          <w:sz w:val="20"/>
          <w:szCs w:val="20"/>
        </w:rPr>
        <w:t>Inita</w:t>
      </w:r>
      <w:proofErr w:type="spellEnd"/>
      <w:r w:rsidRPr="00EF154D">
        <w:rPr>
          <w:sz w:val="20"/>
          <w:szCs w:val="20"/>
        </w:rPr>
        <w:t xml:space="preserve"> </w:t>
      </w:r>
      <w:proofErr w:type="spellStart"/>
      <w:r w:rsidRPr="00EF154D">
        <w:rPr>
          <w:sz w:val="20"/>
          <w:szCs w:val="20"/>
        </w:rPr>
        <w:t>Matta</w:t>
      </w:r>
      <w:proofErr w:type="spellEnd"/>
      <w:r w:rsidRPr="00EF154D">
        <w:rPr>
          <w:sz w:val="20"/>
          <w:szCs w:val="20"/>
        </w:rPr>
        <w:t xml:space="preserve"> and </w:t>
      </w:r>
      <w:proofErr w:type="spellStart"/>
      <w:r w:rsidRPr="00EF154D">
        <w:rPr>
          <w:sz w:val="20"/>
          <w:szCs w:val="20"/>
        </w:rPr>
        <w:t>Prathima</w:t>
      </w:r>
      <w:proofErr w:type="spellEnd"/>
      <w:r w:rsidRPr="00EF154D">
        <w:rPr>
          <w:sz w:val="20"/>
          <w:szCs w:val="20"/>
        </w:rPr>
        <w:t xml:space="preserve"> Marker done a study to compare blind nasal packing (Group A) with endoscopic control (Group B) of epistaxis in emergency setting. Group A had nasal mucosal erosions in 55% patients, secretory otitis media in 2.5% and </w:t>
      </w:r>
      <w:proofErr w:type="spellStart"/>
      <w:r w:rsidRPr="00EF154D">
        <w:rPr>
          <w:sz w:val="20"/>
          <w:szCs w:val="20"/>
        </w:rPr>
        <w:t>synechiae</w:t>
      </w:r>
      <w:proofErr w:type="spellEnd"/>
      <w:r w:rsidRPr="00EF154D">
        <w:rPr>
          <w:sz w:val="20"/>
          <w:szCs w:val="20"/>
        </w:rPr>
        <w:t xml:space="preserve"> formation in 12.5% cases. Re bleeding occurred in 35% patients after removal of nasal</w:t>
      </w:r>
      <w:r w:rsidRPr="00EF154D">
        <w:rPr>
          <w:spacing w:val="-16"/>
          <w:sz w:val="20"/>
          <w:szCs w:val="20"/>
        </w:rPr>
        <w:t xml:space="preserve"> </w:t>
      </w:r>
      <w:r w:rsidRPr="00EF154D">
        <w:rPr>
          <w:sz w:val="20"/>
          <w:szCs w:val="20"/>
        </w:rPr>
        <w:t>pack.</w:t>
      </w:r>
    </w:p>
    <w:p w:rsidR="00834C70" w:rsidRPr="00EF154D" w:rsidRDefault="007F3BC8" w:rsidP="007F3BC8">
      <w:pPr>
        <w:pStyle w:val="BodyText"/>
        <w:spacing w:line="360" w:lineRule="auto"/>
        <w:ind w:right="649"/>
        <w:jc w:val="both"/>
        <w:rPr>
          <w:sz w:val="20"/>
          <w:szCs w:val="20"/>
        </w:rPr>
      </w:pPr>
      <w:r w:rsidRPr="00EF154D">
        <w:rPr>
          <w:b/>
          <w:sz w:val="20"/>
          <w:szCs w:val="20"/>
        </w:rPr>
        <w:t>Conclusion</w:t>
      </w:r>
      <w:proofErr w:type="gramStart"/>
      <w:r w:rsidRPr="00EF154D">
        <w:rPr>
          <w:b/>
          <w:sz w:val="20"/>
          <w:szCs w:val="20"/>
        </w:rPr>
        <w:t>:</w:t>
      </w:r>
      <w:proofErr w:type="gramEnd"/>
      <w:r w:rsidRPr="00EF154D">
        <w:rPr>
          <w:sz w:val="20"/>
          <w:szCs w:val="20"/>
        </w:rPr>
        <w:br/>
      </w:r>
      <w:r w:rsidR="00834C70" w:rsidRPr="00EF154D">
        <w:rPr>
          <w:sz w:val="20"/>
          <w:szCs w:val="20"/>
        </w:rPr>
        <w:t xml:space="preserve">Majority of cases responded to anterior nasal packing. Rest of the cases were surgically managed which included endoscopic </w:t>
      </w:r>
      <w:proofErr w:type="spellStart"/>
      <w:r w:rsidR="00834C70" w:rsidRPr="00EF154D">
        <w:rPr>
          <w:sz w:val="20"/>
          <w:szCs w:val="20"/>
        </w:rPr>
        <w:t>cauterisation</w:t>
      </w:r>
      <w:proofErr w:type="spellEnd"/>
      <w:r w:rsidR="00834C70" w:rsidRPr="00EF154D">
        <w:rPr>
          <w:sz w:val="20"/>
          <w:szCs w:val="20"/>
        </w:rPr>
        <w:t xml:space="preserve"> of the source of the bleed which included </w:t>
      </w:r>
      <w:proofErr w:type="spellStart"/>
      <w:r w:rsidR="00834C70" w:rsidRPr="00EF154D">
        <w:rPr>
          <w:sz w:val="20"/>
          <w:szCs w:val="20"/>
        </w:rPr>
        <w:t>cauterisation</w:t>
      </w:r>
      <w:proofErr w:type="spellEnd"/>
      <w:r w:rsidR="00834C70" w:rsidRPr="00EF154D">
        <w:rPr>
          <w:sz w:val="20"/>
          <w:szCs w:val="20"/>
        </w:rPr>
        <w:t xml:space="preserve"> of </w:t>
      </w:r>
      <w:proofErr w:type="spellStart"/>
      <w:r w:rsidR="00834C70" w:rsidRPr="00EF154D">
        <w:rPr>
          <w:sz w:val="20"/>
          <w:szCs w:val="20"/>
        </w:rPr>
        <w:t>Sphenopalatine</w:t>
      </w:r>
      <w:proofErr w:type="spellEnd"/>
      <w:r w:rsidR="00834C70" w:rsidRPr="00EF154D">
        <w:rPr>
          <w:sz w:val="20"/>
          <w:szCs w:val="20"/>
        </w:rPr>
        <w:t xml:space="preserve"> artery in some</w:t>
      </w:r>
      <w:r w:rsidR="00834C70" w:rsidRPr="00EF154D">
        <w:rPr>
          <w:spacing w:val="-2"/>
          <w:sz w:val="20"/>
          <w:szCs w:val="20"/>
        </w:rPr>
        <w:t xml:space="preserve"> </w:t>
      </w:r>
      <w:r w:rsidR="00834C70" w:rsidRPr="00EF154D">
        <w:rPr>
          <w:sz w:val="20"/>
          <w:szCs w:val="20"/>
        </w:rPr>
        <w:t>cases.</w:t>
      </w:r>
    </w:p>
    <w:p w:rsidR="005230D6" w:rsidRPr="00EF154D" w:rsidRDefault="005230D6" w:rsidP="007F3BC8">
      <w:pPr>
        <w:pStyle w:val="BodyText"/>
        <w:spacing w:line="360" w:lineRule="auto"/>
        <w:ind w:right="649"/>
        <w:jc w:val="both"/>
        <w:rPr>
          <w:sz w:val="20"/>
          <w:szCs w:val="20"/>
        </w:rPr>
      </w:pPr>
    </w:p>
    <w:p w:rsidR="005230D6" w:rsidRPr="00EF154D" w:rsidRDefault="005230D6" w:rsidP="007F3BC8">
      <w:pPr>
        <w:pStyle w:val="BodyText"/>
        <w:spacing w:line="360" w:lineRule="auto"/>
        <w:ind w:right="649"/>
        <w:jc w:val="both"/>
        <w:rPr>
          <w:b/>
          <w:sz w:val="20"/>
          <w:szCs w:val="20"/>
        </w:rPr>
      </w:pPr>
      <w:r w:rsidRPr="00EF154D">
        <w:rPr>
          <w:b/>
          <w:sz w:val="20"/>
          <w:szCs w:val="20"/>
        </w:rPr>
        <w:lastRenderedPageBreak/>
        <w:t xml:space="preserve">References: </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proofErr w:type="spellStart"/>
      <w:r w:rsidRPr="00EF154D">
        <w:rPr>
          <w:sz w:val="18"/>
          <w:szCs w:val="18"/>
        </w:rPr>
        <w:t>Nwaorgu</w:t>
      </w:r>
      <w:proofErr w:type="spellEnd"/>
      <w:r w:rsidRPr="00EF154D">
        <w:rPr>
          <w:sz w:val="18"/>
          <w:szCs w:val="18"/>
        </w:rPr>
        <w:t xml:space="preserve"> OGB. Epistaxis: an overview. Annals of Ibadan Postgraduate Medicine 2004; 1 (2):</w:t>
      </w:r>
      <w:r w:rsidRPr="00EF154D">
        <w:rPr>
          <w:spacing w:val="-2"/>
          <w:sz w:val="18"/>
          <w:szCs w:val="18"/>
        </w:rPr>
        <w:t xml:space="preserve"> </w:t>
      </w:r>
      <w:r w:rsidRPr="00EF154D">
        <w:rPr>
          <w:sz w:val="18"/>
          <w:szCs w:val="18"/>
        </w:rPr>
        <w:t>32-7.</w:t>
      </w:r>
    </w:p>
    <w:p w:rsidR="005230D6" w:rsidRPr="00EF154D" w:rsidRDefault="005230D6" w:rsidP="00EF154D">
      <w:pPr>
        <w:pStyle w:val="ListParagraph"/>
        <w:numPr>
          <w:ilvl w:val="0"/>
          <w:numId w:val="4"/>
        </w:numPr>
        <w:tabs>
          <w:tab w:val="left" w:pos="1379"/>
          <w:tab w:val="left" w:pos="1380"/>
        </w:tabs>
        <w:spacing w:line="360" w:lineRule="auto"/>
        <w:ind w:right="-57"/>
        <w:jc w:val="both"/>
        <w:rPr>
          <w:sz w:val="18"/>
          <w:szCs w:val="18"/>
        </w:rPr>
      </w:pPr>
      <w:proofErr w:type="spellStart"/>
      <w:r w:rsidRPr="00EF154D">
        <w:rPr>
          <w:sz w:val="18"/>
          <w:szCs w:val="18"/>
        </w:rPr>
        <w:t>Rothenhaus</w:t>
      </w:r>
      <w:proofErr w:type="spellEnd"/>
      <w:r w:rsidRPr="00EF154D">
        <w:rPr>
          <w:sz w:val="18"/>
          <w:szCs w:val="18"/>
        </w:rPr>
        <w:t xml:space="preserve"> T. Epistaxis. </w:t>
      </w:r>
      <w:proofErr w:type="spellStart"/>
      <w:proofErr w:type="gramStart"/>
      <w:r w:rsidRPr="00EF154D">
        <w:rPr>
          <w:sz w:val="18"/>
          <w:szCs w:val="18"/>
        </w:rPr>
        <w:t>eMedicine</w:t>
      </w:r>
      <w:proofErr w:type="spellEnd"/>
      <w:proofErr w:type="gramEnd"/>
      <w:r w:rsidRPr="00EF154D">
        <w:rPr>
          <w:sz w:val="18"/>
          <w:szCs w:val="18"/>
        </w:rPr>
        <w:t xml:space="preserve"> website</w:t>
      </w:r>
      <w:r w:rsidRPr="00EF154D">
        <w:rPr>
          <w:spacing w:val="-7"/>
          <w:sz w:val="18"/>
          <w:szCs w:val="18"/>
        </w:rPr>
        <w:t xml:space="preserve"> </w:t>
      </w:r>
      <w:r w:rsidRPr="00EF154D">
        <w:rPr>
          <w:sz w:val="18"/>
          <w:szCs w:val="18"/>
        </w:rPr>
        <w:t>2004.</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proofErr w:type="spellStart"/>
      <w:r w:rsidRPr="00EF154D">
        <w:rPr>
          <w:sz w:val="18"/>
          <w:szCs w:val="18"/>
        </w:rPr>
        <w:t>Varshney</w:t>
      </w:r>
      <w:proofErr w:type="spellEnd"/>
      <w:r w:rsidRPr="00EF154D">
        <w:rPr>
          <w:sz w:val="18"/>
          <w:szCs w:val="18"/>
        </w:rPr>
        <w:t xml:space="preserve"> S, </w:t>
      </w:r>
      <w:proofErr w:type="spellStart"/>
      <w:r w:rsidRPr="00EF154D">
        <w:rPr>
          <w:sz w:val="18"/>
          <w:szCs w:val="18"/>
        </w:rPr>
        <w:t>Saxena</w:t>
      </w:r>
      <w:proofErr w:type="spellEnd"/>
      <w:r w:rsidRPr="00EF154D">
        <w:rPr>
          <w:sz w:val="18"/>
          <w:szCs w:val="18"/>
        </w:rPr>
        <w:t xml:space="preserve"> R.K. Epistaxis: A Retrospective Clinical Study. Indian J </w:t>
      </w:r>
      <w:proofErr w:type="spellStart"/>
      <w:r w:rsidRPr="00EF154D">
        <w:rPr>
          <w:sz w:val="18"/>
          <w:szCs w:val="18"/>
        </w:rPr>
        <w:t>Otolaryngol</w:t>
      </w:r>
      <w:proofErr w:type="spellEnd"/>
      <w:r w:rsidRPr="00EF154D">
        <w:rPr>
          <w:sz w:val="18"/>
          <w:szCs w:val="18"/>
        </w:rPr>
        <w:t xml:space="preserve"> Head Neck </w:t>
      </w:r>
      <w:proofErr w:type="spellStart"/>
      <w:r w:rsidRPr="00EF154D">
        <w:rPr>
          <w:sz w:val="18"/>
          <w:szCs w:val="18"/>
        </w:rPr>
        <w:t>Surg</w:t>
      </w:r>
      <w:proofErr w:type="spellEnd"/>
      <w:r w:rsidRPr="00EF154D">
        <w:rPr>
          <w:sz w:val="18"/>
          <w:szCs w:val="18"/>
        </w:rPr>
        <w:t xml:space="preserve"> 2005; 57:</w:t>
      </w:r>
      <w:r w:rsidRPr="00EF154D">
        <w:rPr>
          <w:spacing w:val="-13"/>
          <w:sz w:val="18"/>
          <w:szCs w:val="18"/>
        </w:rPr>
        <w:t xml:space="preserve"> </w:t>
      </w:r>
      <w:r w:rsidRPr="00EF154D">
        <w:rPr>
          <w:sz w:val="18"/>
          <w:szCs w:val="18"/>
        </w:rPr>
        <w:t>125-9.</w:t>
      </w:r>
    </w:p>
    <w:p w:rsidR="005230D6" w:rsidRPr="00EF154D" w:rsidRDefault="005230D6" w:rsidP="00EF154D">
      <w:pPr>
        <w:pStyle w:val="ListParagraph"/>
        <w:numPr>
          <w:ilvl w:val="0"/>
          <w:numId w:val="4"/>
        </w:numPr>
        <w:tabs>
          <w:tab w:val="left" w:pos="1379"/>
          <w:tab w:val="left" w:pos="1380"/>
        </w:tabs>
        <w:spacing w:line="360" w:lineRule="auto"/>
        <w:ind w:right="-57"/>
        <w:jc w:val="both"/>
        <w:rPr>
          <w:sz w:val="18"/>
          <w:szCs w:val="18"/>
        </w:rPr>
      </w:pPr>
      <w:r w:rsidRPr="00EF154D">
        <w:rPr>
          <w:sz w:val="18"/>
          <w:szCs w:val="18"/>
        </w:rPr>
        <w:t xml:space="preserve">Tan LK, Calhoun KH. Epistaxis. Med </w:t>
      </w:r>
      <w:proofErr w:type="spellStart"/>
      <w:r w:rsidRPr="00EF154D">
        <w:rPr>
          <w:sz w:val="18"/>
          <w:szCs w:val="18"/>
        </w:rPr>
        <w:t>Clin</w:t>
      </w:r>
      <w:proofErr w:type="spellEnd"/>
      <w:r w:rsidRPr="00EF154D">
        <w:rPr>
          <w:sz w:val="18"/>
          <w:szCs w:val="18"/>
        </w:rPr>
        <w:t xml:space="preserve"> North</w:t>
      </w:r>
      <w:r w:rsidRPr="00EF154D">
        <w:rPr>
          <w:spacing w:val="-15"/>
          <w:sz w:val="18"/>
          <w:szCs w:val="18"/>
        </w:rPr>
        <w:t xml:space="preserve"> </w:t>
      </w:r>
      <w:r w:rsidRPr="00EF154D">
        <w:rPr>
          <w:sz w:val="18"/>
          <w:szCs w:val="18"/>
        </w:rPr>
        <w:t>Am.1999</w:t>
      </w:r>
      <w:proofErr w:type="gramStart"/>
      <w:r w:rsidRPr="00EF154D">
        <w:rPr>
          <w:sz w:val="18"/>
          <w:szCs w:val="18"/>
        </w:rPr>
        <w:t>;83:43</w:t>
      </w:r>
      <w:proofErr w:type="gramEnd"/>
      <w:r w:rsidRPr="00EF154D">
        <w:rPr>
          <w:sz w:val="18"/>
          <w:szCs w:val="18"/>
        </w:rPr>
        <w:t>-56.</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r w:rsidRPr="00EF154D">
        <w:rPr>
          <w:sz w:val="18"/>
          <w:szCs w:val="18"/>
        </w:rPr>
        <w:t xml:space="preserve">Khan M I, Mohammad, </w:t>
      </w:r>
      <w:proofErr w:type="spellStart"/>
      <w:r w:rsidRPr="00EF154D">
        <w:rPr>
          <w:sz w:val="18"/>
          <w:szCs w:val="18"/>
        </w:rPr>
        <w:t>Rafique</w:t>
      </w:r>
      <w:proofErr w:type="spellEnd"/>
      <w:r w:rsidRPr="00EF154D">
        <w:rPr>
          <w:sz w:val="18"/>
          <w:szCs w:val="18"/>
        </w:rPr>
        <w:t xml:space="preserve">, </w:t>
      </w:r>
      <w:proofErr w:type="spellStart"/>
      <w:r w:rsidRPr="00EF154D">
        <w:rPr>
          <w:sz w:val="18"/>
          <w:szCs w:val="18"/>
        </w:rPr>
        <w:t>Khattak</w:t>
      </w:r>
      <w:proofErr w:type="spellEnd"/>
      <w:r w:rsidRPr="00EF154D">
        <w:rPr>
          <w:sz w:val="18"/>
          <w:szCs w:val="18"/>
        </w:rPr>
        <w:t xml:space="preserve">. Control of Unilateral Spontaneous Anterior Epistaxis: Comparison of Complications of Anterior Nasal Packing </w:t>
      </w:r>
      <w:proofErr w:type="gramStart"/>
      <w:r w:rsidRPr="00EF154D">
        <w:rPr>
          <w:sz w:val="18"/>
          <w:szCs w:val="18"/>
        </w:rPr>
        <w:t>Versus</w:t>
      </w:r>
      <w:proofErr w:type="gramEnd"/>
      <w:r w:rsidRPr="00EF154D">
        <w:rPr>
          <w:sz w:val="18"/>
          <w:szCs w:val="18"/>
        </w:rPr>
        <w:t xml:space="preserve"> Silver Nitrate Cautery. Pakistan Journal of Medical and Health Sciences </w:t>
      </w:r>
      <w:proofErr w:type="gramStart"/>
      <w:r w:rsidRPr="00EF154D">
        <w:rPr>
          <w:sz w:val="18"/>
          <w:szCs w:val="18"/>
        </w:rPr>
        <w:t>2012 ;6</w:t>
      </w:r>
      <w:proofErr w:type="gramEnd"/>
      <w:r w:rsidRPr="00EF154D">
        <w:rPr>
          <w:spacing w:val="-7"/>
          <w:sz w:val="18"/>
          <w:szCs w:val="18"/>
        </w:rPr>
        <w:t xml:space="preserve"> </w:t>
      </w:r>
      <w:r w:rsidRPr="00EF154D">
        <w:rPr>
          <w:sz w:val="18"/>
          <w:szCs w:val="18"/>
        </w:rPr>
        <w:t>(4):823-6.</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proofErr w:type="spellStart"/>
      <w:r w:rsidRPr="00EF154D">
        <w:rPr>
          <w:sz w:val="18"/>
          <w:szCs w:val="18"/>
        </w:rPr>
        <w:t>Nicholaides</w:t>
      </w:r>
      <w:proofErr w:type="spellEnd"/>
      <w:r w:rsidRPr="00EF154D">
        <w:rPr>
          <w:sz w:val="18"/>
          <w:szCs w:val="18"/>
        </w:rPr>
        <w:t xml:space="preserve"> A, Gray R, </w:t>
      </w:r>
      <w:proofErr w:type="spellStart"/>
      <w:r w:rsidRPr="00EF154D">
        <w:rPr>
          <w:sz w:val="18"/>
          <w:szCs w:val="18"/>
        </w:rPr>
        <w:t>Pfleiderer</w:t>
      </w:r>
      <w:proofErr w:type="spellEnd"/>
      <w:r w:rsidRPr="00EF154D">
        <w:rPr>
          <w:sz w:val="18"/>
          <w:szCs w:val="18"/>
        </w:rPr>
        <w:t xml:space="preserve"> A. A new approach to the management of acute epistaxis. </w:t>
      </w:r>
      <w:proofErr w:type="spellStart"/>
      <w:r w:rsidRPr="00EF154D">
        <w:rPr>
          <w:sz w:val="18"/>
          <w:szCs w:val="18"/>
        </w:rPr>
        <w:t>Clin</w:t>
      </w:r>
      <w:proofErr w:type="spellEnd"/>
      <w:r w:rsidRPr="00EF154D">
        <w:rPr>
          <w:sz w:val="18"/>
          <w:szCs w:val="18"/>
        </w:rPr>
        <w:t xml:space="preserve"> </w:t>
      </w:r>
      <w:proofErr w:type="spellStart"/>
      <w:r w:rsidRPr="00EF154D">
        <w:rPr>
          <w:sz w:val="18"/>
          <w:szCs w:val="18"/>
        </w:rPr>
        <w:t>Otolaryngol</w:t>
      </w:r>
      <w:proofErr w:type="spellEnd"/>
      <w:r w:rsidRPr="00EF154D">
        <w:rPr>
          <w:sz w:val="18"/>
          <w:szCs w:val="18"/>
        </w:rPr>
        <w:t xml:space="preserve"> 1991;</w:t>
      </w:r>
      <w:r w:rsidRPr="00EF154D">
        <w:rPr>
          <w:spacing w:val="-13"/>
          <w:sz w:val="18"/>
          <w:szCs w:val="18"/>
        </w:rPr>
        <w:t xml:space="preserve"> </w:t>
      </w:r>
      <w:r w:rsidRPr="00EF154D">
        <w:rPr>
          <w:sz w:val="18"/>
          <w:szCs w:val="18"/>
        </w:rPr>
        <w:t>16:153-9.</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proofErr w:type="spellStart"/>
      <w:r w:rsidRPr="00EF154D">
        <w:rPr>
          <w:sz w:val="18"/>
          <w:szCs w:val="18"/>
        </w:rPr>
        <w:t>Hussain</w:t>
      </w:r>
      <w:proofErr w:type="spellEnd"/>
      <w:r w:rsidRPr="00EF154D">
        <w:rPr>
          <w:sz w:val="18"/>
          <w:szCs w:val="18"/>
        </w:rPr>
        <w:t xml:space="preserve"> G, </w:t>
      </w:r>
      <w:proofErr w:type="spellStart"/>
      <w:r w:rsidRPr="00EF154D">
        <w:rPr>
          <w:sz w:val="18"/>
          <w:szCs w:val="18"/>
        </w:rPr>
        <w:t>Iqbal</w:t>
      </w:r>
      <w:proofErr w:type="spellEnd"/>
      <w:r w:rsidRPr="00EF154D">
        <w:rPr>
          <w:sz w:val="18"/>
          <w:szCs w:val="18"/>
        </w:rPr>
        <w:t xml:space="preserve"> M, Shah SA. Evaluation of </w:t>
      </w:r>
      <w:proofErr w:type="spellStart"/>
      <w:r w:rsidRPr="00EF154D">
        <w:rPr>
          <w:sz w:val="18"/>
          <w:szCs w:val="18"/>
        </w:rPr>
        <w:t>aeitiology</w:t>
      </w:r>
      <w:proofErr w:type="spellEnd"/>
      <w:r w:rsidRPr="00EF154D">
        <w:rPr>
          <w:sz w:val="18"/>
          <w:szCs w:val="18"/>
        </w:rPr>
        <w:t xml:space="preserve"> and efficacy of management protocol of epistaxis. J </w:t>
      </w:r>
      <w:proofErr w:type="spellStart"/>
      <w:r w:rsidRPr="00EF154D">
        <w:rPr>
          <w:sz w:val="18"/>
          <w:szCs w:val="18"/>
        </w:rPr>
        <w:t>Ayub</w:t>
      </w:r>
      <w:proofErr w:type="spellEnd"/>
      <w:r w:rsidRPr="00EF154D">
        <w:rPr>
          <w:sz w:val="18"/>
          <w:szCs w:val="18"/>
        </w:rPr>
        <w:t xml:space="preserve"> Med </w:t>
      </w:r>
      <w:proofErr w:type="spellStart"/>
      <w:r w:rsidRPr="00EF154D">
        <w:rPr>
          <w:sz w:val="18"/>
          <w:szCs w:val="18"/>
        </w:rPr>
        <w:t>Coll</w:t>
      </w:r>
      <w:proofErr w:type="spellEnd"/>
      <w:r w:rsidRPr="00EF154D">
        <w:rPr>
          <w:sz w:val="18"/>
          <w:szCs w:val="18"/>
        </w:rPr>
        <w:t xml:space="preserve"> Abbottabad 2006; 18</w:t>
      </w:r>
      <w:r w:rsidRPr="00EF154D">
        <w:rPr>
          <w:spacing w:val="-2"/>
          <w:sz w:val="18"/>
          <w:szCs w:val="18"/>
        </w:rPr>
        <w:t xml:space="preserve"> </w:t>
      </w:r>
      <w:r w:rsidRPr="00EF154D">
        <w:rPr>
          <w:sz w:val="18"/>
          <w:szCs w:val="18"/>
        </w:rPr>
        <w:t>(4):62-5.</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r w:rsidRPr="00EF154D">
        <w:rPr>
          <w:sz w:val="18"/>
          <w:szCs w:val="18"/>
        </w:rPr>
        <w:t xml:space="preserve">Wang L, Vogel DH. Posterior epistaxis: comparison of treatment. </w:t>
      </w:r>
      <w:proofErr w:type="spellStart"/>
      <w:r w:rsidRPr="00EF154D">
        <w:rPr>
          <w:sz w:val="18"/>
          <w:szCs w:val="18"/>
        </w:rPr>
        <w:t>Otolaryngol</w:t>
      </w:r>
      <w:proofErr w:type="spellEnd"/>
      <w:r w:rsidRPr="00EF154D">
        <w:rPr>
          <w:sz w:val="18"/>
          <w:szCs w:val="18"/>
        </w:rPr>
        <w:t xml:space="preserve"> Head Neck Surg.</w:t>
      </w:r>
      <w:r w:rsidRPr="00EF154D">
        <w:rPr>
          <w:spacing w:val="-3"/>
          <w:sz w:val="18"/>
          <w:szCs w:val="18"/>
        </w:rPr>
        <w:t xml:space="preserve"> </w:t>
      </w:r>
      <w:r w:rsidRPr="00EF154D">
        <w:rPr>
          <w:sz w:val="18"/>
          <w:szCs w:val="18"/>
        </w:rPr>
        <w:t>1981;89:1001-6.</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proofErr w:type="spellStart"/>
      <w:r w:rsidRPr="00EF154D">
        <w:rPr>
          <w:sz w:val="18"/>
          <w:szCs w:val="18"/>
        </w:rPr>
        <w:t>Juselius</w:t>
      </w:r>
      <w:proofErr w:type="spellEnd"/>
      <w:r w:rsidRPr="00EF154D">
        <w:rPr>
          <w:sz w:val="18"/>
          <w:szCs w:val="18"/>
        </w:rPr>
        <w:t xml:space="preserve"> H. ‘Epistaxis’ A clinical study of 1724 patients. J of </w:t>
      </w:r>
      <w:proofErr w:type="spellStart"/>
      <w:r w:rsidRPr="00EF154D">
        <w:rPr>
          <w:sz w:val="18"/>
          <w:szCs w:val="18"/>
        </w:rPr>
        <w:t>Laryngol</w:t>
      </w:r>
      <w:proofErr w:type="spellEnd"/>
      <w:r w:rsidRPr="00EF154D">
        <w:rPr>
          <w:sz w:val="18"/>
          <w:szCs w:val="18"/>
        </w:rPr>
        <w:t xml:space="preserve"> </w:t>
      </w:r>
      <w:proofErr w:type="spellStart"/>
      <w:r w:rsidRPr="00EF154D">
        <w:rPr>
          <w:sz w:val="18"/>
          <w:szCs w:val="18"/>
        </w:rPr>
        <w:t>Otol</w:t>
      </w:r>
      <w:proofErr w:type="spellEnd"/>
      <w:r w:rsidRPr="00EF154D">
        <w:rPr>
          <w:sz w:val="18"/>
          <w:szCs w:val="18"/>
        </w:rPr>
        <w:t xml:space="preserve"> 1988. 317-27.</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r w:rsidRPr="00EF154D">
        <w:rPr>
          <w:sz w:val="18"/>
          <w:szCs w:val="18"/>
        </w:rPr>
        <w:t>Malik MK, Bhatia BPR. Epistaxis- a study of 600 patients. Indian Med Gazette 1978;</w:t>
      </w:r>
      <w:r w:rsidRPr="00EF154D">
        <w:rPr>
          <w:spacing w:val="-3"/>
          <w:sz w:val="18"/>
          <w:szCs w:val="18"/>
        </w:rPr>
        <w:t xml:space="preserve"> </w:t>
      </w:r>
      <w:r w:rsidRPr="00EF154D">
        <w:rPr>
          <w:sz w:val="18"/>
          <w:szCs w:val="18"/>
        </w:rPr>
        <w:t>112(1):56-69.</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proofErr w:type="spellStart"/>
      <w:r w:rsidRPr="00EF154D">
        <w:rPr>
          <w:sz w:val="18"/>
          <w:szCs w:val="18"/>
        </w:rPr>
        <w:t>Okafor</w:t>
      </w:r>
      <w:proofErr w:type="spellEnd"/>
      <w:r w:rsidRPr="00EF154D">
        <w:rPr>
          <w:sz w:val="18"/>
          <w:szCs w:val="18"/>
        </w:rPr>
        <w:t xml:space="preserve"> BC. Epistaxis: A clinical study of 540 cases. Ear Nose Throat J 1984;</w:t>
      </w:r>
      <w:r w:rsidRPr="00EF154D">
        <w:rPr>
          <w:spacing w:val="-2"/>
          <w:sz w:val="18"/>
          <w:szCs w:val="18"/>
        </w:rPr>
        <w:t xml:space="preserve"> </w:t>
      </w:r>
      <w:r w:rsidRPr="00EF154D">
        <w:rPr>
          <w:sz w:val="18"/>
          <w:szCs w:val="18"/>
        </w:rPr>
        <w:t>63:153-9.</w:t>
      </w:r>
    </w:p>
    <w:p w:rsidR="005230D6" w:rsidRPr="00EF154D" w:rsidRDefault="005230D6" w:rsidP="00EF154D">
      <w:pPr>
        <w:pStyle w:val="ListParagraph"/>
        <w:numPr>
          <w:ilvl w:val="0"/>
          <w:numId w:val="4"/>
        </w:numPr>
        <w:tabs>
          <w:tab w:val="left" w:pos="1380"/>
        </w:tabs>
        <w:spacing w:line="360" w:lineRule="auto"/>
        <w:ind w:right="-57"/>
        <w:jc w:val="both"/>
        <w:rPr>
          <w:sz w:val="18"/>
          <w:szCs w:val="18"/>
        </w:rPr>
      </w:pPr>
      <w:r w:rsidRPr="00EF154D">
        <w:rPr>
          <w:sz w:val="18"/>
          <w:szCs w:val="18"/>
        </w:rPr>
        <w:t xml:space="preserve">Gupta M, Singh S, </w:t>
      </w:r>
      <w:proofErr w:type="spellStart"/>
      <w:r w:rsidRPr="00EF154D">
        <w:rPr>
          <w:sz w:val="18"/>
          <w:szCs w:val="18"/>
        </w:rPr>
        <w:t>Chauhan</w:t>
      </w:r>
      <w:proofErr w:type="spellEnd"/>
      <w:r w:rsidRPr="00EF154D">
        <w:rPr>
          <w:sz w:val="18"/>
          <w:szCs w:val="18"/>
        </w:rPr>
        <w:t xml:space="preserve"> B. Comparative study of complete nasal packing with and without airways-ENT 2011 </w:t>
      </w:r>
      <w:proofErr w:type="spellStart"/>
      <w:r w:rsidRPr="00EF154D">
        <w:rPr>
          <w:sz w:val="18"/>
          <w:szCs w:val="18"/>
        </w:rPr>
        <w:t>Vol</w:t>
      </w:r>
      <w:proofErr w:type="spellEnd"/>
      <w:r w:rsidRPr="00EF154D">
        <w:rPr>
          <w:sz w:val="18"/>
          <w:szCs w:val="18"/>
        </w:rPr>
        <w:t xml:space="preserve"> 7(2),.</w:t>
      </w:r>
      <w:r w:rsidRPr="00EF154D">
        <w:rPr>
          <w:spacing w:val="-11"/>
          <w:sz w:val="18"/>
          <w:szCs w:val="18"/>
        </w:rPr>
        <w:t xml:space="preserve"> </w:t>
      </w:r>
      <w:r w:rsidRPr="00EF154D">
        <w:rPr>
          <w:sz w:val="18"/>
          <w:szCs w:val="18"/>
        </w:rPr>
        <w:t>91-6.</w:t>
      </w:r>
    </w:p>
    <w:p w:rsidR="00834C70" w:rsidRDefault="00834C70" w:rsidP="00834C70">
      <w:pPr>
        <w:rPr>
          <w:rFonts w:ascii="Times New Roman" w:hAnsi="Times New Roman" w:cs="Times New Roman"/>
          <w:sz w:val="20"/>
          <w:szCs w:val="20"/>
        </w:rPr>
      </w:pPr>
    </w:p>
    <w:p w:rsidR="009130CE" w:rsidRDefault="009130CE" w:rsidP="009130CE">
      <w:pPr>
        <w:spacing w:after="0"/>
        <w:rPr>
          <w:rFonts w:ascii="Cambria" w:hAnsi="Cambria"/>
          <w:sz w:val="18"/>
          <w:szCs w:val="18"/>
        </w:rPr>
      </w:pPr>
      <w:r>
        <w:rPr>
          <w:rFonts w:ascii="Cambria" w:hAnsi="Cambria"/>
          <w:sz w:val="18"/>
          <w:szCs w:val="18"/>
        </w:rPr>
        <w:t xml:space="preserve">           </w:t>
      </w:r>
      <w:r>
        <w:rPr>
          <w:rFonts w:ascii="Cambria" w:hAnsi="Cambria"/>
          <w:sz w:val="18"/>
          <w:szCs w:val="18"/>
        </w:rPr>
        <w:t xml:space="preserve">Date of Publishing:  05 </w:t>
      </w:r>
      <w:proofErr w:type="gramStart"/>
      <w:r>
        <w:rPr>
          <w:rFonts w:ascii="Cambria" w:hAnsi="Cambria"/>
          <w:sz w:val="18"/>
          <w:szCs w:val="18"/>
        </w:rPr>
        <w:t>September  2021</w:t>
      </w:r>
      <w:proofErr w:type="gramEnd"/>
      <w:r>
        <w:rPr>
          <w:rFonts w:ascii="Cambria" w:hAnsi="Cambria"/>
          <w:sz w:val="18"/>
          <w:szCs w:val="18"/>
        </w:rPr>
        <w:t xml:space="preserve"> </w:t>
      </w:r>
    </w:p>
    <w:p w:rsidR="009130CE" w:rsidRDefault="009130CE" w:rsidP="009130CE">
      <w:pPr>
        <w:spacing w:after="0"/>
        <w:ind w:left="454"/>
        <w:rPr>
          <w:rFonts w:ascii="Cambria" w:hAnsi="Cambria"/>
          <w:sz w:val="18"/>
          <w:szCs w:val="18"/>
        </w:rPr>
      </w:pPr>
      <w:r>
        <w:rPr>
          <w:rFonts w:ascii="Cambria" w:hAnsi="Cambria"/>
          <w:sz w:val="18"/>
          <w:szCs w:val="18"/>
        </w:rPr>
        <w:t xml:space="preserve">Author Declaration:  Source of support: Nil, Conflict of interest: Nil </w:t>
      </w:r>
    </w:p>
    <w:p w:rsidR="009130CE" w:rsidRDefault="009130CE" w:rsidP="009130CE">
      <w:pPr>
        <w:spacing w:after="0"/>
        <w:ind w:left="454"/>
        <w:rPr>
          <w:rFonts w:ascii="Cambria" w:hAnsi="Cambria"/>
          <w:sz w:val="18"/>
          <w:szCs w:val="18"/>
        </w:rPr>
      </w:pPr>
      <w:r>
        <w:rPr>
          <w:rFonts w:ascii="Cambria" w:hAnsi="Cambria"/>
          <w:sz w:val="18"/>
          <w:szCs w:val="18"/>
        </w:rPr>
        <w:t>Ethics</w:t>
      </w:r>
      <w:r>
        <w:rPr>
          <w:rFonts w:ascii="Cambria" w:hAnsi="Cambria"/>
          <w:sz w:val="18"/>
          <w:szCs w:val="18"/>
        </w:rPr>
        <w:t> </w:t>
      </w:r>
      <w:r>
        <w:rPr>
          <w:rFonts w:ascii="Cambria" w:hAnsi="Cambria"/>
          <w:sz w:val="18"/>
          <w:szCs w:val="18"/>
        </w:rPr>
        <w:t>Committee</w:t>
      </w:r>
      <w:r>
        <w:rPr>
          <w:rFonts w:ascii="Cambria" w:hAnsi="Cambria"/>
          <w:sz w:val="18"/>
          <w:szCs w:val="18"/>
        </w:rPr>
        <w:t> </w:t>
      </w:r>
      <w:r>
        <w:rPr>
          <w:rFonts w:ascii="Cambria" w:hAnsi="Cambria"/>
          <w:sz w:val="18"/>
          <w:szCs w:val="18"/>
        </w:rPr>
        <w:t>Approval</w:t>
      </w:r>
      <w:r>
        <w:rPr>
          <w:rFonts w:ascii="Cambria" w:hAnsi="Cambria"/>
          <w:sz w:val="18"/>
          <w:szCs w:val="18"/>
        </w:rPr>
        <w:t> </w:t>
      </w:r>
      <w:r>
        <w:rPr>
          <w:rFonts w:ascii="Cambria" w:hAnsi="Cambria"/>
          <w:sz w:val="18"/>
          <w:szCs w:val="18"/>
        </w:rPr>
        <w:t>obtained</w:t>
      </w:r>
      <w:r>
        <w:rPr>
          <w:rFonts w:ascii="Cambria" w:hAnsi="Cambria"/>
          <w:sz w:val="18"/>
          <w:szCs w:val="18"/>
        </w:rPr>
        <w:t> </w:t>
      </w:r>
      <w:r>
        <w:rPr>
          <w:rFonts w:ascii="Cambria" w:hAnsi="Cambria"/>
          <w:sz w:val="18"/>
          <w:szCs w:val="18"/>
        </w:rPr>
        <w:t>for</w:t>
      </w:r>
      <w:r>
        <w:rPr>
          <w:rFonts w:ascii="Cambria" w:hAnsi="Cambria"/>
          <w:sz w:val="18"/>
          <w:szCs w:val="18"/>
        </w:rPr>
        <w:t> </w:t>
      </w:r>
      <w:r>
        <w:rPr>
          <w:rFonts w:ascii="Cambria" w:hAnsi="Cambria"/>
          <w:sz w:val="18"/>
          <w:szCs w:val="18"/>
        </w:rPr>
        <w:t>this</w:t>
      </w:r>
      <w:r>
        <w:rPr>
          <w:rFonts w:ascii="Cambria" w:hAnsi="Cambria"/>
          <w:sz w:val="18"/>
          <w:szCs w:val="18"/>
        </w:rPr>
        <w:t> </w:t>
      </w:r>
      <w:r>
        <w:rPr>
          <w:rFonts w:ascii="Cambria" w:hAnsi="Cambria"/>
          <w:sz w:val="18"/>
          <w:szCs w:val="18"/>
        </w:rPr>
        <w:t>study?</w:t>
      </w:r>
      <w:r>
        <w:rPr>
          <w:rFonts w:ascii="Cambria" w:hAnsi="Cambria"/>
          <w:sz w:val="18"/>
          <w:szCs w:val="18"/>
        </w:rPr>
        <w:t> </w:t>
      </w:r>
      <w:r>
        <w:rPr>
          <w:rFonts w:ascii="Cambria" w:hAnsi="Cambria"/>
          <w:sz w:val="18"/>
          <w:szCs w:val="18"/>
        </w:rPr>
        <w:t xml:space="preserve"> YES</w:t>
      </w:r>
    </w:p>
    <w:p w:rsidR="009130CE" w:rsidRDefault="009130CE" w:rsidP="009130CE">
      <w:pPr>
        <w:spacing w:after="0"/>
        <w:ind w:left="454"/>
        <w:rPr>
          <w:rFonts w:ascii="Cambria" w:hAnsi="Cambria"/>
          <w:sz w:val="18"/>
          <w:szCs w:val="18"/>
        </w:rPr>
      </w:pPr>
      <w:r>
        <w:rPr>
          <w:rFonts w:ascii="Cambria" w:hAnsi="Cambria"/>
          <w:sz w:val="18"/>
          <w:szCs w:val="18"/>
        </w:rPr>
        <w:t>Was</w:t>
      </w:r>
      <w:r>
        <w:rPr>
          <w:rFonts w:ascii="Cambria" w:hAnsi="Cambria"/>
          <w:sz w:val="18"/>
          <w:szCs w:val="18"/>
        </w:rPr>
        <w:t> </w:t>
      </w:r>
      <w:r>
        <w:rPr>
          <w:rFonts w:ascii="Cambria" w:hAnsi="Cambria"/>
          <w:sz w:val="18"/>
          <w:szCs w:val="18"/>
        </w:rPr>
        <w:t>informed</w:t>
      </w:r>
      <w:r>
        <w:rPr>
          <w:rFonts w:ascii="Cambria" w:hAnsi="Cambria"/>
          <w:sz w:val="18"/>
          <w:szCs w:val="18"/>
        </w:rPr>
        <w:t> </w:t>
      </w:r>
      <w:r>
        <w:rPr>
          <w:rFonts w:ascii="Cambria" w:hAnsi="Cambria"/>
          <w:sz w:val="18"/>
          <w:szCs w:val="18"/>
        </w:rPr>
        <w:t>consent</w:t>
      </w:r>
      <w:r>
        <w:rPr>
          <w:rFonts w:ascii="Cambria" w:hAnsi="Cambria"/>
          <w:sz w:val="18"/>
          <w:szCs w:val="18"/>
        </w:rPr>
        <w:t> </w:t>
      </w:r>
      <w:r>
        <w:rPr>
          <w:rFonts w:ascii="Cambria" w:hAnsi="Cambria"/>
          <w:sz w:val="18"/>
          <w:szCs w:val="18"/>
        </w:rPr>
        <w:t>obtained</w:t>
      </w:r>
      <w:r>
        <w:rPr>
          <w:rFonts w:ascii="Cambria" w:hAnsi="Cambria"/>
          <w:sz w:val="18"/>
          <w:szCs w:val="18"/>
        </w:rPr>
        <w:t> </w:t>
      </w:r>
      <w:r>
        <w:rPr>
          <w:rFonts w:ascii="Cambria" w:hAnsi="Cambria"/>
          <w:sz w:val="18"/>
          <w:szCs w:val="18"/>
        </w:rPr>
        <w:t>from</w:t>
      </w:r>
      <w:r>
        <w:rPr>
          <w:rFonts w:ascii="Cambria" w:hAnsi="Cambria"/>
          <w:sz w:val="18"/>
          <w:szCs w:val="18"/>
        </w:rPr>
        <w:t> </w:t>
      </w:r>
      <w:r>
        <w:rPr>
          <w:rFonts w:ascii="Cambria" w:hAnsi="Cambria"/>
          <w:sz w:val="18"/>
          <w:szCs w:val="18"/>
        </w:rPr>
        <w:t>the</w:t>
      </w:r>
      <w:r>
        <w:rPr>
          <w:rFonts w:ascii="Cambria" w:hAnsi="Cambria"/>
          <w:sz w:val="18"/>
          <w:szCs w:val="18"/>
        </w:rPr>
        <w:t> </w:t>
      </w:r>
      <w:r>
        <w:rPr>
          <w:rFonts w:ascii="Cambria" w:hAnsi="Cambria"/>
          <w:sz w:val="18"/>
          <w:szCs w:val="18"/>
        </w:rPr>
        <w:t>subjects</w:t>
      </w:r>
      <w:r>
        <w:rPr>
          <w:rFonts w:ascii="Cambria" w:hAnsi="Cambria"/>
          <w:sz w:val="18"/>
          <w:szCs w:val="18"/>
        </w:rPr>
        <w:t> </w:t>
      </w:r>
      <w:r>
        <w:rPr>
          <w:rFonts w:ascii="Cambria" w:hAnsi="Cambria"/>
          <w:sz w:val="18"/>
          <w:szCs w:val="18"/>
        </w:rPr>
        <w:t>involved</w:t>
      </w:r>
      <w:r>
        <w:rPr>
          <w:rFonts w:ascii="Cambria" w:hAnsi="Cambria"/>
          <w:sz w:val="18"/>
          <w:szCs w:val="18"/>
        </w:rPr>
        <w:t> </w:t>
      </w:r>
      <w:r>
        <w:rPr>
          <w:rFonts w:ascii="Cambria" w:hAnsi="Cambria"/>
          <w:sz w:val="18"/>
          <w:szCs w:val="18"/>
        </w:rPr>
        <w:t>in</w:t>
      </w:r>
      <w:r>
        <w:rPr>
          <w:rFonts w:ascii="Cambria" w:hAnsi="Cambria"/>
          <w:sz w:val="18"/>
          <w:szCs w:val="18"/>
        </w:rPr>
        <w:t> </w:t>
      </w:r>
      <w:r>
        <w:rPr>
          <w:rFonts w:ascii="Cambria" w:hAnsi="Cambria"/>
          <w:sz w:val="18"/>
          <w:szCs w:val="18"/>
        </w:rPr>
        <w:t>the</w:t>
      </w:r>
      <w:r>
        <w:rPr>
          <w:rFonts w:ascii="Cambria" w:hAnsi="Cambria"/>
          <w:sz w:val="18"/>
          <w:szCs w:val="18"/>
        </w:rPr>
        <w:t> </w:t>
      </w:r>
      <w:r>
        <w:rPr>
          <w:rFonts w:ascii="Cambria" w:hAnsi="Cambria"/>
          <w:sz w:val="18"/>
          <w:szCs w:val="18"/>
        </w:rPr>
        <w:t>study?</w:t>
      </w:r>
      <w:r>
        <w:rPr>
          <w:rFonts w:ascii="Cambria" w:hAnsi="Cambria"/>
          <w:sz w:val="18"/>
          <w:szCs w:val="18"/>
        </w:rPr>
        <w:t> </w:t>
      </w:r>
      <w:r>
        <w:rPr>
          <w:rFonts w:ascii="Cambria" w:hAnsi="Cambria"/>
          <w:sz w:val="18"/>
          <w:szCs w:val="18"/>
        </w:rPr>
        <w:t xml:space="preserve"> YES</w:t>
      </w:r>
    </w:p>
    <w:p w:rsidR="009130CE" w:rsidRDefault="009130CE" w:rsidP="009130CE">
      <w:pPr>
        <w:spacing w:after="0"/>
        <w:ind w:left="454"/>
        <w:rPr>
          <w:rFonts w:ascii="Cambria" w:hAnsi="Cambria"/>
          <w:sz w:val="18"/>
          <w:szCs w:val="18"/>
        </w:rPr>
      </w:pPr>
      <w:r>
        <w:rPr>
          <w:rFonts w:ascii="Cambria" w:hAnsi="Cambria"/>
          <w:sz w:val="18"/>
          <w:szCs w:val="18"/>
        </w:rPr>
        <w:t>For</w:t>
      </w:r>
      <w:r>
        <w:rPr>
          <w:rFonts w:ascii="Cambria" w:hAnsi="Cambria"/>
          <w:sz w:val="18"/>
          <w:szCs w:val="18"/>
        </w:rPr>
        <w:t> </w:t>
      </w:r>
      <w:r>
        <w:rPr>
          <w:rFonts w:ascii="Cambria" w:hAnsi="Cambria"/>
          <w:sz w:val="18"/>
          <w:szCs w:val="18"/>
        </w:rPr>
        <w:t>any</w:t>
      </w:r>
      <w:r>
        <w:rPr>
          <w:rFonts w:ascii="Cambria" w:hAnsi="Cambria"/>
          <w:sz w:val="18"/>
          <w:szCs w:val="18"/>
        </w:rPr>
        <w:t> </w:t>
      </w:r>
      <w:r>
        <w:rPr>
          <w:rFonts w:ascii="Cambria" w:hAnsi="Cambria"/>
          <w:sz w:val="18"/>
          <w:szCs w:val="18"/>
        </w:rPr>
        <w:t>images</w:t>
      </w:r>
      <w:r>
        <w:rPr>
          <w:rFonts w:ascii="Cambria" w:hAnsi="Cambria"/>
          <w:sz w:val="18"/>
          <w:szCs w:val="18"/>
        </w:rPr>
        <w:t> </w:t>
      </w:r>
      <w:r>
        <w:rPr>
          <w:rFonts w:ascii="Cambria" w:hAnsi="Cambria"/>
          <w:sz w:val="18"/>
          <w:szCs w:val="18"/>
        </w:rPr>
        <w:t>presented</w:t>
      </w:r>
      <w:r>
        <w:rPr>
          <w:rFonts w:ascii="Cambria" w:hAnsi="Cambria"/>
          <w:sz w:val="18"/>
          <w:szCs w:val="18"/>
        </w:rPr>
        <w:t> </w:t>
      </w:r>
      <w:r>
        <w:rPr>
          <w:rFonts w:ascii="Cambria" w:hAnsi="Cambria"/>
          <w:sz w:val="18"/>
          <w:szCs w:val="18"/>
        </w:rPr>
        <w:t>appropriate</w:t>
      </w:r>
      <w:r>
        <w:rPr>
          <w:rFonts w:ascii="Cambria" w:hAnsi="Cambria"/>
          <w:sz w:val="18"/>
          <w:szCs w:val="18"/>
        </w:rPr>
        <w:t> </w:t>
      </w:r>
      <w:r>
        <w:rPr>
          <w:rFonts w:ascii="Cambria" w:hAnsi="Cambria"/>
          <w:sz w:val="18"/>
          <w:szCs w:val="18"/>
        </w:rPr>
        <w:t>consent</w:t>
      </w:r>
      <w:r>
        <w:rPr>
          <w:rFonts w:ascii="Cambria" w:hAnsi="Cambria"/>
          <w:sz w:val="18"/>
          <w:szCs w:val="18"/>
        </w:rPr>
        <w:t> </w:t>
      </w:r>
      <w:r>
        <w:rPr>
          <w:rFonts w:ascii="Cambria" w:hAnsi="Cambria"/>
          <w:sz w:val="18"/>
          <w:szCs w:val="18"/>
        </w:rPr>
        <w:t>has</w:t>
      </w:r>
      <w:r>
        <w:rPr>
          <w:rFonts w:ascii="Cambria" w:hAnsi="Cambria"/>
          <w:sz w:val="18"/>
          <w:szCs w:val="18"/>
        </w:rPr>
        <w:t> </w:t>
      </w:r>
      <w:r>
        <w:rPr>
          <w:rFonts w:ascii="Cambria" w:hAnsi="Cambria"/>
          <w:sz w:val="18"/>
          <w:szCs w:val="18"/>
        </w:rPr>
        <w:t>been</w:t>
      </w:r>
      <w:r>
        <w:rPr>
          <w:rFonts w:ascii="Cambria" w:hAnsi="Cambria"/>
          <w:sz w:val="18"/>
          <w:szCs w:val="18"/>
        </w:rPr>
        <w:t> </w:t>
      </w:r>
      <w:r>
        <w:rPr>
          <w:rFonts w:ascii="Cambria" w:hAnsi="Cambria"/>
          <w:sz w:val="18"/>
          <w:szCs w:val="18"/>
        </w:rPr>
        <w:t>obtained</w:t>
      </w:r>
      <w:r>
        <w:rPr>
          <w:rFonts w:ascii="Cambria" w:hAnsi="Cambria"/>
          <w:sz w:val="18"/>
          <w:szCs w:val="18"/>
        </w:rPr>
        <w:t> </w:t>
      </w:r>
      <w:r>
        <w:rPr>
          <w:rFonts w:ascii="Cambria" w:hAnsi="Cambria"/>
          <w:sz w:val="18"/>
          <w:szCs w:val="18"/>
        </w:rPr>
        <w:t>from</w:t>
      </w:r>
      <w:r>
        <w:rPr>
          <w:rFonts w:ascii="Cambria" w:hAnsi="Cambria"/>
          <w:sz w:val="18"/>
          <w:szCs w:val="18"/>
        </w:rPr>
        <w:t> </w:t>
      </w:r>
      <w:r>
        <w:rPr>
          <w:rFonts w:ascii="Cambria" w:hAnsi="Cambria"/>
          <w:sz w:val="18"/>
          <w:szCs w:val="18"/>
        </w:rPr>
        <w:t>the</w:t>
      </w:r>
      <w:r>
        <w:rPr>
          <w:rFonts w:ascii="Cambria" w:hAnsi="Cambria"/>
          <w:sz w:val="18"/>
          <w:szCs w:val="18"/>
        </w:rPr>
        <w:t> </w:t>
      </w:r>
      <w:r>
        <w:rPr>
          <w:rFonts w:ascii="Cambria" w:hAnsi="Cambria"/>
          <w:sz w:val="18"/>
          <w:szCs w:val="18"/>
        </w:rPr>
        <w:t>subjects: NA</w:t>
      </w:r>
    </w:p>
    <w:p w:rsidR="009130CE" w:rsidRDefault="009130CE" w:rsidP="009130CE">
      <w:pPr>
        <w:spacing w:after="0"/>
        <w:ind w:left="454"/>
        <w:rPr>
          <w:rFonts w:ascii="Cambria" w:hAnsi="Cambria"/>
          <w:sz w:val="18"/>
          <w:szCs w:val="18"/>
        </w:rPr>
      </w:pPr>
      <w:r>
        <w:rPr>
          <w:rFonts w:ascii="Cambria" w:hAnsi="Cambria"/>
          <w:sz w:val="18"/>
          <w:szCs w:val="18"/>
        </w:rPr>
        <w:t xml:space="preserve">Plagiarism Checked: </w:t>
      </w:r>
      <w:proofErr w:type="spellStart"/>
      <w:r>
        <w:rPr>
          <w:rFonts w:ascii="Cambria" w:hAnsi="Cambria"/>
          <w:sz w:val="18"/>
          <w:szCs w:val="18"/>
        </w:rPr>
        <w:t>Urkund</w:t>
      </w:r>
      <w:proofErr w:type="spellEnd"/>
      <w:r>
        <w:rPr>
          <w:rFonts w:ascii="Cambria" w:hAnsi="Cambria"/>
          <w:sz w:val="18"/>
          <w:szCs w:val="18"/>
        </w:rPr>
        <w:t xml:space="preserve"> Software </w:t>
      </w:r>
    </w:p>
    <w:p w:rsidR="009130CE" w:rsidRDefault="009130CE" w:rsidP="009130CE">
      <w:pPr>
        <w:spacing w:after="0"/>
        <w:ind w:left="454"/>
        <w:rPr>
          <w:rFonts w:ascii="Cambria" w:hAnsi="Cambria"/>
          <w:sz w:val="18"/>
          <w:szCs w:val="18"/>
        </w:rPr>
      </w:pPr>
    </w:p>
    <w:p w:rsidR="009130CE" w:rsidRDefault="009130CE" w:rsidP="009130CE">
      <w:pPr>
        <w:spacing w:after="0"/>
        <w:ind w:left="454"/>
        <w:rPr>
          <w:rFonts w:ascii="Cambria" w:hAnsi="Cambria"/>
          <w:spacing w:val="2"/>
          <w:sz w:val="18"/>
          <w:szCs w:val="18"/>
          <w:shd w:val="clear" w:color="auto" w:fill="FFFFFF"/>
        </w:rPr>
      </w:pPr>
      <w:r>
        <w:rPr>
          <w:rFonts w:ascii="Cambria" w:hAnsi="Cambria"/>
          <w:sz w:val="18"/>
          <w:szCs w:val="18"/>
        </w:rPr>
        <w:t xml:space="preserve">Author work published under </w:t>
      </w:r>
      <w:r>
        <w:rPr>
          <w:rFonts w:ascii="Cambria" w:hAnsi="Cambria"/>
          <w:spacing w:val="2"/>
          <w:sz w:val="18"/>
          <w:szCs w:val="18"/>
          <w:shd w:val="clear" w:color="auto" w:fill="FFFFFF"/>
        </w:rPr>
        <w:t>a Creative Commons Attribution 4.0 International License</w:t>
      </w:r>
    </w:p>
    <w:p w:rsidR="009130CE" w:rsidRDefault="009130CE" w:rsidP="009130CE">
      <w:pPr>
        <w:spacing w:after="0"/>
        <w:ind w:left="454"/>
        <w:rPr>
          <w:rFonts w:ascii="Cambria" w:hAnsi="Cambria" w:cs="Calibri Light"/>
          <w:bCs/>
          <w:sz w:val="18"/>
          <w:szCs w:val="18"/>
          <w:shd w:val="clear" w:color="auto" w:fill="FFFFFF"/>
        </w:rPr>
      </w:pPr>
      <w:r>
        <w:rPr>
          <w:noProof/>
          <w:lang w:eastAsia="en-IN"/>
        </w:rPr>
        <w:drawing>
          <wp:anchor distT="0" distB="0" distL="114300" distR="114300" simplePos="0" relativeHeight="251659264" behindDoc="0" locked="0" layoutInCell="1" allowOverlap="1">
            <wp:simplePos x="0" y="0"/>
            <wp:positionH relativeFrom="column">
              <wp:posOffset>292735</wp:posOffset>
            </wp:positionH>
            <wp:positionV relativeFrom="paragraph">
              <wp:posOffset>75565</wp:posOffset>
            </wp:positionV>
            <wp:extent cx="810260" cy="605790"/>
            <wp:effectExtent l="0" t="0" r="8890" b="3810"/>
            <wp:wrapSquare wrapText="bothSides"/>
            <wp:docPr id="1" name="Picture 1" descr="Description: 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pic:spPr>
                </pic:pic>
              </a:graphicData>
            </a:graphic>
            <wp14:sizeRelH relativeFrom="page">
              <wp14:pctWidth>0</wp14:pctWidth>
            </wp14:sizeRelH>
            <wp14:sizeRelV relativeFrom="page">
              <wp14:pctHeight>0</wp14:pctHeight>
            </wp14:sizeRelV>
          </wp:anchor>
        </w:drawing>
      </w:r>
    </w:p>
    <w:p w:rsidR="009130CE" w:rsidRDefault="009130CE" w:rsidP="009130CE">
      <w:pPr>
        <w:spacing w:after="0"/>
        <w:ind w:left="454"/>
        <w:rPr>
          <w:rFonts w:ascii="Cambria" w:hAnsi="Cambria" w:cs="Calibri Light"/>
          <w:bCs/>
          <w:sz w:val="18"/>
          <w:szCs w:val="18"/>
          <w:shd w:val="clear" w:color="auto" w:fill="FFFFFF"/>
        </w:rPr>
      </w:pPr>
    </w:p>
    <w:p w:rsidR="009130CE" w:rsidRDefault="009130CE" w:rsidP="009130CE">
      <w:pPr>
        <w:spacing w:after="0"/>
        <w:ind w:left="454"/>
        <w:rPr>
          <w:rFonts w:ascii="Cambria" w:hAnsi="Cambria" w:cs="Calibri Light"/>
          <w:bCs/>
          <w:sz w:val="18"/>
          <w:szCs w:val="18"/>
          <w:shd w:val="clear" w:color="auto" w:fill="FFFFFF"/>
        </w:rPr>
      </w:pPr>
    </w:p>
    <w:p w:rsidR="009130CE" w:rsidRDefault="009130CE" w:rsidP="009130CE">
      <w:pPr>
        <w:spacing w:after="0"/>
        <w:ind w:left="454"/>
        <w:rPr>
          <w:rFonts w:ascii="Cambria" w:hAnsi="Cambria" w:cs="Calibri Light"/>
          <w:bCs/>
          <w:sz w:val="18"/>
          <w:szCs w:val="18"/>
          <w:shd w:val="clear" w:color="auto" w:fill="FFFFFF"/>
        </w:rPr>
      </w:pPr>
    </w:p>
    <w:p w:rsidR="009130CE" w:rsidRPr="00EF154D" w:rsidRDefault="009130CE" w:rsidP="00834C70">
      <w:pPr>
        <w:rPr>
          <w:rFonts w:ascii="Times New Roman" w:hAnsi="Times New Roman" w:cs="Times New Roman"/>
          <w:sz w:val="20"/>
          <w:szCs w:val="20"/>
        </w:rPr>
      </w:pPr>
    </w:p>
    <w:sectPr w:rsidR="009130CE" w:rsidRPr="00EF154D" w:rsidSect="00767C47">
      <w:headerReference w:type="default" r:id="rId9"/>
      <w:footerReference w:type="default" r:id="rId10"/>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F0" w:rsidRDefault="003B6CF0" w:rsidP="00767C47">
      <w:pPr>
        <w:spacing w:after="0" w:line="240" w:lineRule="auto"/>
      </w:pPr>
      <w:r>
        <w:separator/>
      </w:r>
    </w:p>
  </w:endnote>
  <w:endnote w:type="continuationSeparator" w:id="0">
    <w:p w:rsidR="003B6CF0" w:rsidRDefault="003B6CF0" w:rsidP="0076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767C47">
      <w:trPr>
        <w:trHeight w:val="360"/>
      </w:trPr>
      <w:tc>
        <w:tcPr>
          <w:tcW w:w="3500" w:type="pct"/>
        </w:tcPr>
        <w:p w:rsidR="00767C47" w:rsidRPr="00767C47" w:rsidRDefault="00767C47">
          <w:pPr>
            <w:pStyle w:val="Footer"/>
            <w:jc w:val="right"/>
            <w:rPr>
              <w:rFonts w:asciiTheme="majorHAnsi" w:hAnsiTheme="majorHAnsi"/>
              <w:sz w:val="20"/>
              <w:szCs w:val="20"/>
            </w:rPr>
          </w:pPr>
          <w:r w:rsidRPr="00767C47">
            <w:rPr>
              <w:rFonts w:asciiTheme="majorHAnsi" w:hAnsiTheme="majorHAnsi"/>
              <w:sz w:val="20"/>
              <w:szCs w:val="20"/>
            </w:rPr>
            <w:t>www.ijbamr.com   P ISSN: 2250-284X, E ISSN: 2250-2858</w:t>
          </w:r>
        </w:p>
      </w:tc>
      <w:tc>
        <w:tcPr>
          <w:tcW w:w="1500" w:type="pct"/>
          <w:shd w:val="clear" w:color="auto" w:fill="8064A2" w:themeFill="accent4"/>
        </w:tcPr>
        <w:p w:rsidR="00767C47" w:rsidRDefault="00767C47">
          <w:pPr>
            <w:pStyle w:val="Footer"/>
            <w:jc w:val="right"/>
            <w:rPr>
              <w:color w:val="FFFFFF" w:themeColor="background1"/>
            </w:rPr>
          </w:pPr>
          <w:r>
            <w:fldChar w:fldCharType="begin"/>
          </w:r>
          <w:r>
            <w:instrText xml:space="preserve"> PAGE    \* MERGEFORMAT </w:instrText>
          </w:r>
          <w:r>
            <w:fldChar w:fldCharType="separate"/>
          </w:r>
          <w:r w:rsidR="009130CE" w:rsidRPr="009130CE">
            <w:rPr>
              <w:noProof/>
              <w:color w:val="FFFFFF" w:themeColor="background1"/>
            </w:rPr>
            <w:t>8</w:t>
          </w:r>
          <w:r>
            <w:rPr>
              <w:noProof/>
              <w:color w:val="FFFFFF" w:themeColor="background1"/>
            </w:rPr>
            <w:fldChar w:fldCharType="end"/>
          </w:r>
        </w:p>
      </w:tc>
    </w:tr>
  </w:tbl>
  <w:p w:rsidR="00767C47" w:rsidRDefault="00767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F0" w:rsidRDefault="003B6CF0" w:rsidP="00767C47">
      <w:pPr>
        <w:spacing w:after="0" w:line="240" w:lineRule="auto"/>
      </w:pPr>
      <w:r>
        <w:separator/>
      </w:r>
    </w:p>
  </w:footnote>
  <w:footnote w:type="continuationSeparator" w:id="0">
    <w:p w:rsidR="003B6CF0" w:rsidRDefault="003B6CF0" w:rsidP="0076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47" w:rsidRDefault="00767C47" w:rsidP="00767C47">
    <w:pPr>
      <w:tabs>
        <w:tab w:val="left" w:pos="496"/>
        <w:tab w:val="center" w:pos="4680"/>
        <w:tab w:val="right" w:pos="9360"/>
      </w:tabs>
      <w:spacing w:after="0" w:line="240" w:lineRule="auto"/>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ENT specialty issue, </w:t>
    </w:r>
  </w:p>
  <w:p w:rsidR="00767C47" w:rsidRPr="00712CCE" w:rsidRDefault="00767C47" w:rsidP="00767C47">
    <w:pPr>
      <w:tabs>
        <w:tab w:val="left" w:pos="496"/>
        <w:tab w:val="center" w:pos="4680"/>
        <w:tab w:val="right" w:pos="9360"/>
      </w:tabs>
      <w:spacing w:after="0" w:line="240" w:lineRule="auto"/>
      <w:ind w:right="-567"/>
      <w:jc w:val="both"/>
      <w:rPr>
        <w:rFonts w:ascii="Cambria" w:eastAsia="Cambria" w:hAnsi="Cambria"/>
        <w:sz w:val="20"/>
        <w:lang w:val="en-US"/>
      </w:rPr>
    </w:pPr>
    <w:r>
      <w:rPr>
        <w:rFonts w:ascii="Cambria" w:eastAsia="Cambria" w:hAnsi="Cambria"/>
        <w:sz w:val="20"/>
        <w:lang w:val="en-US"/>
      </w:rPr>
      <w:t xml:space="preserve">September </w:t>
    </w:r>
    <w:r w:rsidRPr="00712CCE">
      <w:rPr>
        <w:rFonts w:ascii="Cambria" w:eastAsia="Cambria" w:hAnsi="Cambria"/>
        <w:sz w:val="20"/>
        <w:lang w:val="en-US"/>
      </w:rPr>
      <w:t>2021:</w:t>
    </w:r>
    <w:r w:rsidR="00235F96">
      <w:rPr>
        <w:rFonts w:ascii="Cambria" w:eastAsia="Cambria" w:hAnsi="Cambria"/>
        <w:sz w:val="20"/>
        <w:lang w:val="en-US"/>
      </w:rPr>
      <w:t xml:space="preserve"> Vol.-10, Issue- 4, P. 5-8</w:t>
    </w:r>
  </w:p>
  <w:p w:rsidR="00767C47" w:rsidRPr="00712CCE" w:rsidRDefault="00767C47" w:rsidP="00767C47">
    <w:pPr>
      <w:tabs>
        <w:tab w:val="left" w:pos="496"/>
        <w:tab w:val="center" w:pos="4680"/>
        <w:tab w:val="right" w:pos="9360"/>
      </w:tabs>
      <w:spacing w:after="0" w:line="240" w:lineRule="auto"/>
      <w:ind w:right="-567"/>
      <w:jc w:val="both"/>
      <w:rPr>
        <w:rFonts w:ascii="Cambria" w:eastAsia="Calibri" w:hAnsi="Cambria"/>
        <w:sz w:val="20"/>
        <w:lang w:val="en-US"/>
      </w:rPr>
    </w:pPr>
    <w:r w:rsidRPr="00712CCE">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10.36848/IJBAMR/2020/30215.55556</w:t>
    </w:r>
  </w:p>
  <w:p w:rsidR="00767C47" w:rsidRDefault="00767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30"/>
    <w:multiLevelType w:val="hybridMultilevel"/>
    <w:tmpl w:val="F4889A82"/>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1">
    <w:nsid w:val="187740CF"/>
    <w:multiLevelType w:val="hybridMultilevel"/>
    <w:tmpl w:val="F2984440"/>
    <w:lvl w:ilvl="0" w:tplc="998AE128">
      <w:start w:val="1"/>
      <w:numFmt w:val="decimal"/>
      <w:lvlText w:val="%1."/>
      <w:lvlJc w:val="left"/>
      <w:pPr>
        <w:ind w:left="1200" w:hanging="540"/>
        <w:jc w:val="left"/>
      </w:pPr>
      <w:rPr>
        <w:rFonts w:ascii="Times New Roman" w:eastAsia="Times New Roman" w:hAnsi="Times New Roman" w:cs="Times New Roman" w:hint="default"/>
        <w:spacing w:val="-1"/>
        <w:w w:val="99"/>
        <w:sz w:val="26"/>
        <w:szCs w:val="26"/>
        <w:lang w:val="en-US" w:eastAsia="en-US" w:bidi="ar-SA"/>
      </w:rPr>
    </w:lvl>
    <w:lvl w:ilvl="1" w:tplc="45868E7C">
      <w:numFmt w:val="bullet"/>
      <w:lvlText w:val="•"/>
      <w:lvlJc w:val="left"/>
      <w:pPr>
        <w:ind w:left="2042" w:hanging="540"/>
      </w:pPr>
      <w:rPr>
        <w:rFonts w:hint="default"/>
        <w:lang w:val="en-US" w:eastAsia="en-US" w:bidi="ar-SA"/>
      </w:rPr>
    </w:lvl>
    <w:lvl w:ilvl="2" w:tplc="ACB2A7EE">
      <w:numFmt w:val="bullet"/>
      <w:lvlText w:val="•"/>
      <w:lvlJc w:val="left"/>
      <w:pPr>
        <w:ind w:left="2884" w:hanging="540"/>
      </w:pPr>
      <w:rPr>
        <w:rFonts w:hint="default"/>
        <w:lang w:val="en-US" w:eastAsia="en-US" w:bidi="ar-SA"/>
      </w:rPr>
    </w:lvl>
    <w:lvl w:ilvl="3" w:tplc="D5C21C78">
      <w:numFmt w:val="bullet"/>
      <w:lvlText w:val="•"/>
      <w:lvlJc w:val="left"/>
      <w:pPr>
        <w:ind w:left="3726" w:hanging="540"/>
      </w:pPr>
      <w:rPr>
        <w:rFonts w:hint="default"/>
        <w:lang w:val="en-US" w:eastAsia="en-US" w:bidi="ar-SA"/>
      </w:rPr>
    </w:lvl>
    <w:lvl w:ilvl="4" w:tplc="7A86D496">
      <w:numFmt w:val="bullet"/>
      <w:lvlText w:val="•"/>
      <w:lvlJc w:val="left"/>
      <w:pPr>
        <w:ind w:left="4568" w:hanging="540"/>
      </w:pPr>
      <w:rPr>
        <w:rFonts w:hint="default"/>
        <w:lang w:val="en-US" w:eastAsia="en-US" w:bidi="ar-SA"/>
      </w:rPr>
    </w:lvl>
    <w:lvl w:ilvl="5" w:tplc="0F7C4A52">
      <w:numFmt w:val="bullet"/>
      <w:lvlText w:val="•"/>
      <w:lvlJc w:val="left"/>
      <w:pPr>
        <w:ind w:left="5410" w:hanging="540"/>
      </w:pPr>
      <w:rPr>
        <w:rFonts w:hint="default"/>
        <w:lang w:val="en-US" w:eastAsia="en-US" w:bidi="ar-SA"/>
      </w:rPr>
    </w:lvl>
    <w:lvl w:ilvl="6" w:tplc="90A6934E">
      <w:numFmt w:val="bullet"/>
      <w:lvlText w:val="•"/>
      <w:lvlJc w:val="left"/>
      <w:pPr>
        <w:ind w:left="6252" w:hanging="540"/>
      </w:pPr>
      <w:rPr>
        <w:rFonts w:hint="default"/>
        <w:lang w:val="en-US" w:eastAsia="en-US" w:bidi="ar-SA"/>
      </w:rPr>
    </w:lvl>
    <w:lvl w:ilvl="7" w:tplc="8892C14E">
      <w:numFmt w:val="bullet"/>
      <w:lvlText w:val="•"/>
      <w:lvlJc w:val="left"/>
      <w:pPr>
        <w:ind w:left="7094" w:hanging="540"/>
      </w:pPr>
      <w:rPr>
        <w:rFonts w:hint="default"/>
        <w:lang w:val="en-US" w:eastAsia="en-US" w:bidi="ar-SA"/>
      </w:rPr>
    </w:lvl>
    <w:lvl w:ilvl="8" w:tplc="55342A6C">
      <w:numFmt w:val="bullet"/>
      <w:lvlText w:val="•"/>
      <w:lvlJc w:val="left"/>
      <w:pPr>
        <w:ind w:left="7936" w:hanging="540"/>
      </w:pPr>
      <w:rPr>
        <w:rFonts w:hint="default"/>
        <w:lang w:val="en-US" w:eastAsia="en-US" w:bidi="ar-SA"/>
      </w:rPr>
    </w:lvl>
  </w:abstractNum>
  <w:abstractNum w:abstractNumId="2">
    <w:nsid w:val="40413FC6"/>
    <w:multiLevelType w:val="hybridMultilevel"/>
    <w:tmpl w:val="CFB87F8A"/>
    <w:lvl w:ilvl="0" w:tplc="E48C8C96">
      <w:start w:val="1"/>
      <w:numFmt w:val="decimal"/>
      <w:lvlText w:val="%1."/>
      <w:lvlJc w:val="left"/>
      <w:pPr>
        <w:ind w:left="1380" w:hanging="720"/>
        <w:jc w:val="left"/>
      </w:pPr>
      <w:rPr>
        <w:rFonts w:ascii="Times New Roman" w:eastAsia="Times New Roman" w:hAnsi="Times New Roman" w:cs="Times New Roman" w:hint="default"/>
        <w:spacing w:val="-1"/>
        <w:w w:val="99"/>
        <w:sz w:val="26"/>
        <w:szCs w:val="26"/>
        <w:lang w:val="en-US" w:eastAsia="en-US" w:bidi="ar-SA"/>
      </w:rPr>
    </w:lvl>
    <w:lvl w:ilvl="1" w:tplc="BFC2F32E">
      <w:start w:val="1"/>
      <w:numFmt w:val="decimal"/>
      <w:lvlText w:val="%2."/>
      <w:lvlJc w:val="left"/>
      <w:pPr>
        <w:ind w:left="1739" w:hanging="360"/>
        <w:jc w:val="left"/>
      </w:pPr>
      <w:rPr>
        <w:rFonts w:ascii="Times New Roman" w:eastAsia="Times New Roman" w:hAnsi="Times New Roman" w:cs="Times New Roman" w:hint="default"/>
        <w:spacing w:val="-1"/>
        <w:w w:val="100"/>
        <w:sz w:val="22"/>
        <w:szCs w:val="22"/>
        <w:lang w:val="en-US" w:eastAsia="en-US" w:bidi="ar-SA"/>
      </w:rPr>
    </w:lvl>
    <w:lvl w:ilvl="2" w:tplc="E4E4BE68">
      <w:numFmt w:val="bullet"/>
      <w:lvlText w:val="•"/>
      <w:lvlJc w:val="left"/>
      <w:pPr>
        <w:ind w:left="2615" w:hanging="360"/>
      </w:pPr>
      <w:rPr>
        <w:rFonts w:hint="default"/>
        <w:lang w:val="en-US" w:eastAsia="en-US" w:bidi="ar-SA"/>
      </w:rPr>
    </w:lvl>
    <w:lvl w:ilvl="3" w:tplc="0D0A90B4">
      <w:numFmt w:val="bullet"/>
      <w:lvlText w:val="•"/>
      <w:lvlJc w:val="left"/>
      <w:pPr>
        <w:ind w:left="3491" w:hanging="360"/>
      </w:pPr>
      <w:rPr>
        <w:rFonts w:hint="default"/>
        <w:lang w:val="en-US" w:eastAsia="en-US" w:bidi="ar-SA"/>
      </w:rPr>
    </w:lvl>
    <w:lvl w:ilvl="4" w:tplc="AE72F8B8">
      <w:numFmt w:val="bullet"/>
      <w:lvlText w:val="•"/>
      <w:lvlJc w:val="left"/>
      <w:pPr>
        <w:ind w:left="4366" w:hanging="360"/>
      </w:pPr>
      <w:rPr>
        <w:rFonts w:hint="default"/>
        <w:lang w:val="en-US" w:eastAsia="en-US" w:bidi="ar-SA"/>
      </w:rPr>
    </w:lvl>
    <w:lvl w:ilvl="5" w:tplc="5022BE58">
      <w:numFmt w:val="bullet"/>
      <w:lvlText w:val="•"/>
      <w:lvlJc w:val="left"/>
      <w:pPr>
        <w:ind w:left="5242" w:hanging="360"/>
      </w:pPr>
      <w:rPr>
        <w:rFonts w:hint="default"/>
        <w:lang w:val="en-US" w:eastAsia="en-US" w:bidi="ar-SA"/>
      </w:rPr>
    </w:lvl>
    <w:lvl w:ilvl="6" w:tplc="E618A9A2">
      <w:numFmt w:val="bullet"/>
      <w:lvlText w:val="•"/>
      <w:lvlJc w:val="left"/>
      <w:pPr>
        <w:ind w:left="6117" w:hanging="360"/>
      </w:pPr>
      <w:rPr>
        <w:rFonts w:hint="default"/>
        <w:lang w:val="en-US" w:eastAsia="en-US" w:bidi="ar-SA"/>
      </w:rPr>
    </w:lvl>
    <w:lvl w:ilvl="7" w:tplc="3D2C1008">
      <w:numFmt w:val="bullet"/>
      <w:lvlText w:val="•"/>
      <w:lvlJc w:val="left"/>
      <w:pPr>
        <w:ind w:left="6993" w:hanging="360"/>
      </w:pPr>
      <w:rPr>
        <w:rFonts w:hint="default"/>
        <w:lang w:val="en-US" w:eastAsia="en-US" w:bidi="ar-SA"/>
      </w:rPr>
    </w:lvl>
    <w:lvl w:ilvl="8" w:tplc="658665E8">
      <w:numFmt w:val="bullet"/>
      <w:lvlText w:val="•"/>
      <w:lvlJc w:val="left"/>
      <w:pPr>
        <w:ind w:left="7868" w:hanging="360"/>
      </w:pPr>
      <w:rPr>
        <w:rFonts w:hint="default"/>
        <w:lang w:val="en-US" w:eastAsia="en-US" w:bidi="ar-SA"/>
      </w:rPr>
    </w:lvl>
  </w:abstractNum>
  <w:abstractNum w:abstractNumId="3">
    <w:nsid w:val="658F72C7"/>
    <w:multiLevelType w:val="hybridMultilevel"/>
    <w:tmpl w:val="21BEEA14"/>
    <w:lvl w:ilvl="0" w:tplc="BC92C0FE">
      <w:start w:val="1"/>
      <w:numFmt w:val="lowerLetter"/>
      <w:lvlText w:val="%1)"/>
      <w:lvlJc w:val="left"/>
      <w:pPr>
        <w:ind w:left="1380" w:hanging="655"/>
        <w:jc w:val="right"/>
      </w:pPr>
      <w:rPr>
        <w:rFonts w:ascii="Times New Roman" w:eastAsia="Times New Roman" w:hAnsi="Times New Roman" w:cs="Times New Roman" w:hint="default"/>
        <w:w w:val="99"/>
        <w:sz w:val="26"/>
        <w:szCs w:val="26"/>
        <w:lang w:val="en-US" w:eastAsia="en-US" w:bidi="ar-SA"/>
      </w:rPr>
    </w:lvl>
    <w:lvl w:ilvl="1" w:tplc="8572DF74">
      <w:numFmt w:val="bullet"/>
      <w:lvlText w:val="•"/>
      <w:lvlJc w:val="left"/>
      <w:pPr>
        <w:ind w:left="2204" w:hanging="655"/>
      </w:pPr>
      <w:rPr>
        <w:rFonts w:hint="default"/>
        <w:lang w:val="en-US" w:eastAsia="en-US" w:bidi="ar-SA"/>
      </w:rPr>
    </w:lvl>
    <w:lvl w:ilvl="2" w:tplc="E1AE4F38">
      <w:numFmt w:val="bullet"/>
      <w:lvlText w:val="•"/>
      <w:lvlJc w:val="left"/>
      <w:pPr>
        <w:ind w:left="3028" w:hanging="655"/>
      </w:pPr>
      <w:rPr>
        <w:rFonts w:hint="default"/>
        <w:lang w:val="en-US" w:eastAsia="en-US" w:bidi="ar-SA"/>
      </w:rPr>
    </w:lvl>
    <w:lvl w:ilvl="3" w:tplc="AF2CCE82">
      <w:numFmt w:val="bullet"/>
      <w:lvlText w:val="•"/>
      <w:lvlJc w:val="left"/>
      <w:pPr>
        <w:ind w:left="3852" w:hanging="655"/>
      </w:pPr>
      <w:rPr>
        <w:rFonts w:hint="default"/>
        <w:lang w:val="en-US" w:eastAsia="en-US" w:bidi="ar-SA"/>
      </w:rPr>
    </w:lvl>
    <w:lvl w:ilvl="4" w:tplc="E188C14E">
      <w:numFmt w:val="bullet"/>
      <w:lvlText w:val="•"/>
      <w:lvlJc w:val="left"/>
      <w:pPr>
        <w:ind w:left="4676" w:hanging="655"/>
      </w:pPr>
      <w:rPr>
        <w:rFonts w:hint="default"/>
        <w:lang w:val="en-US" w:eastAsia="en-US" w:bidi="ar-SA"/>
      </w:rPr>
    </w:lvl>
    <w:lvl w:ilvl="5" w:tplc="55CA7D0C">
      <w:numFmt w:val="bullet"/>
      <w:lvlText w:val="•"/>
      <w:lvlJc w:val="left"/>
      <w:pPr>
        <w:ind w:left="5500" w:hanging="655"/>
      </w:pPr>
      <w:rPr>
        <w:rFonts w:hint="default"/>
        <w:lang w:val="en-US" w:eastAsia="en-US" w:bidi="ar-SA"/>
      </w:rPr>
    </w:lvl>
    <w:lvl w:ilvl="6" w:tplc="C4BAABF6">
      <w:numFmt w:val="bullet"/>
      <w:lvlText w:val="•"/>
      <w:lvlJc w:val="left"/>
      <w:pPr>
        <w:ind w:left="6324" w:hanging="655"/>
      </w:pPr>
      <w:rPr>
        <w:rFonts w:hint="default"/>
        <w:lang w:val="en-US" w:eastAsia="en-US" w:bidi="ar-SA"/>
      </w:rPr>
    </w:lvl>
    <w:lvl w:ilvl="7" w:tplc="79C26E72">
      <w:numFmt w:val="bullet"/>
      <w:lvlText w:val="•"/>
      <w:lvlJc w:val="left"/>
      <w:pPr>
        <w:ind w:left="7148" w:hanging="655"/>
      </w:pPr>
      <w:rPr>
        <w:rFonts w:hint="default"/>
        <w:lang w:val="en-US" w:eastAsia="en-US" w:bidi="ar-SA"/>
      </w:rPr>
    </w:lvl>
    <w:lvl w:ilvl="8" w:tplc="A5B8240A">
      <w:numFmt w:val="bullet"/>
      <w:lvlText w:val="•"/>
      <w:lvlJc w:val="left"/>
      <w:pPr>
        <w:ind w:left="7972" w:hanging="655"/>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70"/>
    <w:rsid w:val="000915DF"/>
    <w:rsid w:val="00235F96"/>
    <w:rsid w:val="00323AC3"/>
    <w:rsid w:val="003B6CF0"/>
    <w:rsid w:val="005230D6"/>
    <w:rsid w:val="00767C47"/>
    <w:rsid w:val="007F3BC8"/>
    <w:rsid w:val="00834C70"/>
    <w:rsid w:val="009130CE"/>
    <w:rsid w:val="009E59F6"/>
    <w:rsid w:val="00A8533E"/>
    <w:rsid w:val="00E600A8"/>
    <w:rsid w:val="00EF154D"/>
    <w:rsid w:val="00F35705"/>
    <w:rsid w:val="00F550CA"/>
    <w:rsid w:val="00FB7B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4C70"/>
    <w:pPr>
      <w:widowControl w:val="0"/>
      <w:autoSpaceDE w:val="0"/>
      <w:autoSpaceDN w:val="0"/>
      <w:spacing w:after="0" w:line="240" w:lineRule="auto"/>
      <w:ind w:left="1380" w:hanging="720"/>
    </w:pPr>
    <w:rPr>
      <w:rFonts w:ascii="Times New Roman" w:eastAsia="Times New Roman" w:hAnsi="Times New Roman" w:cs="Times New Roman"/>
      <w:lang w:val="en-US"/>
    </w:rPr>
  </w:style>
  <w:style w:type="paragraph" w:styleId="BodyText">
    <w:name w:val="Body Text"/>
    <w:basedOn w:val="Normal"/>
    <w:link w:val="BodyTextChar"/>
    <w:uiPriority w:val="1"/>
    <w:qFormat/>
    <w:rsid w:val="00834C70"/>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834C70"/>
    <w:rPr>
      <w:rFonts w:ascii="Times New Roman" w:eastAsia="Times New Roman" w:hAnsi="Times New Roman" w:cs="Times New Roman"/>
      <w:sz w:val="26"/>
      <w:szCs w:val="26"/>
      <w:lang w:val="en-US"/>
    </w:rPr>
  </w:style>
  <w:style w:type="paragraph" w:customStyle="1" w:styleId="TableParagraph">
    <w:name w:val="Table Paragraph"/>
    <w:basedOn w:val="Normal"/>
    <w:uiPriority w:val="1"/>
    <w:qFormat/>
    <w:rsid w:val="00834C70"/>
    <w:pPr>
      <w:widowControl w:val="0"/>
      <w:autoSpaceDE w:val="0"/>
      <w:autoSpaceDN w:val="0"/>
      <w:spacing w:before="78" w:after="0" w:line="240" w:lineRule="auto"/>
      <w:ind w:left="215"/>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76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47"/>
  </w:style>
  <w:style w:type="paragraph" w:styleId="Footer">
    <w:name w:val="footer"/>
    <w:basedOn w:val="Normal"/>
    <w:link w:val="FooterChar"/>
    <w:uiPriority w:val="99"/>
    <w:unhideWhenUsed/>
    <w:rsid w:val="0076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47"/>
  </w:style>
  <w:style w:type="paragraph" w:styleId="BalloonText">
    <w:name w:val="Balloon Text"/>
    <w:basedOn w:val="Normal"/>
    <w:link w:val="BalloonTextChar"/>
    <w:uiPriority w:val="99"/>
    <w:semiHidden/>
    <w:unhideWhenUsed/>
    <w:rsid w:val="0091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4C70"/>
    <w:pPr>
      <w:widowControl w:val="0"/>
      <w:autoSpaceDE w:val="0"/>
      <w:autoSpaceDN w:val="0"/>
      <w:spacing w:after="0" w:line="240" w:lineRule="auto"/>
      <w:ind w:left="1380" w:hanging="720"/>
    </w:pPr>
    <w:rPr>
      <w:rFonts w:ascii="Times New Roman" w:eastAsia="Times New Roman" w:hAnsi="Times New Roman" w:cs="Times New Roman"/>
      <w:lang w:val="en-US"/>
    </w:rPr>
  </w:style>
  <w:style w:type="paragraph" w:styleId="BodyText">
    <w:name w:val="Body Text"/>
    <w:basedOn w:val="Normal"/>
    <w:link w:val="BodyTextChar"/>
    <w:uiPriority w:val="1"/>
    <w:qFormat/>
    <w:rsid w:val="00834C70"/>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834C70"/>
    <w:rPr>
      <w:rFonts w:ascii="Times New Roman" w:eastAsia="Times New Roman" w:hAnsi="Times New Roman" w:cs="Times New Roman"/>
      <w:sz w:val="26"/>
      <w:szCs w:val="26"/>
      <w:lang w:val="en-US"/>
    </w:rPr>
  </w:style>
  <w:style w:type="paragraph" w:customStyle="1" w:styleId="TableParagraph">
    <w:name w:val="Table Paragraph"/>
    <w:basedOn w:val="Normal"/>
    <w:uiPriority w:val="1"/>
    <w:qFormat/>
    <w:rsid w:val="00834C70"/>
    <w:pPr>
      <w:widowControl w:val="0"/>
      <w:autoSpaceDE w:val="0"/>
      <w:autoSpaceDN w:val="0"/>
      <w:spacing w:before="78" w:after="0" w:line="240" w:lineRule="auto"/>
      <w:ind w:left="215"/>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76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47"/>
  </w:style>
  <w:style w:type="paragraph" w:styleId="Footer">
    <w:name w:val="footer"/>
    <w:basedOn w:val="Normal"/>
    <w:link w:val="FooterChar"/>
    <w:uiPriority w:val="99"/>
    <w:unhideWhenUsed/>
    <w:rsid w:val="0076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47"/>
  </w:style>
  <w:style w:type="paragraph" w:styleId="BalloonText">
    <w:name w:val="Balloon Text"/>
    <w:basedOn w:val="Normal"/>
    <w:link w:val="BalloonTextChar"/>
    <w:uiPriority w:val="99"/>
    <w:semiHidden/>
    <w:unhideWhenUsed/>
    <w:rsid w:val="0091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12</cp:revision>
  <cp:lastPrinted>2021-09-16T04:42:00Z</cp:lastPrinted>
  <dcterms:created xsi:type="dcterms:W3CDTF">2021-09-16T04:06:00Z</dcterms:created>
  <dcterms:modified xsi:type="dcterms:W3CDTF">2021-09-16T04:42:00Z</dcterms:modified>
</cp:coreProperties>
</file>