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FC" w:rsidRPr="002075FC" w:rsidRDefault="002075FC" w:rsidP="002075FC">
      <w:pPr>
        <w:spacing w:line="312" w:lineRule="auto"/>
        <w:rPr>
          <w:rFonts w:ascii="Cambria" w:hAnsi="Cambria"/>
          <w:b/>
        </w:rPr>
      </w:pPr>
      <w:r w:rsidRPr="002075FC">
        <w:rPr>
          <w:rFonts w:ascii="Cambria" w:hAnsi="Cambria"/>
          <w:b/>
          <w:highlight w:val="lightGray"/>
        </w:rPr>
        <w:t>Original article:</w:t>
      </w:r>
    </w:p>
    <w:p w:rsidR="00A85847" w:rsidRPr="002075FC" w:rsidRDefault="00A85847" w:rsidP="002075FC">
      <w:pPr>
        <w:spacing w:line="312" w:lineRule="auto"/>
        <w:rPr>
          <w:rFonts w:ascii="Cambria" w:hAnsi="Cambria"/>
          <w:b/>
          <w:color w:val="0070C0"/>
          <w:sz w:val="28"/>
          <w:szCs w:val="28"/>
        </w:rPr>
      </w:pPr>
      <w:r w:rsidRPr="002075FC">
        <w:rPr>
          <w:rFonts w:ascii="Cambria" w:hAnsi="Cambria"/>
          <w:b/>
          <w:color w:val="0070C0"/>
          <w:sz w:val="28"/>
          <w:szCs w:val="28"/>
        </w:rPr>
        <w:t>A</w:t>
      </w:r>
      <w:r w:rsidR="002075FC" w:rsidRPr="002075FC">
        <w:rPr>
          <w:rFonts w:ascii="Cambria" w:hAnsi="Cambria"/>
          <w:b/>
          <w:color w:val="0070C0"/>
          <w:sz w:val="28"/>
          <w:szCs w:val="28"/>
        </w:rPr>
        <w:t xml:space="preserve">ttenuation of cardiovascular responses following laryngoscopy and tracheal intubation: comparative assessment of </w:t>
      </w:r>
      <w:proofErr w:type="spellStart"/>
      <w:r w:rsidR="002075FC" w:rsidRPr="002075FC">
        <w:rPr>
          <w:rFonts w:ascii="Cambria" w:hAnsi="Cambria"/>
          <w:b/>
          <w:color w:val="0070C0"/>
          <w:sz w:val="28"/>
          <w:szCs w:val="28"/>
        </w:rPr>
        <w:t>Dexmedetomidine</w:t>
      </w:r>
      <w:proofErr w:type="spellEnd"/>
      <w:r w:rsidR="002075FC" w:rsidRPr="002075FC">
        <w:rPr>
          <w:rFonts w:ascii="Cambria" w:hAnsi="Cambria"/>
          <w:b/>
          <w:color w:val="0070C0"/>
          <w:sz w:val="28"/>
          <w:szCs w:val="28"/>
        </w:rPr>
        <w:t xml:space="preserve"> and </w:t>
      </w:r>
      <w:proofErr w:type="spellStart"/>
      <w:r w:rsidR="002075FC" w:rsidRPr="002075FC">
        <w:rPr>
          <w:rFonts w:ascii="Cambria" w:hAnsi="Cambria"/>
          <w:b/>
          <w:color w:val="0070C0"/>
          <w:sz w:val="28"/>
          <w:szCs w:val="28"/>
        </w:rPr>
        <w:t>Pregabalin</w:t>
      </w:r>
      <w:proofErr w:type="spellEnd"/>
    </w:p>
    <w:p w:rsidR="002075FC" w:rsidRPr="002075FC" w:rsidRDefault="002075FC" w:rsidP="002075FC">
      <w:pPr>
        <w:spacing w:line="360" w:lineRule="auto"/>
        <w:jc w:val="both"/>
        <w:rPr>
          <w:rFonts w:ascii="Cambria" w:hAnsi="Cambria"/>
          <w:b/>
          <w:sz w:val="18"/>
          <w:szCs w:val="18"/>
        </w:rPr>
      </w:pPr>
      <w:r w:rsidRPr="002075FC">
        <w:rPr>
          <w:rFonts w:ascii="Cambria" w:hAnsi="Cambria"/>
          <w:b/>
          <w:sz w:val="18"/>
          <w:szCs w:val="18"/>
        </w:rPr>
        <w:t xml:space="preserve">Dr </w:t>
      </w:r>
      <w:proofErr w:type="spellStart"/>
      <w:r w:rsidRPr="002075FC">
        <w:rPr>
          <w:rFonts w:ascii="Cambria" w:hAnsi="Cambria"/>
          <w:b/>
          <w:sz w:val="18"/>
          <w:szCs w:val="18"/>
        </w:rPr>
        <w:t>Mamta</w:t>
      </w:r>
      <w:proofErr w:type="spellEnd"/>
      <w:r w:rsidRPr="002075FC">
        <w:rPr>
          <w:rFonts w:ascii="Cambria" w:hAnsi="Cambria"/>
          <w:b/>
          <w:sz w:val="18"/>
          <w:szCs w:val="18"/>
        </w:rPr>
        <w:t xml:space="preserve"> </w:t>
      </w:r>
      <w:proofErr w:type="spellStart"/>
      <w:r w:rsidRPr="002075FC">
        <w:rPr>
          <w:rFonts w:ascii="Cambria" w:hAnsi="Cambria"/>
          <w:b/>
          <w:sz w:val="18"/>
          <w:szCs w:val="18"/>
        </w:rPr>
        <w:t>Chadha</w:t>
      </w:r>
      <w:proofErr w:type="spellEnd"/>
      <w:r w:rsidRPr="002075FC">
        <w:rPr>
          <w:rFonts w:ascii="Cambria" w:hAnsi="Cambria"/>
          <w:b/>
          <w:sz w:val="18"/>
          <w:szCs w:val="18"/>
        </w:rPr>
        <w:t xml:space="preserve">, Dr Rajeev </w:t>
      </w:r>
      <w:proofErr w:type="spellStart"/>
      <w:r w:rsidRPr="002075FC">
        <w:rPr>
          <w:rFonts w:ascii="Cambria" w:hAnsi="Cambria"/>
          <w:b/>
          <w:sz w:val="18"/>
          <w:szCs w:val="18"/>
        </w:rPr>
        <w:t>Ranjan</w:t>
      </w:r>
      <w:proofErr w:type="spellEnd"/>
      <w:r w:rsidRPr="002075FC">
        <w:rPr>
          <w:rFonts w:ascii="Cambria" w:hAnsi="Cambria"/>
          <w:b/>
          <w:sz w:val="18"/>
          <w:szCs w:val="18"/>
        </w:rPr>
        <w:t xml:space="preserve"> , Dr AK Sharma, Dr </w:t>
      </w:r>
      <w:proofErr w:type="spellStart"/>
      <w:r w:rsidRPr="002075FC">
        <w:rPr>
          <w:rFonts w:ascii="Cambria" w:hAnsi="Cambria"/>
          <w:b/>
          <w:sz w:val="18"/>
          <w:szCs w:val="18"/>
        </w:rPr>
        <w:t>Sushil</w:t>
      </w:r>
      <w:proofErr w:type="spellEnd"/>
      <w:r w:rsidRPr="002075FC">
        <w:rPr>
          <w:rFonts w:ascii="Cambria" w:hAnsi="Cambria"/>
          <w:b/>
          <w:sz w:val="18"/>
          <w:szCs w:val="18"/>
        </w:rPr>
        <w:t xml:space="preserve"> Krishnan, Dr </w:t>
      </w:r>
      <w:proofErr w:type="spellStart"/>
      <w:r w:rsidRPr="002075FC">
        <w:rPr>
          <w:rFonts w:ascii="Cambria" w:hAnsi="Cambria"/>
          <w:b/>
          <w:sz w:val="18"/>
          <w:szCs w:val="18"/>
        </w:rPr>
        <w:t>Rakesh</w:t>
      </w:r>
      <w:proofErr w:type="spellEnd"/>
      <w:r w:rsidRPr="002075FC">
        <w:rPr>
          <w:rFonts w:ascii="Cambria" w:hAnsi="Cambria"/>
          <w:b/>
          <w:sz w:val="18"/>
          <w:szCs w:val="18"/>
        </w:rPr>
        <w:t xml:space="preserve"> </w:t>
      </w:r>
      <w:proofErr w:type="spellStart"/>
      <w:r w:rsidRPr="002075FC">
        <w:rPr>
          <w:rFonts w:ascii="Cambria" w:hAnsi="Cambria"/>
          <w:b/>
          <w:sz w:val="18"/>
          <w:szCs w:val="18"/>
        </w:rPr>
        <w:t>Kumar,Dr</w:t>
      </w:r>
      <w:proofErr w:type="spellEnd"/>
      <w:r w:rsidRPr="002075FC">
        <w:rPr>
          <w:rFonts w:ascii="Cambria" w:hAnsi="Cambria"/>
          <w:b/>
          <w:sz w:val="18"/>
          <w:szCs w:val="18"/>
        </w:rPr>
        <w:t xml:space="preserve"> Ashok </w:t>
      </w:r>
      <w:proofErr w:type="spellStart"/>
      <w:r w:rsidRPr="002075FC">
        <w:rPr>
          <w:rFonts w:ascii="Cambria" w:hAnsi="Cambria"/>
          <w:b/>
          <w:sz w:val="18"/>
          <w:szCs w:val="18"/>
        </w:rPr>
        <w:t>Bansal</w:t>
      </w:r>
      <w:proofErr w:type="spellEnd"/>
    </w:p>
    <w:p w:rsidR="002075FC" w:rsidRPr="002075FC" w:rsidRDefault="002075FC" w:rsidP="002075FC">
      <w:pPr>
        <w:spacing w:line="360" w:lineRule="auto"/>
        <w:jc w:val="both"/>
        <w:rPr>
          <w:rFonts w:ascii="Cambria" w:hAnsi="Cambria"/>
          <w:sz w:val="22"/>
          <w:szCs w:val="22"/>
        </w:rPr>
      </w:pPr>
    </w:p>
    <w:p w:rsidR="002075FC" w:rsidRPr="002075FC" w:rsidRDefault="002075FC" w:rsidP="002075FC">
      <w:pPr>
        <w:spacing w:line="360" w:lineRule="auto"/>
        <w:jc w:val="both"/>
        <w:rPr>
          <w:rFonts w:ascii="Cambria" w:hAnsi="Cambria"/>
          <w:sz w:val="18"/>
          <w:szCs w:val="18"/>
        </w:rPr>
      </w:pPr>
      <w:r w:rsidRPr="002075FC">
        <w:rPr>
          <w:rFonts w:ascii="Cambria" w:hAnsi="Cambria"/>
          <w:sz w:val="18"/>
          <w:szCs w:val="18"/>
        </w:rPr>
        <w:t xml:space="preserve">Department of Anaesthesiology, Northern Railway Central Hospital, </w:t>
      </w:r>
      <w:proofErr w:type="spellStart"/>
      <w:r w:rsidRPr="002075FC">
        <w:rPr>
          <w:rFonts w:ascii="Cambria" w:hAnsi="Cambria"/>
          <w:sz w:val="18"/>
          <w:szCs w:val="18"/>
        </w:rPr>
        <w:t>Basant</w:t>
      </w:r>
      <w:proofErr w:type="spellEnd"/>
      <w:r w:rsidRPr="002075FC">
        <w:rPr>
          <w:rFonts w:ascii="Cambria" w:hAnsi="Cambria"/>
          <w:sz w:val="18"/>
          <w:szCs w:val="18"/>
        </w:rPr>
        <w:t xml:space="preserve"> </w:t>
      </w:r>
      <w:proofErr w:type="spellStart"/>
      <w:r w:rsidRPr="002075FC">
        <w:rPr>
          <w:rFonts w:ascii="Cambria" w:hAnsi="Cambria"/>
          <w:sz w:val="18"/>
          <w:szCs w:val="18"/>
        </w:rPr>
        <w:t>Lane</w:t>
      </w:r>
      <w:proofErr w:type="gramStart"/>
      <w:r w:rsidRPr="002075FC">
        <w:rPr>
          <w:rFonts w:ascii="Cambria" w:hAnsi="Cambria"/>
          <w:sz w:val="18"/>
          <w:szCs w:val="18"/>
        </w:rPr>
        <w:t>,New</w:t>
      </w:r>
      <w:proofErr w:type="spellEnd"/>
      <w:proofErr w:type="gramEnd"/>
      <w:r w:rsidRPr="002075FC">
        <w:rPr>
          <w:rFonts w:ascii="Cambria" w:hAnsi="Cambria"/>
          <w:sz w:val="18"/>
          <w:szCs w:val="18"/>
        </w:rPr>
        <w:t xml:space="preserve"> Delhl-110055</w:t>
      </w:r>
    </w:p>
    <w:p w:rsidR="002075FC" w:rsidRPr="002075FC" w:rsidRDefault="002075FC" w:rsidP="00C72729">
      <w:pPr>
        <w:spacing w:line="360" w:lineRule="auto"/>
        <w:jc w:val="both"/>
        <w:rPr>
          <w:rFonts w:ascii="Cambria" w:hAnsi="Cambria"/>
          <w:sz w:val="18"/>
          <w:szCs w:val="18"/>
        </w:rPr>
      </w:pPr>
      <w:r w:rsidRPr="002075FC">
        <w:rPr>
          <w:rFonts w:ascii="Cambria" w:hAnsi="Cambria"/>
          <w:sz w:val="18"/>
          <w:szCs w:val="18"/>
        </w:rPr>
        <w:t xml:space="preserve">Corresponding author: Dr Rajeev </w:t>
      </w:r>
      <w:proofErr w:type="spellStart"/>
      <w:r w:rsidRPr="002075FC">
        <w:rPr>
          <w:rFonts w:ascii="Cambria" w:hAnsi="Cambria"/>
          <w:sz w:val="18"/>
          <w:szCs w:val="18"/>
        </w:rPr>
        <w:t>Ranjan</w:t>
      </w:r>
      <w:proofErr w:type="spellEnd"/>
    </w:p>
    <w:p w:rsidR="002075FC" w:rsidRPr="002075FC" w:rsidRDefault="002075FC" w:rsidP="00C72729">
      <w:pPr>
        <w:spacing w:line="360" w:lineRule="auto"/>
        <w:jc w:val="both"/>
        <w:rPr>
          <w:b/>
          <w:sz w:val="22"/>
          <w:szCs w:val="22"/>
        </w:rPr>
      </w:pPr>
      <w:bookmarkStart w:id="0" w:name="_GoBack"/>
      <w:bookmarkEnd w:id="0"/>
    </w:p>
    <w:p w:rsidR="00A85847" w:rsidRPr="002075FC" w:rsidRDefault="00A85847" w:rsidP="002075FC">
      <w:pPr>
        <w:spacing w:line="360" w:lineRule="auto"/>
        <w:jc w:val="both"/>
        <w:rPr>
          <w:b/>
          <w:sz w:val="20"/>
          <w:szCs w:val="20"/>
        </w:rPr>
      </w:pPr>
      <w:r w:rsidRPr="002075FC">
        <w:rPr>
          <w:b/>
          <w:sz w:val="20"/>
          <w:szCs w:val="20"/>
        </w:rPr>
        <w:t>ABSTRACT</w:t>
      </w:r>
    </w:p>
    <w:p w:rsidR="0063656D" w:rsidRPr="00006117" w:rsidRDefault="00006117" w:rsidP="002075FC">
      <w:pPr>
        <w:spacing w:line="360" w:lineRule="auto"/>
        <w:jc w:val="both"/>
        <w:rPr>
          <w:sz w:val="18"/>
          <w:szCs w:val="18"/>
        </w:rPr>
      </w:pPr>
      <w:r w:rsidRPr="00006117">
        <w:rPr>
          <w:b/>
          <w:sz w:val="18"/>
          <w:szCs w:val="18"/>
        </w:rPr>
        <w:t>Background:</w:t>
      </w:r>
      <w:r w:rsidR="00464BD0" w:rsidRPr="00006117">
        <w:rPr>
          <w:sz w:val="18"/>
          <w:szCs w:val="18"/>
        </w:rPr>
        <w:t xml:space="preserve"> </w:t>
      </w:r>
      <w:r w:rsidR="0063656D" w:rsidRPr="00006117">
        <w:rPr>
          <w:sz w:val="18"/>
          <w:szCs w:val="18"/>
        </w:rPr>
        <w:t xml:space="preserve">Laryngoscopy and tracheal intubation are noxious stimuli that evoke a transient but marked sympathetic response manifesting as increase in heart rate, blood pressure &amp; </w:t>
      </w:r>
      <w:proofErr w:type="spellStart"/>
      <w:r w:rsidR="0063656D" w:rsidRPr="00006117">
        <w:rPr>
          <w:sz w:val="18"/>
          <w:szCs w:val="18"/>
        </w:rPr>
        <w:t>arrythmia</w:t>
      </w:r>
      <w:proofErr w:type="spellEnd"/>
      <w:r w:rsidR="0063656D" w:rsidRPr="00006117">
        <w:rPr>
          <w:sz w:val="18"/>
          <w:szCs w:val="18"/>
        </w:rPr>
        <w:t xml:space="preserve">. . </w:t>
      </w:r>
      <w:proofErr w:type="spellStart"/>
      <w:r w:rsidR="0063656D" w:rsidRPr="00006117">
        <w:rPr>
          <w:sz w:val="18"/>
          <w:szCs w:val="18"/>
        </w:rPr>
        <w:t>Dexmedetomidine</w:t>
      </w:r>
      <w:proofErr w:type="spellEnd"/>
      <w:r w:rsidR="0063656D" w:rsidRPr="00006117">
        <w:rPr>
          <w:sz w:val="18"/>
          <w:szCs w:val="18"/>
        </w:rPr>
        <w:t xml:space="preserve"> and </w:t>
      </w:r>
      <w:proofErr w:type="spellStart"/>
      <w:r w:rsidR="0063656D" w:rsidRPr="00006117">
        <w:rPr>
          <w:sz w:val="18"/>
          <w:szCs w:val="18"/>
        </w:rPr>
        <w:t>pregabalin</w:t>
      </w:r>
      <w:proofErr w:type="spellEnd"/>
      <w:r w:rsidR="0063656D" w:rsidRPr="00006117">
        <w:rPr>
          <w:sz w:val="18"/>
          <w:szCs w:val="18"/>
        </w:rPr>
        <w:t xml:space="preserve"> are relatively newer drugs which have been used for this purpose.</w:t>
      </w:r>
      <w:r w:rsidR="00464BD0" w:rsidRPr="00006117">
        <w:rPr>
          <w:sz w:val="18"/>
          <w:szCs w:val="18"/>
        </w:rPr>
        <w:t xml:space="preserve"> The present study evaluated and compared the effects of these drugs for attenuation of</w:t>
      </w:r>
      <w:r w:rsidR="00FE24DD" w:rsidRPr="00006117">
        <w:rPr>
          <w:sz w:val="18"/>
          <w:szCs w:val="18"/>
        </w:rPr>
        <w:t xml:space="preserve"> hemodynamic </w:t>
      </w:r>
      <w:proofErr w:type="spellStart"/>
      <w:r w:rsidR="00FE24DD" w:rsidRPr="00006117">
        <w:rPr>
          <w:sz w:val="18"/>
          <w:szCs w:val="18"/>
        </w:rPr>
        <w:t>pressor</w:t>
      </w:r>
      <w:proofErr w:type="spellEnd"/>
      <w:r w:rsidR="00FE24DD" w:rsidRPr="00006117">
        <w:rPr>
          <w:sz w:val="18"/>
          <w:szCs w:val="18"/>
        </w:rPr>
        <w:t xml:space="preserve"> response by</w:t>
      </w:r>
      <w:r w:rsidR="00464BD0" w:rsidRPr="00006117">
        <w:rPr>
          <w:sz w:val="18"/>
          <w:szCs w:val="18"/>
        </w:rPr>
        <w:t xml:space="preserve"> airway instrumentation. </w:t>
      </w:r>
    </w:p>
    <w:p w:rsidR="00612801" w:rsidRPr="00006117" w:rsidRDefault="00464BD0" w:rsidP="002075FC">
      <w:pPr>
        <w:spacing w:line="360" w:lineRule="auto"/>
        <w:jc w:val="both"/>
        <w:rPr>
          <w:sz w:val="18"/>
          <w:szCs w:val="18"/>
        </w:rPr>
      </w:pPr>
      <w:r w:rsidRPr="00006117">
        <w:rPr>
          <w:b/>
          <w:sz w:val="18"/>
          <w:szCs w:val="18"/>
        </w:rPr>
        <w:t>Methods :</w:t>
      </w:r>
      <w:r w:rsidRPr="00006117">
        <w:rPr>
          <w:sz w:val="18"/>
          <w:szCs w:val="18"/>
        </w:rPr>
        <w:t xml:space="preserve"> A total of 60 normotensive adult consented patients for elective surgery aged 18-65 years, ASA grade I, of both</w:t>
      </w:r>
      <w:r w:rsidR="004851B7" w:rsidRPr="00006117">
        <w:rPr>
          <w:sz w:val="18"/>
          <w:szCs w:val="18"/>
        </w:rPr>
        <w:t xml:space="preserve"> </w:t>
      </w:r>
      <w:r w:rsidRPr="00006117">
        <w:rPr>
          <w:sz w:val="18"/>
          <w:szCs w:val="18"/>
        </w:rPr>
        <w:t>gender</w:t>
      </w:r>
      <w:r w:rsidR="004851B7" w:rsidRPr="00006117">
        <w:rPr>
          <w:sz w:val="18"/>
          <w:szCs w:val="18"/>
        </w:rPr>
        <w:t xml:space="preserve"> were randomised into two groups of 30 patients each. Patients in Group D received </w:t>
      </w:r>
      <w:proofErr w:type="spellStart"/>
      <w:r w:rsidR="004851B7" w:rsidRPr="00006117">
        <w:rPr>
          <w:sz w:val="18"/>
          <w:szCs w:val="18"/>
        </w:rPr>
        <w:t>dexmedetomidine</w:t>
      </w:r>
      <w:proofErr w:type="spellEnd"/>
      <w:r w:rsidR="004851B7" w:rsidRPr="00006117">
        <w:rPr>
          <w:sz w:val="18"/>
          <w:szCs w:val="18"/>
        </w:rPr>
        <w:t xml:space="preserve"> by intravenous infusion at rate of 0.6μg/kg over 10 minutes, followed by endotracheal intubation after an interval of another 10 minutes. Patients in Group P received 150 mg of capsule </w:t>
      </w:r>
      <w:proofErr w:type="spellStart"/>
      <w:r w:rsidR="004851B7" w:rsidRPr="00006117">
        <w:rPr>
          <w:sz w:val="18"/>
          <w:szCs w:val="18"/>
        </w:rPr>
        <w:t>pregabalin</w:t>
      </w:r>
      <w:proofErr w:type="spellEnd"/>
      <w:r w:rsidR="004851B7" w:rsidRPr="00006117">
        <w:rPr>
          <w:sz w:val="18"/>
          <w:szCs w:val="18"/>
        </w:rPr>
        <w:t xml:space="preserve"> orally one hour before endotracheal intubation.</w:t>
      </w:r>
      <w:r w:rsidR="00B34A18" w:rsidRPr="00006117">
        <w:rPr>
          <w:sz w:val="18"/>
          <w:szCs w:val="18"/>
        </w:rPr>
        <w:t xml:space="preserve"> Anaesthetic technique was standardized and both group were assessed and compared for pre-operative hemodynamic values, hemodynamic changes after the premedication, before and after intubation as well as after laryngoscopy and intubation at 1, 2, 3, 4 and 5 minutes.</w:t>
      </w:r>
    </w:p>
    <w:p w:rsidR="00B421A6" w:rsidRPr="00006117" w:rsidRDefault="00006117" w:rsidP="002075FC">
      <w:pPr>
        <w:spacing w:line="360" w:lineRule="auto"/>
        <w:jc w:val="both"/>
        <w:rPr>
          <w:sz w:val="18"/>
          <w:szCs w:val="18"/>
        </w:rPr>
      </w:pPr>
      <w:r w:rsidRPr="00006117">
        <w:rPr>
          <w:b/>
          <w:sz w:val="18"/>
          <w:szCs w:val="18"/>
        </w:rPr>
        <w:t>Results:</w:t>
      </w:r>
      <w:r w:rsidR="00612801" w:rsidRPr="00006117">
        <w:rPr>
          <w:sz w:val="18"/>
          <w:szCs w:val="18"/>
        </w:rPr>
        <w:t xml:space="preserve"> The maximum increase from baseline</w:t>
      </w:r>
      <w:r w:rsidR="00FE24DD" w:rsidRPr="00006117">
        <w:rPr>
          <w:sz w:val="18"/>
          <w:szCs w:val="18"/>
        </w:rPr>
        <w:t xml:space="preserve"> </w:t>
      </w:r>
      <w:r w:rsidR="00612801" w:rsidRPr="00006117">
        <w:rPr>
          <w:sz w:val="18"/>
          <w:szCs w:val="18"/>
        </w:rPr>
        <w:t xml:space="preserve">was seen at one minute interval. The increase in heart rate in </w:t>
      </w:r>
      <w:proofErr w:type="spellStart"/>
      <w:r w:rsidR="00612801" w:rsidRPr="00006117">
        <w:rPr>
          <w:sz w:val="18"/>
          <w:szCs w:val="18"/>
        </w:rPr>
        <w:t>Dexmedetomidine</w:t>
      </w:r>
      <w:proofErr w:type="spellEnd"/>
      <w:r w:rsidR="00612801" w:rsidRPr="00006117">
        <w:rPr>
          <w:sz w:val="18"/>
          <w:szCs w:val="18"/>
        </w:rPr>
        <w:t xml:space="preserve"> group (10.22%) was significantly less than </w:t>
      </w:r>
      <w:proofErr w:type="spellStart"/>
      <w:r w:rsidR="00612801" w:rsidRPr="00006117">
        <w:rPr>
          <w:sz w:val="18"/>
          <w:szCs w:val="18"/>
        </w:rPr>
        <w:t>Pregabalin</w:t>
      </w:r>
      <w:proofErr w:type="spellEnd"/>
      <w:r w:rsidR="00612801" w:rsidRPr="00006117">
        <w:rPr>
          <w:sz w:val="18"/>
          <w:szCs w:val="18"/>
        </w:rPr>
        <w:t xml:space="preserve"> group (32.30%).</w:t>
      </w:r>
      <w:r w:rsidR="00B421A6" w:rsidRPr="00006117">
        <w:rPr>
          <w:sz w:val="18"/>
          <w:szCs w:val="18"/>
        </w:rPr>
        <w:t xml:space="preserve"> Changes in systolic blood pressure after intubation and laryngoscopy were significantly lower in </w:t>
      </w:r>
      <w:proofErr w:type="spellStart"/>
      <w:r w:rsidR="00B421A6" w:rsidRPr="00006117">
        <w:rPr>
          <w:sz w:val="18"/>
          <w:szCs w:val="18"/>
        </w:rPr>
        <w:t>Dexmedetomidine</w:t>
      </w:r>
      <w:proofErr w:type="spellEnd"/>
      <w:r w:rsidR="00B421A6" w:rsidRPr="00006117">
        <w:rPr>
          <w:sz w:val="18"/>
          <w:szCs w:val="18"/>
        </w:rPr>
        <w:t xml:space="preserve"> group (11.61%) as compared to </w:t>
      </w:r>
      <w:proofErr w:type="spellStart"/>
      <w:r w:rsidR="00B421A6" w:rsidRPr="00006117">
        <w:rPr>
          <w:sz w:val="18"/>
          <w:szCs w:val="18"/>
        </w:rPr>
        <w:t>Pregabalin</w:t>
      </w:r>
      <w:proofErr w:type="spellEnd"/>
      <w:r w:rsidR="00B421A6" w:rsidRPr="00006117">
        <w:rPr>
          <w:sz w:val="18"/>
          <w:szCs w:val="18"/>
        </w:rPr>
        <w:t xml:space="preserve"> group (26.36%)</w:t>
      </w:r>
      <w:proofErr w:type="gramStart"/>
      <w:r w:rsidR="00B421A6" w:rsidRPr="00006117">
        <w:rPr>
          <w:sz w:val="18"/>
          <w:szCs w:val="18"/>
        </w:rPr>
        <w:t>..</w:t>
      </w:r>
      <w:proofErr w:type="gramEnd"/>
      <w:r w:rsidR="00B421A6" w:rsidRPr="00006117">
        <w:rPr>
          <w:sz w:val="18"/>
          <w:szCs w:val="18"/>
        </w:rPr>
        <w:t xml:space="preserve"> The rise in diastolic blood pressure was not significantly prevented in both groups. </w:t>
      </w:r>
      <w:r w:rsidR="005B5EDA" w:rsidRPr="00006117">
        <w:rPr>
          <w:sz w:val="18"/>
          <w:szCs w:val="18"/>
        </w:rPr>
        <w:t>T</w:t>
      </w:r>
      <w:r w:rsidR="00B421A6" w:rsidRPr="00006117">
        <w:rPr>
          <w:sz w:val="18"/>
          <w:szCs w:val="18"/>
        </w:rPr>
        <w:t xml:space="preserve">he MAP was significantly lower in group D following intubation. </w:t>
      </w:r>
    </w:p>
    <w:p w:rsidR="00F8486B" w:rsidRDefault="00B421A6" w:rsidP="002075FC">
      <w:pPr>
        <w:spacing w:line="360" w:lineRule="auto"/>
        <w:jc w:val="both"/>
        <w:rPr>
          <w:sz w:val="18"/>
          <w:szCs w:val="18"/>
        </w:rPr>
      </w:pPr>
      <w:r w:rsidRPr="00006117">
        <w:rPr>
          <w:b/>
          <w:sz w:val="18"/>
          <w:szCs w:val="18"/>
        </w:rPr>
        <w:t>Conclusion :</w:t>
      </w:r>
      <w:r w:rsidRPr="00006117">
        <w:rPr>
          <w:sz w:val="18"/>
          <w:szCs w:val="18"/>
        </w:rPr>
        <w:t xml:space="preserve"> </w:t>
      </w:r>
      <w:proofErr w:type="spellStart"/>
      <w:r w:rsidRPr="00006117">
        <w:rPr>
          <w:sz w:val="18"/>
          <w:szCs w:val="18"/>
        </w:rPr>
        <w:t>Dexmedetomidine</w:t>
      </w:r>
      <w:proofErr w:type="spellEnd"/>
      <w:r w:rsidRPr="00006117">
        <w:rPr>
          <w:sz w:val="18"/>
          <w:szCs w:val="18"/>
        </w:rPr>
        <w:t xml:space="preserve"> infusion in the dose of 0.6 </w:t>
      </w:r>
      <w:proofErr w:type="spellStart"/>
      <w:r w:rsidRPr="00006117">
        <w:rPr>
          <w:sz w:val="18"/>
          <w:szCs w:val="18"/>
        </w:rPr>
        <w:t>μg</w:t>
      </w:r>
      <w:proofErr w:type="spellEnd"/>
      <w:r w:rsidRPr="00006117">
        <w:rPr>
          <w:sz w:val="18"/>
          <w:szCs w:val="18"/>
        </w:rPr>
        <w:t xml:space="preserve">/kg given preoperatively under the present study design condition attenuates the tachycardia and </w:t>
      </w:r>
      <w:proofErr w:type="spellStart"/>
      <w:r w:rsidRPr="00006117">
        <w:rPr>
          <w:sz w:val="18"/>
          <w:szCs w:val="18"/>
        </w:rPr>
        <w:t>pressor</w:t>
      </w:r>
      <w:proofErr w:type="spellEnd"/>
      <w:r w:rsidRPr="00006117">
        <w:rPr>
          <w:sz w:val="18"/>
          <w:szCs w:val="18"/>
        </w:rPr>
        <w:t xml:space="preserve"> responses associated with laryngoscopy and intubation more than </w:t>
      </w:r>
      <w:proofErr w:type="spellStart"/>
      <w:r w:rsidRPr="00006117">
        <w:rPr>
          <w:sz w:val="18"/>
          <w:szCs w:val="18"/>
        </w:rPr>
        <w:t>pregabalin</w:t>
      </w:r>
      <w:proofErr w:type="spellEnd"/>
      <w:r w:rsidRPr="00006117">
        <w:rPr>
          <w:sz w:val="18"/>
          <w:szCs w:val="18"/>
        </w:rPr>
        <w:t xml:space="preserve"> in the dose of 150 mg administered orally.</w:t>
      </w:r>
    </w:p>
    <w:p w:rsidR="00006117" w:rsidRDefault="00006117" w:rsidP="002075FC">
      <w:pPr>
        <w:spacing w:line="360" w:lineRule="auto"/>
        <w:jc w:val="both"/>
        <w:rPr>
          <w:sz w:val="18"/>
          <w:szCs w:val="18"/>
        </w:rPr>
      </w:pPr>
    </w:p>
    <w:p w:rsidR="00006117" w:rsidRPr="002075FC" w:rsidRDefault="00006117" w:rsidP="002075FC">
      <w:pPr>
        <w:spacing w:line="360" w:lineRule="auto"/>
        <w:jc w:val="both"/>
        <w:rPr>
          <w:sz w:val="20"/>
          <w:szCs w:val="20"/>
        </w:rPr>
      </w:pPr>
    </w:p>
    <w:p w:rsidR="006565C2" w:rsidRPr="002075FC" w:rsidRDefault="006565C2" w:rsidP="002075FC">
      <w:pPr>
        <w:spacing w:line="360" w:lineRule="auto"/>
        <w:jc w:val="both"/>
        <w:outlineLvl w:val="0"/>
        <w:rPr>
          <w:b/>
          <w:sz w:val="20"/>
          <w:szCs w:val="20"/>
        </w:rPr>
      </w:pPr>
      <w:r w:rsidRPr="002075FC">
        <w:rPr>
          <w:b/>
          <w:sz w:val="20"/>
          <w:szCs w:val="20"/>
        </w:rPr>
        <w:t>I</w:t>
      </w:r>
      <w:r w:rsidR="00006117" w:rsidRPr="002075FC">
        <w:rPr>
          <w:b/>
          <w:sz w:val="20"/>
          <w:szCs w:val="20"/>
        </w:rPr>
        <w:t>ntroduction</w:t>
      </w:r>
    </w:p>
    <w:p w:rsidR="006565C2" w:rsidRPr="002075FC" w:rsidRDefault="006565C2" w:rsidP="002075FC">
      <w:pPr>
        <w:spacing w:line="360" w:lineRule="auto"/>
        <w:jc w:val="both"/>
        <w:rPr>
          <w:sz w:val="20"/>
          <w:szCs w:val="20"/>
        </w:rPr>
      </w:pPr>
      <w:r w:rsidRPr="002075FC">
        <w:rPr>
          <w:sz w:val="20"/>
          <w:szCs w:val="20"/>
        </w:rPr>
        <w:t>Intubation of the trachea is an essential step for administration of general anaesthesia to a patient undergoing surgical procedure. Laryngoscopy and tracheal intubation are noxious stimuli that evoke a transient but marked sympathetic response manifesting as increase in heart rate, b</w:t>
      </w:r>
      <w:r w:rsidR="00FE24DD" w:rsidRPr="002075FC">
        <w:rPr>
          <w:sz w:val="20"/>
          <w:szCs w:val="20"/>
        </w:rPr>
        <w:t>lood pressure &amp; arrhythmia.</w:t>
      </w:r>
      <w:r w:rsidR="00006117">
        <w:rPr>
          <w:sz w:val="20"/>
          <w:szCs w:val="20"/>
        </w:rPr>
        <w:t xml:space="preserve"> </w:t>
      </w:r>
      <w:r w:rsidRPr="002075FC">
        <w:rPr>
          <w:sz w:val="20"/>
          <w:szCs w:val="20"/>
        </w:rPr>
        <w:t xml:space="preserve">These physiological changes are well tolerated by healthy individuals. However these changes may be detrimental or even fatal in patients with pre-existing coronary artery disease, hypertension, cerebrovascular disease, intracranial aneurysm, </w:t>
      </w:r>
      <w:proofErr w:type="spellStart"/>
      <w:r w:rsidRPr="002075FC">
        <w:rPr>
          <w:sz w:val="20"/>
          <w:szCs w:val="20"/>
        </w:rPr>
        <w:t>valvular</w:t>
      </w:r>
      <w:proofErr w:type="spellEnd"/>
      <w:r w:rsidRPr="002075FC">
        <w:rPr>
          <w:sz w:val="20"/>
          <w:szCs w:val="20"/>
        </w:rPr>
        <w:t xml:space="preserve"> heart disease. The sympathetic response may be associated with acute left ventricular failure</w:t>
      </w:r>
      <w:r w:rsidRPr="002075FC">
        <w:rPr>
          <w:sz w:val="20"/>
          <w:szCs w:val="20"/>
          <w:vertAlign w:val="superscript"/>
        </w:rPr>
        <w:t>1</w:t>
      </w:r>
      <w:r w:rsidRPr="002075FC">
        <w:rPr>
          <w:sz w:val="20"/>
          <w:szCs w:val="20"/>
        </w:rPr>
        <w:t>, ischaemic ECG changes</w:t>
      </w:r>
      <w:r w:rsidRPr="002075FC">
        <w:rPr>
          <w:sz w:val="20"/>
          <w:szCs w:val="20"/>
          <w:vertAlign w:val="superscript"/>
        </w:rPr>
        <w:t>2,</w:t>
      </w:r>
      <w:r w:rsidRPr="002075FC">
        <w:rPr>
          <w:sz w:val="20"/>
          <w:szCs w:val="20"/>
        </w:rPr>
        <w:t xml:space="preserve"> and ruptured cerebral aneurysm</w:t>
      </w:r>
      <w:r w:rsidR="007E5A8D" w:rsidRPr="002075FC">
        <w:rPr>
          <w:sz w:val="20"/>
          <w:szCs w:val="20"/>
          <w:vertAlign w:val="superscript"/>
        </w:rPr>
        <w:t>1</w:t>
      </w:r>
      <w:r w:rsidRPr="002075FC">
        <w:rPr>
          <w:sz w:val="20"/>
          <w:szCs w:val="20"/>
        </w:rPr>
        <w:t>.</w:t>
      </w:r>
      <w:r w:rsidR="00006117">
        <w:rPr>
          <w:sz w:val="20"/>
          <w:szCs w:val="20"/>
        </w:rPr>
        <w:t xml:space="preserve"> </w:t>
      </w:r>
      <w:r w:rsidRPr="002075FC">
        <w:rPr>
          <w:sz w:val="20"/>
          <w:szCs w:val="20"/>
        </w:rPr>
        <w:t xml:space="preserve">As today more and more patients with cardiovascular disorders are presenting themselves for surgery, anaesthesiologists are in search of more safe and efficient drug which can minimise cardiovascular response to the laryngoscopy and tracheal intubation. </w:t>
      </w:r>
    </w:p>
    <w:p w:rsidR="006565C2" w:rsidRPr="002075FC" w:rsidRDefault="006565C2" w:rsidP="002075FC">
      <w:pPr>
        <w:spacing w:line="360" w:lineRule="auto"/>
        <w:jc w:val="both"/>
        <w:rPr>
          <w:sz w:val="20"/>
          <w:szCs w:val="20"/>
        </w:rPr>
      </w:pPr>
      <w:r w:rsidRPr="002075FC">
        <w:rPr>
          <w:sz w:val="20"/>
          <w:szCs w:val="20"/>
        </w:rPr>
        <w:lastRenderedPageBreak/>
        <w:t xml:space="preserve">Deepening of </w:t>
      </w:r>
      <w:proofErr w:type="spellStart"/>
      <w:r w:rsidRPr="002075FC">
        <w:rPr>
          <w:sz w:val="20"/>
          <w:szCs w:val="20"/>
        </w:rPr>
        <w:t>anesthesia</w:t>
      </w:r>
      <w:proofErr w:type="spellEnd"/>
      <w:r w:rsidRPr="002075FC">
        <w:rPr>
          <w:sz w:val="20"/>
          <w:szCs w:val="20"/>
        </w:rPr>
        <w:t xml:space="preserve">, </w:t>
      </w:r>
      <w:proofErr w:type="spellStart"/>
      <w:r w:rsidRPr="002075FC">
        <w:rPr>
          <w:sz w:val="20"/>
          <w:szCs w:val="20"/>
        </w:rPr>
        <w:t>lidocaine</w:t>
      </w:r>
      <w:proofErr w:type="spellEnd"/>
      <w:r w:rsidRPr="002075FC">
        <w:rPr>
          <w:sz w:val="20"/>
          <w:szCs w:val="20"/>
        </w:rPr>
        <w:t xml:space="preserve"> spray, sodium </w:t>
      </w:r>
      <w:proofErr w:type="spellStart"/>
      <w:r w:rsidRPr="002075FC">
        <w:rPr>
          <w:sz w:val="20"/>
          <w:szCs w:val="20"/>
        </w:rPr>
        <w:t>nitroprusside</w:t>
      </w:r>
      <w:proofErr w:type="spellEnd"/>
      <w:r w:rsidRPr="002075FC">
        <w:rPr>
          <w:sz w:val="20"/>
          <w:szCs w:val="20"/>
        </w:rPr>
        <w:t>, opioids, α blockers, I.V lignocaine</w:t>
      </w:r>
      <w:hyperlink r:id="rId9" w:history="1"/>
      <w:r w:rsidR="00D56911" w:rsidRPr="002075FC">
        <w:rPr>
          <w:sz w:val="20"/>
          <w:szCs w:val="20"/>
        </w:rPr>
        <w:t xml:space="preserve"> </w:t>
      </w:r>
      <w:r w:rsidRPr="002075FC">
        <w:rPr>
          <w:sz w:val="20"/>
          <w:szCs w:val="20"/>
        </w:rPr>
        <w:t xml:space="preserve">, </w:t>
      </w:r>
      <w:proofErr w:type="spellStart"/>
      <w:r w:rsidRPr="002075FC">
        <w:rPr>
          <w:sz w:val="20"/>
          <w:szCs w:val="20"/>
        </w:rPr>
        <w:t>nitroglycerine</w:t>
      </w:r>
      <w:proofErr w:type="spellEnd"/>
      <w:r w:rsidRPr="002075FC">
        <w:rPr>
          <w:sz w:val="20"/>
          <w:szCs w:val="20"/>
        </w:rPr>
        <w:t xml:space="preserve"> ointment and oral clonidine</w:t>
      </w:r>
      <w:r w:rsidR="00D56911" w:rsidRPr="002075FC">
        <w:rPr>
          <w:sz w:val="20"/>
          <w:szCs w:val="20"/>
          <w:vertAlign w:val="superscript"/>
        </w:rPr>
        <w:t>4</w:t>
      </w:r>
      <w:r w:rsidR="00D56911" w:rsidRPr="002075FC">
        <w:rPr>
          <w:sz w:val="20"/>
          <w:szCs w:val="20"/>
        </w:rPr>
        <w:t xml:space="preserve"> </w:t>
      </w:r>
      <w:r w:rsidRPr="002075FC">
        <w:rPr>
          <w:sz w:val="20"/>
          <w:szCs w:val="20"/>
        </w:rPr>
        <w:t>have been traditionally used as preoperative medication to eliminate or to attenuate the stress response to laryngoscopy and intubation.</w:t>
      </w:r>
    </w:p>
    <w:p w:rsidR="006565C2" w:rsidRPr="002075FC" w:rsidRDefault="006565C2" w:rsidP="002075FC">
      <w:pPr>
        <w:spacing w:line="360" w:lineRule="auto"/>
        <w:jc w:val="both"/>
        <w:rPr>
          <w:sz w:val="20"/>
          <w:szCs w:val="20"/>
        </w:rPr>
      </w:pPr>
      <w:proofErr w:type="spellStart"/>
      <w:r w:rsidRPr="002075FC">
        <w:rPr>
          <w:sz w:val="20"/>
          <w:szCs w:val="20"/>
        </w:rPr>
        <w:t>Dexmedetomidine</w:t>
      </w:r>
      <w:proofErr w:type="spellEnd"/>
      <w:r w:rsidRPr="002075FC">
        <w:rPr>
          <w:sz w:val="20"/>
          <w:szCs w:val="20"/>
        </w:rPr>
        <w:t xml:space="preserve"> and </w:t>
      </w:r>
      <w:proofErr w:type="spellStart"/>
      <w:r w:rsidRPr="002075FC">
        <w:rPr>
          <w:sz w:val="20"/>
          <w:szCs w:val="20"/>
        </w:rPr>
        <w:t>pregabalin</w:t>
      </w:r>
      <w:proofErr w:type="spellEnd"/>
      <w:r w:rsidRPr="002075FC">
        <w:rPr>
          <w:sz w:val="20"/>
          <w:szCs w:val="20"/>
        </w:rPr>
        <w:t xml:space="preserve"> are relatively newer drugs which have been used for this purpose. </w:t>
      </w:r>
      <w:proofErr w:type="spellStart"/>
      <w:proofErr w:type="gramStart"/>
      <w:r w:rsidRPr="002075FC">
        <w:rPr>
          <w:sz w:val="20"/>
          <w:szCs w:val="20"/>
        </w:rPr>
        <w:t>Dexmedetomidine</w:t>
      </w:r>
      <w:proofErr w:type="spellEnd"/>
      <w:r w:rsidRPr="002075FC">
        <w:rPr>
          <w:sz w:val="20"/>
          <w:szCs w:val="20"/>
        </w:rPr>
        <w:t>,</w:t>
      </w:r>
      <w:proofErr w:type="gramEnd"/>
      <w:r w:rsidRPr="002075FC">
        <w:rPr>
          <w:sz w:val="20"/>
          <w:szCs w:val="20"/>
        </w:rPr>
        <w:t xml:space="preserve"> is a highly selective α-2-adrenergic agonist, which increases perioperative cardiovascular stability in healthy adults. The intraoperative use of </w:t>
      </w:r>
      <w:proofErr w:type="spellStart"/>
      <w:r w:rsidRPr="002075FC">
        <w:rPr>
          <w:sz w:val="20"/>
          <w:szCs w:val="20"/>
        </w:rPr>
        <w:t>dexmedetomidine</w:t>
      </w:r>
      <w:proofErr w:type="spellEnd"/>
      <w:r w:rsidRPr="002075FC">
        <w:rPr>
          <w:sz w:val="20"/>
          <w:szCs w:val="20"/>
        </w:rPr>
        <w:t xml:space="preserve"> may increase hemodynamic stability because of attenuation of the stress-induced </w:t>
      </w:r>
      <w:proofErr w:type="spellStart"/>
      <w:r w:rsidRPr="002075FC">
        <w:rPr>
          <w:sz w:val="20"/>
          <w:szCs w:val="20"/>
        </w:rPr>
        <w:t>sympatho</w:t>
      </w:r>
      <w:r w:rsidR="00281342" w:rsidRPr="002075FC">
        <w:rPr>
          <w:sz w:val="20"/>
          <w:szCs w:val="20"/>
        </w:rPr>
        <w:t>a</w:t>
      </w:r>
      <w:r w:rsidRPr="002075FC">
        <w:rPr>
          <w:sz w:val="20"/>
          <w:szCs w:val="20"/>
        </w:rPr>
        <w:t>drenal</w:t>
      </w:r>
      <w:proofErr w:type="spellEnd"/>
      <w:r w:rsidRPr="002075FC">
        <w:rPr>
          <w:sz w:val="20"/>
          <w:szCs w:val="20"/>
        </w:rPr>
        <w:t xml:space="preserve"> responses to intubation, during surgery and during emergence from anaesthesia</w:t>
      </w:r>
      <w:r w:rsidR="00281342" w:rsidRPr="002075FC">
        <w:rPr>
          <w:sz w:val="20"/>
          <w:szCs w:val="20"/>
          <w:vertAlign w:val="superscript"/>
        </w:rPr>
        <w:t>6</w:t>
      </w:r>
      <w:proofErr w:type="gramStart"/>
      <w:r w:rsidRPr="002075FC">
        <w:rPr>
          <w:sz w:val="20"/>
          <w:szCs w:val="20"/>
        </w:rPr>
        <w:t>..</w:t>
      </w:r>
      <w:proofErr w:type="gramEnd"/>
      <w:r w:rsidRPr="002075FC">
        <w:rPr>
          <w:sz w:val="20"/>
          <w:szCs w:val="20"/>
        </w:rPr>
        <w:t xml:space="preserve"> For adult patients, </w:t>
      </w:r>
      <w:proofErr w:type="spellStart"/>
      <w:r w:rsidRPr="002075FC">
        <w:rPr>
          <w:sz w:val="20"/>
          <w:szCs w:val="20"/>
        </w:rPr>
        <w:t>dexmedetomidine</w:t>
      </w:r>
      <w:proofErr w:type="spellEnd"/>
      <w:r w:rsidRPr="002075FC">
        <w:rPr>
          <w:sz w:val="20"/>
          <w:szCs w:val="20"/>
        </w:rPr>
        <w:t xml:space="preserve"> is administered by a loading intravenous infusion of 0.5-1 </w:t>
      </w:r>
      <w:proofErr w:type="spellStart"/>
      <w:r w:rsidRPr="002075FC">
        <w:rPr>
          <w:sz w:val="20"/>
          <w:szCs w:val="20"/>
        </w:rPr>
        <w:t>μg</w:t>
      </w:r>
      <w:proofErr w:type="spellEnd"/>
      <w:r w:rsidRPr="002075FC">
        <w:rPr>
          <w:sz w:val="20"/>
          <w:szCs w:val="20"/>
        </w:rPr>
        <w:t>/kg over 10 minutes, The effect appears in 5-10 min, and is reduced in 30-60 min..</w:t>
      </w:r>
    </w:p>
    <w:p w:rsidR="006565C2" w:rsidRPr="002075FC" w:rsidRDefault="006565C2" w:rsidP="002075FC">
      <w:pPr>
        <w:spacing w:line="360" w:lineRule="auto"/>
        <w:jc w:val="both"/>
        <w:rPr>
          <w:sz w:val="20"/>
          <w:szCs w:val="20"/>
        </w:rPr>
      </w:pPr>
      <w:proofErr w:type="spellStart"/>
      <w:r w:rsidRPr="002075FC">
        <w:rPr>
          <w:sz w:val="20"/>
          <w:szCs w:val="20"/>
        </w:rPr>
        <w:t>Pregabalin</w:t>
      </w:r>
      <w:proofErr w:type="spellEnd"/>
      <w:r w:rsidRPr="002075FC">
        <w:rPr>
          <w:sz w:val="20"/>
          <w:szCs w:val="20"/>
        </w:rPr>
        <w:t xml:space="preserve">, a </w:t>
      </w:r>
      <w:proofErr w:type="spellStart"/>
      <w:r w:rsidRPr="002075FC">
        <w:rPr>
          <w:sz w:val="20"/>
          <w:szCs w:val="20"/>
        </w:rPr>
        <w:t>gabapentinoid</w:t>
      </w:r>
      <w:proofErr w:type="spellEnd"/>
      <w:r w:rsidRPr="002075FC">
        <w:rPr>
          <w:sz w:val="20"/>
          <w:szCs w:val="20"/>
        </w:rPr>
        <w:t xml:space="preserve"> compound, is described structurally as (s)-3- ami</w:t>
      </w:r>
      <w:r w:rsidR="00FE24DD" w:rsidRPr="002075FC">
        <w:rPr>
          <w:sz w:val="20"/>
          <w:szCs w:val="20"/>
        </w:rPr>
        <w:t>nomethyl-5-methylhexanoic acid.</w:t>
      </w:r>
      <w:r w:rsidRPr="002075FC">
        <w:rPr>
          <w:sz w:val="20"/>
          <w:szCs w:val="20"/>
        </w:rPr>
        <w:t xml:space="preserve"> It acts by decreasing the synthesis of neurotransmitter glutamate to act on central nervous system and possesses analgesic, anticonvulsant and anxiolytic activity and is effective in preventing neuropathic component of acute nociceptive pain of </w:t>
      </w:r>
      <w:proofErr w:type="gramStart"/>
      <w:r w:rsidRPr="002075FC">
        <w:rPr>
          <w:sz w:val="20"/>
          <w:szCs w:val="20"/>
        </w:rPr>
        <w:t>surgery</w:t>
      </w:r>
      <w:r w:rsidR="00281342" w:rsidRPr="002075FC">
        <w:rPr>
          <w:sz w:val="20"/>
          <w:szCs w:val="20"/>
          <w:vertAlign w:val="superscript"/>
        </w:rPr>
        <w:t>7</w:t>
      </w:r>
      <w:r w:rsidRPr="002075FC">
        <w:rPr>
          <w:sz w:val="20"/>
          <w:szCs w:val="20"/>
        </w:rPr>
        <w:t>.</w:t>
      </w:r>
      <w:r w:rsidRPr="002075FC">
        <w:rPr>
          <w:sz w:val="20"/>
          <w:szCs w:val="20"/>
          <w:vertAlign w:val="superscript"/>
        </w:rPr>
        <w:t>,</w:t>
      </w:r>
      <w:r w:rsidRPr="002075FC">
        <w:rPr>
          <w:sz w:val="20"/>
          <w:szCs w:val="20"/>
        </w:rPr>
        <w:t>.</w:t>
      </w:r>
      <w:proofErr w:type="gramEnd"/>
      <w:r w:rsidRPr="002075FC">
        <w:rPr>
          <w:sz w:val="20"/>
          <w:szCs w:val="20"/>
        </w:rPr>
        <w:t xml:space="preserve"> It has also been shown to attenuate cardiovascular response</w:t>
      </w:r>
      <w:r w:rsidRPr="002075FC">
        <w:rPr>
          <w:sz w:val="20"/>
          <w:szCs w:val="20"/>
          <w:vertAlign w:val="superscript"/>
        </w:rPr>
        <w:t xml:space="preserve"> </w:t>
      </w:r>
      <w:r w:rsidRPr="002075FC">
        <w:rPr>
          <w:sz w:val="20"/>
          <w:szCs w:val="20"/>
        </w:rPr>
        <w:t>to laryngoscopy and intubation</w:t>
      </w:r>
      <w:r w:rsidR="00281342" w:rsidRPr="002075FC">
        <w:rPr>
          <w:sz w:val="20"/>
          <w:szCs w:val="20"/>
          <w:vertAlign w:val="superscript"/>
        </w:rPr>
        <w:t>8</w:t>
      </w:r>
      <w:r w:rsidRPr="002075FC">
        <w:rPr>
          <w:sz w:val="20"/>
          <w:szCs w:val="20"/>
        </w:rPr>
        <w:t>.</w:t>
      </w:r>
    </w:p>
    <w:p w:rsidR="006565C2" w:rsidRPr="002075FC" w:rsidRDefault="00FA2BEB" w:rsidP="002075FC">
      <w:pPr>
        <w:spacing w:line="360" w:lineRule="auto"/>
        <w:jc w:val="both"/>
        <w:rPr>
          <w:sz w:val="20"/>
          <w:szCs w:val="20"/>
        </w:rPr>
      </w:pPr>
      <w:r w:rsidRPr="002075FC">
        <w:rPr>
          <w:sz w:val="20"/>
          <w:szCs w:val="20"/>
        </w:rPr>
        <w:t xml:space="preserve">The present study was designed as prospective randomized study to evaluate and compare the efficacy of </w:t>
      </w:r>
      <w:proofErr w:type="spellStart"/>
      <w:r w:rsidRPr="002075FC">
        <w:rPr>
          <w:sz w:val="20"/>
          <w:szCs w:val="20"/>
        </w:rPr>
        <w:t>dexmedetomidine</w:t>
      </w:r>
      <w:proofErr w:type="spellEnd"/>
      <w:r w:rsidRPr="002075FC">
        <w:rPr>
          <w:sz w:val="20"/>
          <w:szCs w:val="20"/>
        </w:rPr>
        <w:t xml:space="preserve"> and </w:t>
      </w:r>
      <w:proofErr w:type="spellStart"/>
      <w:r w:rsidRPr="002075FC">
        <w:rPr>
          <w:sz w:val="20"/>
          <w:szCs w:val="20"/>
        </w:rPr>
        <w:t>pregabalin</w:t>
      </w:r>
      <w:proofErr w:type="spellEnd"/>
      <w:r w:rsidRPr="002075FC">
        <w:rPr>
          <w:sz w:val="20"/>
          <w:szCs w:val="20"/>
        </w:rPr>
        <w:t xml:space="preserve"> premedication for attenuation of haemodynamic </w:t>
      </w:r>
      <w:proofErr w:type="spellStart"/>
      <w:r w:rsidRPr="002075FC">
        <w:rPr>
          <w:sz w:val="20"/>
          <w:szCs w:val="20"/>
        </w:rPr>
        <w:t>pressor</w:t>
      </w:r>
      <w:proofErr w:type="spellEnd"/>
      <w:r w:rsidRPr="002075FC">
        <w:rPr>
          <w:sz w:val="20"/>
          <w:szCs w:val="20"/>
        </w:rPr>
        <w:t xml:space="preserve"> response of laryngoscopy and intubation with </w:t>
      </w:r>
      <w:proofErr w:type="spellStart"/>
      <w:r w:rsidR="00281342" w:rsidRPr="002075FC">
        <w:rPr>
          <w:sz w:val="20"/>
          <w:szCs w:val="20"/>
        </w:rPr>
        <w:t>peri</w:t>
      </w:r>
      <w:r w:rsidR="00DC717B" w:rsidRPr="002075FC">
        <w:rPr>
          <w:sz w:val="20"/>
          <w:szCs w:val="20"/>
        </w:rPr>
        <w:t>operarative</w:t>
      </w:r>
      <w:proofErr w:type="spellEnd"/>
      <w:r w:rsidR="00DC717B" w:rsidRPr="002075FC">
        <w:rPr>
          <w:sz w:val="20"/>
          <w:szCs w:val="20"/>
        </w:rPr>
        <w:t xml:space="preserve"> haemodynamic stability</w:t>
      </w:r>
      <w:r w:rsidR="00580127" w:rsidRPr="002075FC">
        <w:rPr>
          <w:sz w:val="20"/>
          <w:szCs w:val="20"/>
        </w:rPr>
        <w:t xml:space="preserve"> at the Department of Anaesthesiology of Northern Railway Central Hospital, New Delhi.</w:t>
      </w:r>
    </w:p>
    <w:p w:rsidR="006B2B5A" w:rsidRPr="002075FC" w:rsidRDefault="00C72729" w:rsidP="002075FC">
      <w:pPr>
        <w:spacing w:line="360" w:lineRule="auto"/>
        <w:jc w:val="both"/>
        <w:rPr>
          <w:b/>
          <w:sz w:val="20"/>
          <w:szCs w:val="20"/>
        </w:rPr>
      </w:pPr>
      <w:r w:rsidRPr="002075FC">
        <w:rPr>
          <w:b/>
          <w:sz w:val="20"/>
          <w:szCs w:val="20"/>
        </w:rPr>
        <w:t>Material and methods</w:t>
      </w:r>
    </w:p>
    <w:p w:rsidR="001D3D33" w:rsidRPr="002075FC" w:rsidRDefault="006B2B5A" w:rsidP="002075FC">
      <w:pPr>
        <w:spacing w:line="360" w:lineRule="auto"/>
        <w:jc w:val="both"/>
        <w:rPr>
          <w:sz w:val="20"/>
          <w:szCs w:val="20"/>
        </w:rPr>
      </w:pPr>
      <w:r w:rsidRPr="002075FC">
        <w:rPr>
          <w:sz w:val="20"/>
          <w:szCs w:val="20"/>
        </w:rPr>
        <w:t>This study was randomised prospective comparative study. A total of 60 normotensive</w:t>
      </w:r>
      <w:r w:rsidR="00006117">
        <w:rPr>
          <w:sz w:val="20"/>
          <w:szCs w:val="20"/>
        </w:rPr>
        <w:t xml:space="preserve"> </w:t>
      </w:r>
      <w:r w:rsidRPr="002075FC">
        <w:rPr>
          <w:sz w:val="20"/>
          <w:szCs w:val="20"/>
        </w:rPr>
        <w:t xml:space="preserve"> adult consented patients</w:t>
      </w:r>
      <w:r w:rsidR="00580127" w:rsidRPr="002075FC">
        <w:rPr>
          <w:sz w:val="20"/>
          <w:szCs w:val="20"/>
        </w:rPr>
        <w:t xml:space="preserve"> were taken</w:t>
      </w:r>
      <w:r w:rsidRPr="002075FC">
        <w:rPr>
          <w:sz w:val="20"/>
          <w:szCs w:val="20"/>
        </w:rPr>
        <w:t xml:space="preserve"> </w:t>
      </w:r>
      <w:r w:rsidR="00580127" w:rsidRPr="002075FC">
        <w:rPr>
          <w:sz w:val="20"/>
          <w:szCs w:val="20"/>
        </w:rPr>
        <w:t>af</w:t>
      </w:r>
      <w:r w:rsidR="00C71B35" w:rsidRPr="002075FC">
        <w:rPr>
          <w:sz w:val="20"/>
          <w:szCs w:val="20"/>
        </w:rPr>
        <w:t>ter clearance from ethical committee, the study was conducted between April 2012 to May</w:t>
      </w:r>
      <w:r w:rsidR="00580127" w:rsidRPr="002075FC">
        <w:rPr>
          <w:sz w:val="20"/>
          <w:szCs w:val="20"/>
        </w:rPr>
        <w:t xml:space="preserve"> 2013.Patients posted</w:t>
      </w:r>
      <w:r w:rsidR="00C71B35" w:rsidRPr="002075FC">
        <w:rPr>
          <w:sz w:val="20"/>
          <w:szCs w:val="20"/>
        </w:rPr>
        <w:t xml:space="preserve"> </w:t>
      </w:r>
      <w:r w:rsidRPr="002075FC">
        <w:rPr>
          <w:sz w:val="20"/>
          <w:szCs w:val="20"/>
        </w:rPr>
        <w:t>for elective surgery aged 18-65 yea</w:t>
      </w:r>
      <w:r w:rsidR="00580127" w:rsidRPr="002075FC">
        <w:rPr>
          <w:sz w:val="20"/>
          <w:szCs w:val="20"/>
        </w:rPr>
        <w:t xml:space="preserve">rs, , of both gender </w:t>
      </w:r>
      <w:r w:rsidR="001D3D33" w:rsidRPr="002075FC">
        <w:rPr>
          <w:sz w:val="20"/>
          <w:szCs w:val="20"/>
        </w:rPr>
        <w:t>were randomised into two groups of 30 patients each</w:t>
      </w:r>
      <w:r w:rsidR="00C71B35" w:rsidRPr="002075FC">
        <w:rPr>
          <w:sz w:val="20"/>
          <w:szCs w:val="20"/>
        </w:rPr>
        <w:t>.</w:t>
      </w:r>
      <w:r w:rsidR="001D3D33" w:rsidRPr="002075FC">
        <w:rPr>
          <w:sz w:val="20"/>
          <w:szCs w:val="20"/>
        </w:rPr>
        <w:t>.</w:t>
      </w:r>
      <w:r w:rsidR="00C71B35" w:rsidRPr="002075FC">
        <w:rPr>
          <w:sz w:val="20"/>
          <w:szCs w:val="20"/>
        </w:rPr>
        <w:t>P</w:t>
      </w:r>
      <w:r w:rsidR="001D3D33" w:rsidRPr="002075FC">
        <w:rPr>
          <w:sz w:val="20"/>
          <w:szCs w:val="20"/>
        </w:rPr>
        <w:t>atients with anticipated difficult intubation, Chronic Obstructive Pulmonary Disease (COPD</w:t>
      </w:r>
      <w:proofErr w:type="gramStart"/>
      <w:r w:rsidR="001D3D33" w:rsidRPr="002075FC">
        <w:rPr>
          <w:sz w:val="20"/>
          <w:szCs w:val="20"/>
        </w:rPr>
        <w:t>) ,</w:t>
      </w:r>
      <w:proofErr w:type="gramEnd"/>
      <w:r w:rsidR="001D3D33" w:rsidRPr="002075FC">
        <w:rPr>
          <w:sz w:val="20"/>
          <w:szCs w:val="20"/>
        </w:rPr>
        <w:t xml:space="preserve"> hepatic disease,  renal disease, seizure disorder, pregnancy or lactation,  antihypertensive medication and any history of allergy to </w:t>
      </w:r>
      <w:proofErr w:type="spellStart"/>
      <w:r w:rsidR="001D3D33" w:rsidRPr="002075FC">
        <w:rPr>
          <w:sz w:val="20"/>
          <w:szCs w:val="20"/>
        </w:rPr>
        <w:t>pregabalin</w:t>
      </w:r>
      <w:proofErr w:type="spellEnd"/>
      <w:r w:rsidR="001D3D33" w:rsidRPr="002075FC">
        <w:rPr>
          <w:sz w:val="20"/>
          <w:szCs w:val="20"/>
        </w:rPr>
        <w:t xml:space="preserve"> or </w:t>
      </w:r>
      <w:proofErr w:type="spellStart"/>
      <w:r w:rsidR="001D3D33" w:rsidRPr="002075FC">
        <w:rPr>
          <w:sz w:val="20"/>
          <w:szCs w:val="20"/>
        </w:rPr>
        <w:t>dexmedetomidine</w:t>
      </w:r>
      <w:proofErr w:type="spellEnd"/>
      <w:r w:rsidR="001D3D33" w:rsidRPr="002075FC">
        <w:rPr>
          <w:sz w:val="20"/>
          <w:szCs w:val="20"/>
        </w:rPr>
        <w:t xml:space="preserve"> were excluded from study. </w:t>
      </w:r>
      <w:proofErr w:type="gramStart"/>
      <w:r w:rsidR="001D3D33" w:rsidRPr="002075FC">
        <w:rPr>
          <w:sz w:val="20"/>
          <w:szCs w:val="20"/>
        </w:rPr>
        <w:t>When  duration</w:t>
      </w:r>
      <w:proofErr w:type="gramEnd"/>
      <w:r w:rsidR="001D3D33" w:rsidRPr="002075FC">
        <w:rPr>
          <w:sz w:val="20"/>
          <w:szCs w:val="20"/>
        </w:rPr>
        <w:t xml:space="preserve"> of laryngoscopy exceed 15 seconds  or second attempt for intubation was needed those patients were also excluded from study.</w:t>
      </w:r>
    </w:p>
    <w:p w:rsidR="005F5ACC" w:rsidRPr="002075FC" w:rsidRDefault="005F5ACC" w:rsidP="002075FC">
      <w:pPr>
        <w:spacing w:line="360" w:lineRule="auto"/>
        <w:jc w:val="both"/>
        <w:rPr>
          <w:sz w:val="20"/>
          <w:szCs w:val="20"/>
        </w:rPr>
      </w:pPr>
      <w:r w:rsidRPr="002075FC">
        <w:rPr>
          <w:sz w:val="20"/>
          <w:szCs w:val="20"/>
        </w:rPr>
        <w:t xml:space="preserve">After thorough pre-anaesthetic evaluation, patients were randomly allocated (by picking of chits) to two groups of 30 patients each. All patients were given tablet Alprazolam 0.25mg at the night before surgery and 0.25 mg in morning on day of surgery. Patients in Group D received </w:t>
      </w:r>
      <w:proofErr w:type="spellStart"/>
      <w:r w:rsidRPr="002075FC">
        <w:rPr>
          <w:sz w:val="20"/>
          <w:szCs w:val="20"/>
        </w:rPr>
        <w:t>dexmedetomidine</w:t>
      </w:r>
      <w:proofErr w:type="spellEnd"/>
      <w:r w:rsidRPr="002075FC">
        <w:rPr>
          <w:sz w:val="20"/>
          <w:szCs w:val="20"/>
        </w:rPr>
        <w:t xml:space="preserve"> by intravenous infusion at rate of 0.6μg/kg over 10 minutes, followed by endotracheal intubation after an interval of another 10 minutes. Patients in Group P received 150 mg of capsule </w:t>
      </w:r>
      <w:proofErr w:type="spellStart"/>
      <w:r w:rsidRPr="002075FC">
        <w:rPr>
          <w:sz w:val="20"/>
          <w:szCs w:val="20"/>
        </w:rPr>
        <w:t>pregabalin</w:t>
      </w:r>
      <w:proofErr w:type="spellEnd"/>
      <w:r w:rsidRPr="002075FC">
        <w:rPr>
          <w:sz w:val="20"/>
          <w:szCs w:val="20"/>
        </w:rPr>
        <w:t xml:space="preserve"> orally one hour before endotracheal intubation. The patients in Group P also received intravenous infusion of normal saline of equal volume at same rate as in Group D so as to avoid bias between the two groups. </w:t>
      </w:r>
    </w:p>
    <w:p w:rsidR="005F5ACC" w:rsidRPr="002075FC" w:rsidRDefault="005F5ACC" w:rsidP="002075FC">
      <w:pPr>
        <w:spacing w:line="360" w:lineRule="auto"/>
        <w:jc w:val="both"/>
        <w:rPr>
          <w:sz w:val="20"/>
          <w:szCs w:val="20"/>
        </w:rPr>
      </w:pPr>
      <w:r w:rsidRPr="002075FC">
        <w:rPr>
          <w:sz w:val="20"/>
          <w:szCs w:val="20"/>
        </w:rPr>
        <w:t xml:space="preserve">Before given the drug, monitors were attached and baseline (preoperative) heart rate by ECG, systolic blood pressure, diastolic blood pressure and mean arterial blood pressure by continuous non invasive arterial pressure (CNAP) were recorded, using </w:t>
      </w:r>
      <w:proofErr w:type="spellStart"/>
      <w:r w:rsidRPr="002075FC">
        <w:rPr>
          <w:sz w:val="20"/>
          <w:szCs w:val="20"/>
        </w:rPr>
        <w:t>multiparameter</w:t>
      </w:r>
      <w:proofErr w:type="spellEnd"/>
      <w:r w:rsidRPr="002075FC">
        <w:rPr>
          <w:sz w:val="20"/>
          <w:szCs w:val="20"/>
        </w:rPr>
        <w:t xml:space="preserve"> monitor (Infinity C700  </w:t>
      </w:r>
      <w:proofErr w:type="spellStart"/>
      <w:r w:rsidRPr="002075FC">
        <w:rPr>
          <w:sz w:val="20"/>
          <w:szCs w:val="20"/>
        </w:rPr>
        <w:t>Drager</w:t>
      </w:r>
      <w:proofErr w:type="spellEnd"/>
      <w:r w:rsidRPr="002075FC">
        <w:rPr>
          <w:sz w:val="20"/>
          <w:szCs w:val="20"/>
        </w:rPr>
        <w:t xml:space="preserve"> </w:t>
      </w:r>
      <w:proofErr w:type="spellStart"/>
      <w:r w:rsidRPr="002075FC">
        <w:rPr>
          <w:sz w:val="20"/>
          <w:szCs w:val="20"/>
        </w:rPr>
        <w:t>Fabius</w:t>
      </w:r>
      <w:proofErr w:type="spellEnd"/>
      <w:r w:rsidRPr="002075FC">
        <w:rPr>
          <w:sz w:val="20"/>
          <w:szCs w:val="20"/>
        </w:rPr>
        <w:t xml:space="preserve"> Plus )</w:t>
      </w:r>
    </w:p>
    <w:p w:rsidR="005F5ACC" w:rsidRPr="002075FC" w:rsidRDefault="005F5ACC" w:rsidP="002075FC">
      <w:pPr>
        <w:spacing w:line="360" w:lineRule="auto"/>
        <w:jc w:val="both"/>
        <w:rPr>
          <w:sz w:val="20"/>
          <w:szCs w:val="20"/>
        </w:rPr>
      </w:pPr>
      <w:r w:rsidRPr="002075FC">
        <w:rPr>
          <w:sz w:val="20"/>
          <w:szCs w:val="20"/>
        </w:rPr>
        <w:t xml:space="preserve">A crystalloid intravenous infusion of 6-8mL/Kg was started. After pre-oxygenation for 3 minutes with 100% oxygen, anaesthesia was induced with injection </w:t>
      </w:r>
      <w:proofErr w:type="spellStart"/>
      <w:r w:rsidRPr="002075FC">
        <w:rPr>
          <w:sz w:val="20"/>
          <w:szCs w:val="20"/>
        </w:rPr>
        <w:t>thiopenton</w:t>
      </w:r>
      <w:r w:rsidR="00580127" w:rsidRPr="002075FC">
        <w:rPr>
          <w:sz w:val="20"/>
          <w:szCs w:val="20"/>
        </w:rPr>
        <w:t>e</w:t>
      </w:r>
      <w:proofErr w:type="spellEnd"/>
      <w:r w:rsidR="00580127" w:rsidRPr="002075FC">
        <w:rPr>
          <w:sz w:val="20"/>
          <w:szCs w:val="20"/>
        </w:rPr>
        <w:t xml:space="preserve"> </w:t>
      </w:r>
      <w:r w:rsidRPr="002075FC">
        <w:rPr>
          <w:sz w:val="20"/>
          <w:szCs w:val="20"/>
        </w:rPr>
        <w:t xml:space="preserve">till </w:t>
      </w:r>
      <w:proofErr w:type="spellStart"/>
      <w:r w:rsidRPr="002075FC">
        <w:rPr>
          <w:sz w:val="20"/>
          <w:szCs w:val="20"/>
        </w:rPr>
        <w:t>dissappearance</w:t>
      </w:r>
      <w:proofErr w:type="spellEnd"/>
      <w:r w:rsidRPr="002075FC">
        <w:rPr>
          <w:sz w:val="20"/>
          <w:szCs w:val="20"/>
        </w:rPr>
        <w:t xml:space="preserve"> of eye lash reflex. The direct laryngoscopy and intubation was facilitated with </w:t>
      </w:r>
      <w:proofErr w:type="spellStart"/>
      <w:proofErr w:type="gramStart"/>
      <w:r w:rsidRPr="002075FC">
        <w:rPr>
          <w:sz w:val="20"/>
          <w:szCs w:val="20"/>
        </w:rPr>
        <w:t>rocuronium</w:t>
      </w:r>
      <w:proofErr w:type="spellEnd"/>
      <w:r w:rsidR="00580127" w:rsidRPr="002075FC">
        <w:rPr>
          <w:sz w:val="20"/>
          <w:szCs w:val="20"/>
        </w:rPr>
        <w:t>(</w:t>
      </w:r>
      <w:proofErr w:type="gramEnd"/>
      <w:r w:rsidRPr="002075FC">
        <w:rPr>
          <w:sz w:val="20"/>
          <w:szCs w:val="20"/>
        </w:rPr>
        <w:t xml:space="preserve"> 0.6 mg/Kg</w:t>
      </w:r>
      <w:r w:rsidR="00580127" w:rsidRPr="002075FC">
        <w:rPr>
          <w:sz w:val="20"/>
          <w:szCs w:val="20"/>
        </w:rPr>
        <w:t>)</w:t>
      </w:r>
      <w:r w:rsidRPr="002075FC">
        <w:rPr>
          <w:sz w:val="20"/>
          <w:szCs w:val="20"/>
        </w:rPr>
        <w:t xml:space="preserve"> after 90 seconds. It was similar </w:t>
      </w:r>
      <w:r w:rsidR="00580127" w:rsidRPr="002075FC">
        <w:rPr>
          <w:sz w:val="20"/>
          <w:szCs w:val="20"/>
        </w:rPr>
        <w:t>in</w:t>
      </w:r>
      <w:r w:rsidRPr="002075FC">
        <w:rPr>
          <w:sz w:val="20"/>
          <w:szCs w:val="20"/>
        </w:rPr>
        <w:t xml:space="preserve"> all patients. During the initial five minutes of intubation, any drug which could affect blood pressure was not </w:t>
      </w:r>
      <w:r w:rsidRPr="002075FC">
        <w:rPr>
          <w:sz w:val="20"/>
          <w:szCs w:val="20"/>
        </w:rPr>
        <w:lastRenderedPageBreak/>
        <w:t>administered through any route</w:t>
      </w:r>
      <w:r w:rsidR="00580127" w:rsidRPr="002075FC">
        <w:rPr>
          <w:sz w:val="20"/>
          <w:szCs w:val="20"/>
        </w:rPr>
        <w:t xml:space="preserve"> </w:t>
      </w:r>
      <w:proofErr w:type="gramStart"/>
      <w:r w:rsidR="00580127" w:rsidRPr="002075FC">
        <w:rPr>
          <w:sz w:val="20"/>
          <w:szCs w:val="20"/>
        </w:rPr>
        <w:t xml:space="preserve">and </w:t>
      </w:r>
      <w:r w:rsidRPr="002075FC">
        <w:rPr>
          <w:sz w:val="20"/>
          <w:szCs w:val="20"/>
        </w:rPr>
        <w:t xml:space="preserve"> anaesthesia</w:t>
      </w:r>
      <w:proofErr w:type="gramEnd"/>
      <w:r w:rsidRPr="002075FC">
        <w:rPr>
          <w:sz w:val="20"/>
          <w:szCs w:val="20"/>
        </w:rPr>
        <w:t xml:space="preserve"> was maintained by oxygen and nitrous oxide in 1:2 ratio and surgery was not started. Any possibility of awareness was ruled out, since it is generally believed that administration of at least 0.5 minimum alveolar concentration of any volatile anaesthetic agent should prevent awareness during GA</w:t>
      </w:r>
      <w:r w:rsidR="00BC2F74" w:rsidRPr="002075FC">
        <w:rPr>
          <w:sz w:val="20"/>
          <w:szCs w:val="20"/>
          <w:vertAlign w:val="superscript"/>
        </w:rPr>
        <w:t>9</w:t>
      </w:r>
      <w:r w:rsidRPr="002075FC">
        <w:rPr>
          <w:sz w:val="20"/>
          <w:szCs w:val="20"/>
        </w:rPr>
        <w:t>.</w:t>
      </w:r>
    </w:p>
    <w:p w:rsidR="005F5ACC" w:rsidRPr="002075FC" w:rsidRDefault="005F5ACC" w:rsidP="002075FC">
      <w:pPr>
        <w:spacing w:line="360" w:lineRule="auto"/>
        <w:jc w:val="both"/>
        <w:rPr>
          <w:sz w:val="20"/>
          <w:szCs w:val="20"/>
        </w:rPr>
      </w:pPr>
      <w:r w:rsidRPr="002075FC">
        <w:rPr>
          <w:sz w:val="20"/>
          <w:szCs w:val="20"/>
        </w:rPr>
        <w:t xml:space="preserve">After 5 minutes of intubation anaesthesia was maintained with </w:t>
      </w:r>
      <w:proofErr w:type="spellStart"/>
      <w:r w:rsidRPr="002075FC">
        <w:rPr>
          <w:sz w:val="20"/>
          <w:szCs w:val="20"/>
        </w:rPr>
        <w:t>isoflurane</w:t>
      </w:r>
      <w:proofErr w:type="spellEnd"/>
      <w:r w:rsidRPr="002075FC">
        <w:rPr>
          <w:sz w:val="20"/>
          <w:szCs w:val="20"/>
        </w:rPr>
        <w:t xml:space="preserve"> and nitrous oxide</w:t>
      </w:r>
      <w:r w:rsidR="00281342" w:rsidRPr="002075FC">
        <w:rPr>
          <w:sz w:val="20"/>
          <w:szCs w:val="20"/>
        </w:rPr>
        <w:t xml:space="preserve"> 60% in oxygen </w:t>
      </w:r>
      <w:r w:rsidR="00DB7251" w:rsidRPr="002075FC">
        <w:rPr>
          <w:sz w:val="20"/>
          <w:szCs w:val="20"/>
        </w:rPr>
        <w:t>and intermittent relaxant</w:t>
      </w:r>
    </w:p>
    <w:p w:rsidR="005F5ACC" w:rsidRPr="002075FC" w:rsidRDefault="005F5ACC" w:rsidP="002075FC">
      <w:pPr>
        <w:spacing w:line="360" w:lineRule="auto"/>
        <w:jc w:val="both"/>
        <w:rPr>
          <w:sz w:val="20"/>
          <w:szCs w:val="20"/>
        </w:rPr>
      </w:pPr>
      <w:proofErr w:type="spellStart"/>
      <w:r w:rsidRPr="002075FC">
        <w:rPr>
          <w:sz w:val="20"/>
          <w:szCs w:val="20"/>
        </w:rPr>
        <w:t>Intraoperatively</w:t>
      </w:r>
      <w:proofErr w:type="spellEnd"/>
      <w:r w:rsidRPr="002075FC">
        <w:rPr>
          <w:sz w:val="20"/>
          <w:szCs w:val="20"/>
        </w:rPr>
        <w:t>, the heart rate, systolic blood pressure, diastolic blood pressure and mean arterial blood pressure using CNAP and oxygen saturation (SpO</w:t>
      </w:r>
      <w:r w:rsidRPr="002075FC">
        <w:rPr>
          <w:sz w:val="20"/>
          <w:szCs w:val="20"/>
          <w:vertAlign w:val="subscript"/>
        </w:rPr>
        <w:t>2</w:t>
      </w:r>
      <w:r w:rsidRPr="002075FC">
        <w:rPr>
          <w:sz w:val="20"/>
          <w:szCs w:val="20"/>
        </w:rPr>
        <w:t xml:space="preserve">) were continuously monitored. The time scheduled for measurement of above parameter was as </w:t>
      </w:r>
      <w:proofErr w:type="gramStart"/>
      <w:r w:rsidRPr="002075FC">
        <w:rPr>
          <w:sz w:val="20"/>
          <w:szCs w:val="20"/>
        </w:rPr>
        <w:t>follows :</w:t>
      </w:r>
      <w:proofErr w:type="gramEnd"/>
    </w:p>
    <w:p w:rsidR="005F5ACC" w:rsidRPr="002075FC" w:rsidRDefault="005F5ACC" w:rsidP="002075FC">
      <w:pPr>
        <w:pStyle w:val="ListParagraph"/>
        <w:numPr>
          <w:ilvl w:val="0"/>
          <w:numId w:val="1"/>
        </w:numPr>
        <w:spacing w:line="360" w:lineRule="auto"/>
        <w:jc w:val="both"/>
        <w:rPr>
          <w:sz w:val="20"/>
          <w:szCs w:val="20"/>
        </w:rPr>
      </w:pPr>
      <w:r w:rsidRPr="002075FC">
        <w:rPr>
          <w:sz w:val="20"/>
          <w:szCs w:val="20"/>
        </w:rPr>
        <w:t>Before administration of test drug (preoperative value).</w:t>
      </w:r>
    </w:p>
    <w:p w:rsidR="005F5ACC" w:rsidRPr="002075FC" w:rsidRDefault="005F5ACC" w:rsidP="002075FC">
      <w:pPr>
        <w:pStyle w:val="ListParagraph"/>
        <w:numPr>
          <w:ilvl w:val="0"/>
          <w:numId w:val="1"/>
        </w:numPr>
        <w:spacing w:line="360" w:lineRule="auto"/>
        <w:jc w:val="both"/>
        <w:rPr>
          <w:sz w:val="20"/>
          <w:szCs w:val="20"/>
        </w:rPr>
      </w:pPr>
      <w:r w:rsidRPr="002075FC">
        <w:rPr>
          <w:sz w:val="20"/>
          <w:szCs w:val="20"/>
        </w:rPr>
        <w:t>Before induction of anaesthesia and after administration of test drug (</w:t>
      </w:r>
      <w:proofErr w:type="spellStart"/>
      <w:r w:rsidRPr="002075FC">
        <w:rPr>
          <w:sz w:val="20"/>
          <w:szCs w:val="20"/>
        </w:rPr>
        <w:t>preinduction</w:t>
      </w:r>
      <w:proofErr w:type="spellEnd"/>
      <w:r w:rsidRPr="002075FC">
        <w:rPr>
          <w:sz w:val="20"/>
          <w:szCs w:val="20"/>
        </w:rPr>
        <w:t xml:space="preserve"> value).</w:t>
      </w:r>
    </w:p>
    <w:p w:rsidR="005F5ACC" w:rsidRPr="002075FC" w:rsidRDefault="005F5ACC" w:rsidP="002075FC">
      <w:pPr>
        <w:pStyle w:val="ListParagraph"/>
        <w:numPr>
          <w:ilvl w:val="0"/>
          <w:numId w:val="1"/>
        </w:numPr>
        <w:spacing w:line="360" w:lineRule="auto"/>
        <w:jc w:val="both"/>
        <w:rPr>
          <w:sz w:val="20"/>
          <w:szCs w:val="20"/>
        </w:rPr>
      </w:pPr>
      <w:r w:rsidRPr="002075FC">
        <w:rPr>
          <w:sz w:val="20"/>
          <w:szCs w:val="20"/>
        </w:rPr>
        <w:t>Immediately after laryngoscopy ( 0 minute)</w:t>
      </w:r>
    </w:p>
    <w:p w:rsidR="005F5ACC" w:rsidRPr="002075FC" w:rsidRDefault="005F5ACC" w:rsidP="002075FC">
      <w:pPr>
        <w:pStyle w:val="ListParagraph"/>
        <w:numPr>
          <w:ilvl w:val="0"/>
          <w:numId w:val="1"/>
        </w:numPr>
        <w:spacing w:line="360" w:lineRule="auto"/>
        <w:jc w:val="both"/>
        <w:rPr>
          <w:sz w:val="20"/>
          <w:szCs w:val="20"/>
        </w:rPr>
      </w:pPr>
      <w:r w:rsidRPr="002075FC">
        <w:rPr>
          <w:sz w:val="20"/>
          <w:szCs w:val="20"/>
        </w:rPr>
        <w:t>At interval of 1, 2, 3, 4 and 5 minutes following intubation.</w:t>
      </w:r>
    </w:p>
    <w:p w:rsidR="005F5ACC" w:rsidRPr="002075FC" w:rsidRDefault="005F5ACC" w:rsidP="002075FC">
      <w:pPr>
        <w:spacing w:line="360" w:lineRule="auto"/>
        <w:jc w:val="both"/>
        <w:rPr>
          <w:sz w:val="20"/>
          <w:szCs w:val="20"/>
        </w:rPr>
      </w:pPr>
      <w:r w:rsidRPr="002075FC">
        <w:rPr>
          <w:sz w:val="20"/>
          <w:szCs w:val="20"/>
        </w:rPr>
        <w:t xml:space="preserve">Patients were observed for complications like hypotension, hypertension, arrhythmias, hypoxemia and bronchospasm, and treated as required according to standard guidelines. Tachycardia was defined as heart rate </w:t>
      </w:r>
      <w:proofErr w:type="gramStart"/>
      <w:r w:rsidRPr="002075FC">
        <w:rPr>
          <w:sz w:val="20"/>
          <w:szCs w:val="20"/>
        </w:rPr>
        <w:t>greater than 100 beats/min</w:t>
      </w:r>
      <w:proofErr w:type="gramEnd"/>
      <w:r w:rsidRPr="002075FC">
        <w:rPr>
          <w:sz w:val="20"/>
          <w:szCs w:val="20"/>
        </w:rPr>
        <w:t xml:space="preserve"> and hypertension when systolic blood pressure was more than 180 mmHg. Hypotension was defined as fall in mean arterial pressure by more than 20% from baseline. </w:t>
      </w:r>
      <w:proofErr w:type="spellStart"/>
      <w:r w:rsidRPr="002075FC">
        <w:rPr>
          <w:sz w:val="20"/>
          <w:szCs w:val="20"/>
        </w:rPr>
        <w:t>Bradycardia</w:t>
      </w:r>
      <w:proofErr w:type="spellEnd"/>
      <w:r w:rsidRPr="002075FC">
        <w:rPr>
          <w:sz w:val="20"/>
          <w:szCs w:val="20"/>
        </w:rPr>
        <w:t xml:space="preserve"> was defined as reduction in heart rate </w:t>
      </w:r>
      <w:proofErr w:type="gramStart"/>
      <w:r w:rsidRPr="002075FC">
        <w:rPr>
          <w:sz w:val="20"/>
          <w:szCs w:val="20"/>
        </w:rPr>
        <w:t>below 60 beats/min</w:t>
      </w:r>
      <w:proofErr w:type="gramEnd"/>
      <w:r w:rsidRPr="002075FC">
        <w:rPr>
          <w:sz w:val="20"/>
          <w:szCs w:val="20"/>
        </w:rPr>
        <w:t>.</w:t>
      </w:r>
    </w:p>
    <w:p w:rsidR="00E83767" w:rsidRPr="002075FC" w:rsidRDefault="00E83767" w:rsidP="002075FC">
      <w:pPr>
        <w:spacing w:line="360" w:lineRule="auto"/>
        <w:jc w:val="both"/>
        <w:rPr>
          <w:b/>
          <w:sz w:val="20"/>
          <w:szCs w:val="20"/>
        </w:rPr>
      </w:pPr>
      <w:r w:rsidRPr="002075FC">
        <w:rPr>
          <w:b/>
          <w:sz w:val="20"/>
          <w:szCs w:val="20"/>
        </w:rPr>
        <w:t xml:space="preserve">Statistical Analysis </w:t>
      </w:r>
    </w:p>
    <w:p w:rsidR="00B847D9" w:rsidRPr="002075FC" w:rsidRDefault="00B847D9" w:rsidP="002075FC">
      <w:pPr>
        <w:spacing w:line="360" w:lineRule="auto"/>
        <w:jc w:val="both"/>
        <w:rPr>
          <w:sz w:val="20"/>
          <w:szCs w:val="20"/>
        </w:rPr>
      </w:pPr>
      <w:r w:rsidRPr="002075FC">
        <w:rPr>
          <w:sz w:val="20"/>
          <w:szCs w:val="20"/>
        </w:rPr>
        <w:t>The sample size was decided in consultation with the statistician and was based</w:t>
      </w:r>
      <w:r w:rsidR="00214DE4" w:rsidRPr="002075FC">
        <w:rPr>
          <w:sz w:val="20"/>
          <w:szCs w:val="20"/>
        </w:rPr>
        <w:t xml:space="preserve"> on initial pilot observations, indicating 25-27 patients should be included in both groups in order to en</w:t>
      </w:r>
      <w:r w:rsidR="009A2FA5" w:rsidRPr="002075FC">
        <w:rPr>
          <w:sz w:val="20"/>
          <w:szCs w:val="20"/>
        </w:rPr>
        <w:t xml:space="preserve">sure a power of 0.80 for detecting clinically </w:t>
      </w:r>
      <w:proofErr w:type="gramStart"/>
      <w:r w:rsidR="009A2FA5" w:rsidRPr="002075FC">
        <w:rPr>
          <w:sz w:val="20"/>
          <w:szCs w:val="20"/>
        </w:rPr>
        <w:t>meaningful  attenuation</w:t>
      </w:r>
      <w:proofErr w:type="gramEnd"/>
      <w:r w:rsidR="009A2FA5" w:rsidRPr="002075FC">
        <w:rPr>
          <w:sz w:val="20"/>
          <w:szCs w:val="20"/>
        </w:rPr>
        <w:t xml:space="preserve"> of heart rate and </w:t>
      </w:r>
      <w:proofErr w:type="spellStart"/>
      <w:r w:rsidR="009A2FA5" w:rsidRPr="002075FC">
        <w:rPr>
          <w:sz w:val="20"/>
          <w:szCs w:val="20"/>
        </w:rPr>
        <w:t>pressor</w:t>
      </w:r>
      <w:proofErr w:type="spellEnd"/>
      <w:r w:rsidR="009A2FA5" w:rsidRPr="002075FC">
        <w:rPr>
          <w:sz w:val="20"/>
          <w:szCs w:val="20"/>
        </w:rPr>
        <w:t xml:space="preserve"> response by maximum rise of</w:t>
      </w:r>
      <w:r w:rsidR="00895F58" w:rsidRPr="002075FC">
        <w:rPr>
          <w:sz w:val="20"/>
          <w:szCs w:val="20"/>
        </w:rPr>
        <w:t xml:space="preserve"> 10-20%. Assuming a 10% drop out rate, the final sample size was set at 60 patients, which would permit </w:t>
      </w:r>
      <w:proofErr w:type="spellStart"/>
      <w:r w:rsidR="00895F58" w:rsidRPr="002075FC">
        <w:rPr>
          <w:sz w:val="20"/>
          <w:szCs w:val="20"/>
        </w:rPr>
        <w:t>atype</w:t>
      </w:r>
      <w:proofErr w:type="spellEnd"/>
      <w:r w:rsidR="00895F58" w:rsidRPr="002075FC">
        <w:rPr>
          <w:sz w:val="20"/>
          <w:szCs w:val="20"/>
        </w:rPr>
        <w:t xml:space="preserve"> I error of </w:t>
      </w:r>
      <w:proofErr w:type="spellStart"/>
      <w:r w:rsidR="00895F58" w:rsidRPr="002075FC">
        <w:rPr>
          <w:sz w:val="20"/>
          <w:szCs w:val="20"/>
        </w:rPr>
        <w:t>alfa</w:t>
      </w:r>
      <w:proofErr w:type="spellEnd"/>
      <w:r w:rsidR="00895F58" w:rsidRPr="002075FC">
        <w:rPr>
          <w:sz w:val="20"/>
          <w:szCs w:val="20"/>
        </w:rPr>
        <w:t xml:space="preserve"> =0.05, with type II error of beta = 0.5 and power of study 0.8. </w:t>
      </w:r>
    </w:p>
    <w:p w:rsidR="001D3D33" w:rsidRPr="002075FC" w:rsidRDefault="00E83767" w:rsidP="002075FC">
      <w:pPr>
        <w:spacing w:line="360" w:lineRule="auto"/>
        <w:jc w:val="both"/>
        <w:rPr>
          <w:sz w:val="20"/>
          <w:szCs w:val="20"/>
        </w:rPr>
      </w:pPr>
      <w:r w:rsidRPr="002075FC">
        <w:rPr>
          <w:sz w:val="20"/>
          <w:szCs w:val="20"/>
        </w:rPr>
        <w:t xml:space="preserve">        </w:t>
      </w:r>
      <w:r w:rsidR="009A2FA5" w:rsidRPr="002075FC">
        <w:rPr>
          <w:sz w:val="20"/>
          <w:szCs w:val="20"/>
        </w:rPr>
        <w:t>Statistical analysis was conducted with Statistical Package for the Social Sciences (SPSS) statistical software version 15.0 and Microsoft excel by using Chi-Square test, paired and unpaired student’s t-test. The results were expressed as Mean ± SD. P &lt; 0.05 was regarded as statistically significant, P &lt; 0.001 was taken as highly significant, and P</w:t>
      </w:r>
      <w:r w:rsidR="003B0912" w:rsidRPr="002075FC">
        <w:rPr>
          <w:sz w:val="20"/>
          <w:szCs w:val="20"/>
        </w:rPr>
        <w:t xml:space="preserve"> </w:t>
      </w:r>
      <w:r w:rsidR="009A2FA5" w:rsidRPr="002075FC">
        <w:rPr>
          <w:sz w:val="20"/>
          <w:szCs w:val="20"/>
        </w:rPr>
        <w:t>&gt; 0.05 was regarded as non significant.</w:t>
      </w:r>
      <w:r w:rsidR="003B0912" w:rsidRPr="002075FC">
        <w:rPr>
          <w:sz w:val="20"/>
          <w:szCs w:val="20"/>
        </w:rPr>
        <w:t xml:space="preserve"> The failure rate of drug was defined as &gt; 30% increase in hemodynamic parameters from the baseline values.</w:t>
      </w:r>
    </w:p>
    <w:p w:rsidR="007A4F6F" w:rsidRPr="002075FC" w:rsidRDefault="003B0912" w:rsidP="002075FC">
      <w:pPr>
        <w:spacing w:line="360" w:lineRule="auto"/>
        <w:jc w:val="both"/>
        <w:rPr>
          <w:b/>
          <w:sz w:val="20"/>
          <w:szCs w:val="20"/>
        </w:rPr>
      </w:pPr>
      <w:r w:rsidRPr="002075FC">
        <w:rPr>
          <w:b/>
          <w:sz w:val="20"/>
          <w:szCs w:val="20"/>
        </w:rPr>
        <w:t>Results:</w:t>
      </w:r>
      <w:r w:rsidR="007A4F6F" w:rsidRPr="002075FC">
        <w:rPr>
          <w:b/>
          <w:sz w:val="20"/>
          <w:szCs w:val="20"/>
        </w:rPr>
        <w:t xml:space="preserve"> </w:t>
      </w:r>
    </w:p>
    <w:p w:rsidR="007A4F6F" w:rsidRPr="002075FC" w:rsidRDefault="007A4F6F" w:rsidP="002075FC">
      <w:pPr>
        <w:spacing w:line="360" w:lineRule="auto"/>
        <w:jc w:val="both"/>
        <w:rPr>
          <w:sz w:val="20"/>
          <w:szCs w:val="20"/>
        </w:rPr>
      </w:pPr>
      <w:r w:rsidRPr="002075FC">
        <w:rPr>
          <w:sz w:val="20"/>
          <w:szCs w:val="20"/>
        </w:rPr>
        <w:t>The two study groups were comparable with regard to age, sex and weight</w:t>
      </w:r>
      <w:r w:rsidR="00A5653E" w:rsidRPr="002075FC">
        <w:rPr>
          <w:sz w:val="20"/>
          <w:szCs w:val="20"/>
        </w:rPr>
        <w:t xml:space="preserve"> table-1</w:t>
      </w:r>
      <w:r w:rsidRPr="002075FC">
        <w:rPr>
          <w:sz w:val="20"/>
          <w:szCs w:val="20"/>
        </w:rPr>
        <w:t>. Following laryngoscopy and intubation</w:t>
      </w:r>
      <w:r w:rsidR="00870D47" w:rsidRPr="002075FC">
        <w:rPr>
          <w:sz w:val="20"/>
          <w:szCs w:val="20"/>
        </w:rPr>
        <w:t xml:space="preserve"> there were increase in heart rate in both </w:t>
      </w:r>
      <w:proofErr w:type="spellStart"/>
      <w:r w:rsidR="00870D47" w:rsidRPr="002075FC">
        <w:rPr>
          <w:sz w:val="20"/>
          <w:szCs w:val="20"/>
        </w:rPr>
        <w:t>groups.The</w:t>
      </w:r>
      <w:proofErr w:type="spellEnd"/>
      <w:r w:rsidR="00870D47" w:rsidRPr="002075FC">
        <w:rPr>
          <w:sz w:val="20"/>
          <w:szCs w:val="20"/>
        </w:rPr>
        <w:t xml:space="preserve"> maximum </w:t>
      </w:r>
      <w:proofErr w:type="gramStart"/>
      <w:r w:rsidR="00870D47" w:rsidRPr="002075FC">
        <w:rPr>
          <w:sz w:val="20"/>
          <w:szCs w:val="20"/>
        </w:rPr>
        <w:t>increase</w:t>
      </w:r>
      <w:proofErr w:type="gramEnd"/>
      <w:r w:rsidR="00870D47" w:rsidRPr="002075FC">
        <w:rPr>
          <w:sz w:val="20"/>
          <w:szCs w:val="20"/>
        </w:rPr>
        <w:t xml:space="preserve"> from baseline was seen at one minute interval. The increase in heart rate in </w:t>
      </w:r>
      <w:proofErr w:type="spellStart"/>
      <w:r w:rsidR="00870D47" w:rsidRPr="002075FC">
        <w:rPr>
          <w:sz w:val="20"/>
          <w:szCs w:val="20"/>
        </w:rPr>
        <w:t>Dexmedetomidine</w:t>
      </w:r>
      <w:proofErr w:type="spellEnd"/>
      <w:r w:rsidR="00870D47" w:rsidRPr="002075FC">
        <w:rPr>
          <w:sz w:val="20"/>
          <w:szCs w:val="20"/>
        </w:rPr>
        <w:t xml:space="preserve"> group (10.22%) was significantly less than </w:t>
      </w:r>
      <w:proofErr w:type="spellStart"/>
      <w:r w:rsidR="00870D47" w:rsidRPr="002075FC">
        <w:rPr>
          <w:sz w:val="20"/>
          <w:szCs w:val="20"/>
        </w:rPr>
        <w:t>Pregabalin</w:t>
      </w:r>
      <w:proofErr w:type="spellEnd"/>
      <w:r w:rsidR="00870D47" w:rsidRPr="002075FC">
        <w:rPr>
          <w:sz w:val="20"/>
          <w:szCs w:val="20"/>
        </w:rPr>
        <w:t xml:space="preserve"> </w:t>
      </w:r>
      <w:proofErr w:type="gramStart"/>
      <w:r w:rsidR="00870D47" w:rsidRPr="002075FC">
        <w:rPr>
          <w:sz w:val="20"/>
          <w:szCs w:val="20"/>
        </w:rPr>
        <w:t>group(</w:t>
      </w:r>
      <w:proofErr w:type="gramEnd"/>
      <w:r w:rsidR="00870D47" w:rsidRPr="002075FC">
        <w:rPr>
          <w:sz w:val="20"/>
          <w:szCs w:val="20"/>
        </w:rPr>
        <w:t>32.30%). [Table</w:t>
      </w:r>
      <w:r w:rsidR="00A5653E" w:rsidRPr="002075FC">
        <w:rPr>
          <w:sz w:val="20"/>
          <w:szCs w:val="20"/>
        </w:rPr>
        <w:t>2</w:t>
      </w:r>
      <w:r w:rsidR="00870D47" w:rsidRPr="002075FC">
        <w:rPr>
          <w:sz w:val="20"/>
          <w:szCs w:val="20"/>
        </w:rPr>
        <w:t>]</w:t>
      </w:r>
    </w:p>
    <w:p w:rsidR="00DB7251" w:rsidRPr="002075FC" w:rsidRDefault="00870D47" w:rsidP="002075FC">
      <w:pPr>
        <w:spacing w:line="360" w:lineRule="auto"/>
        <w:jc w:val="both"/>
        <w:rPr>
          <w:sz w:val="20"/>
          <w:szCs w:val="20"/>
        </w:rPr>
      </w:pPr>
      <w:r w:rsidRPr="002075FC">
        <w:rPr>
          <w:sz w:val="20"/>
          <w:szCs w:val="20"/>
        </w:rPr>
        <w:t xml:space="preserve">Changes in the systolic blood pressure after intubation and laryngoscopy were significantly lower in </w:t>
      </w:r>
      <w:proofErr w:type="spellStart"/>
      <w:r w:rsidRPr="002075FC">
        <w:rPr>
          <w:sz w:val="20"/>
          <w:szCs w:val="20"/>
        </w:rPr>
        <w:t>dexmedetomidine</w:t>
      </w:r>
      <w:proofErr w:type="spellEnd"/>
      <w:r w:rsidRPr="002075FC">
        <w:rPr>
          <w:sz w:val="20"/>
          <w:szCs w:val="20"/>
        </w:rPr>
        <w:t xml:space="preserve"> group (11.61%) as compar</w:t>
      </w:r>
      <w:r w:rsidR="00DE4961" w:rsidRPr="002075FC">
        <w:rPr>
          <w:sz w:val="20"/>
          <w:szCs w:val="20"/>
        </w:rPr>
        <w:t xml:space="preserve">ed to </w:t>
      </w:r>
      <w:proofErr w:type="spellStart"/>
      <w:r w:rsidR="00DE4961" w:rsidRPr="002075FC">
        <w:rPr>
          <w:sz w:val="20"/>
          <w:szCs w:val="20"/>
        </w:rPr>
        <w:t>pregabalin</w:t>
      </w:r>
      <w:proofErr w:type="spellEnd"/>
      <w:r w:rsidR="00DE4961" w:rsidRPr="002075FC">
        <w:rPr>
          <w:sz w:val="20"/>
          <w:szCs w:val="20"/>
        </w:rPr>
        <w:t xml:space="preserve"> group (26.36%)</w:t>
      </w:r>
    </w:p>
    <w:p w:rsidR="00870D47" w:rsidRPr="002075FC" w:rsidRDefault="00870D47" w:rsidP="002075FC">
      <w:pPr>
        <w:spacing w:line="360" w:lineRule="auto"/>
        <w:jc w:val="both"/>
        <w:rPr>
          <w:sz w:val="20"/>
          <w:szCs w:val="20"/>
        </w:rPr>
      </w:pPr>
      <w:r w:rsidRPr="002075FC">
        <w:rPr>
          <w:sz w:val="20"/>
          <w:szCs w:val="20"/>
        </w:rPr>
        <w:t xml:space="preserve"> Attenuation of systolic blood pressure was more with </w:t>
      </w:r>
      <w:proofErr w:type="spellStart"/>
      <w:r w:rsidRPr="002075FC">
        <w:rPr>
          <w:sz w:val="20"/>
          <w:szCs w:val="20"/>
        </w:rPr>
        <w:t>dexmedetomidine</w:t>
      </w:r>
      <w:proofErr w:type="spellEnd"/>
      <w:r w:rsidRPr="002075FC">
        <w:rPr>
          <w:sz w:val="20"/>
          <w:szCs w:val="20"/>
        </w:rPr>
        <w:t xml:space="preserve"> at all recorded time intervals. Although there were significant difference in attenuation of systolic blood pressure found at 1  minute, their effects are comparable at  0, 2,  and 3 minutes. At 4 minute Group D showed statistically significant lowering of SBP </w:t>
      </w:r>
      <w:r w:rsidRPr="002075FC">
        <w:rPr>
          <w:sz w:val="20"/>
          <w:szCs w:val="20"/>
        </w:rPr>
        <w:lastRenderedPageBreak/>
        <w:t>below the preoperative values as comparable to Group P and this lowering was comparable at 5 m</w:t>
      </w:r>
      <w:r w:rsidR="00A5653E" w:rsidRPr="002075FC">
        <w:rPr>
          <w:sz w:val="20"/>
          <w:szCs w:val="20"/>
        </w:rPr>
        <w:t xml:space="preserve">inute. </w:t>
      </w:r>
      <w:proofErr w:type="gramStart"/>
      <w:r w:rsidR="00A5653E" w:rsidRPr="002075FC">
        <w:rPr>
          <w:sz w:val="20"/>
          <w:szCs w:val="20"/>
        </w:rPr>
        <w:t>[ Table</w:t>
      </w:r>
      <w:proofErr w:type="gramEnd"/>
      <w:r w:rsidR="00A5653E" w:rsidRPr="002075FC">
        <w:rPr>
          <w:sz w:val="20"/>
          <w:szCs w:val="20"/>
        </w:rPr>
        <w:t xml:space="preserve"> 3</w:t>
      </w:r>
      <w:r w:rsidRPr="002075FC">
        <w:rPr>
          <w:sz w:val="20"/>
          <w:szCs w:val="20"/>
        </w:rPr>
        <w:t>]</w:t>
      </w:r>
    </w:p>
    <w:p w:rsidR="007A4F6F" w:rsidRPr="002075FC" w:rsidRDefault="00DE4961" w:rsidP="002075FC">
      <w:pPr>
        <w:spacing w:line="360" w:lineRule="auto"/>
        <w:jc w:val="both"/>
        <w:rPr>
          <w:b/>
          <w:sz w:val="20"/>
          <w:szCs w:val="20"/>
        </w:rPr>
      </w:pPr>
      <w:r w:rsidRPr="002075FC">
        <w:rPr>
          <w:sz w:val="20"/>
          <w:szCs w:val="20"/>
        </w:rPr>
        <w:t>T</w:t>
      </w:r>
      <w:r w:rsidR="00D905DE" w:rsidRPr="002075FC">
        <w:rPr>
          <w:sz w:val="20"/>
          <w:szCs w:val="20"/>
        </w:rPr>
        <w:t>he</w:t>
      </w:r>
      <w:r w:rsidR="00870D47" w:rsidRPr="002075FC">
        <w:rPr>
          <w:sz w:val="20"/>
          <w:szCs w:val="20"/>
        </w:rPr>
        <w:t xml:space="preserve"> rise in diastolic blood pressure was not significantly prevented in both groups. The maximum rise from baseline seen at 1 minute by 24.47% and 31.91% in Group D and P respectively, the difference was statistically significant.  Although Group D shows significantly lower values than Group P at all time intervals, these values are comparable at  0, 2, 3, 4 and 5 minutes</w:t>
      </w:r>
      <w:r w:rsidR="00A5653E" w:rsidRPr="002075FC">
        <w:rPr>
          <w:sz w:val="20"/>
          <w:szCs w:val="20"/>
        </w:rPr>
        <w:t xml:space="preserve">. </w:t>
      </w:r>
      <w:proofErr w:type="gramStart"/>
      <w:r w:rsidR="00A5653E" w:rsidRPr="002075FC">
        <w:rPr>
          <w:sz w:val="20"/>
          <w:szCs w:val="20"/>
        </w:rPr>
        <w:t>[ Table</w:t>
      </w:r>
      <w:proofErr w:type="gramEnd"/>
      <w:r w:rsidR="00A5653E" w:rsidRPr="002075FC">
        <w:rPr>
          <w:sz w:val="20"/>
          <w:szCs w:val="20"/>
        </w:rPr>
        <w:t xml:space="preserve"> 4</w:t>
      </w:r>
      <w:r w:rsidR="006F657A" w:rsidRPr="002075FC">
        <w:rPr>
          <w:sz w:val="20"/>
          <w:szCs w:val="20"/>
        </w:rPr>
        <w:t>]</w:t>
      </w:r>
    </w:p>
    <w:p w:rsidR="007A4F6F" w:rsidRPr="002075FC" w:rsidRDefault="006F657A" w:rsidP="002075FC">
      <w:pPr>
        <w:spacing w:line="360" w:lineRule="auto"/>
        <w:jc w:val="both"/>
        <w:rPr>
          <w:sz w:val="20"/>
          <w:szCs w:val="20"/>
        </w:rPr>
      </w:pPr>
      <w:r w:rsidRPr="002075FC">
        <w:rPr>
          <w:sz w:val="20"/>
          <w:szCs w:val="20"/>
        </w:rPr>
        <w:t xml:space="preserve">The maximum rise in MAP found at 1 minute after intubation were 18.71% and 31.09% in Group D and Group P respectively, </w:t>
      </w:r>
      <w:r w:rsidR="00D905DE" w:rsidRPr="002075FC">
        <w:rPr>
          <w:sz w:val="20"/>
          <w:szCs w:val="20"/>
        </w:rPr>
        <w:t xml:space="preserve">which was </w:t>
      </w:r>
      <w:r w:rsidRPr="002075FC">
        <w:rPr>
          <w:sz w:val="20"/>
          <w:szCs w:val="20"/>
        </w:rPr>
        <w:t>statistically significant</w:t>
      </w:r>
      <w:r w:rsidR="00D905DE" w:rsidRPr="002075FC">
        <w:rPr>
          <w:sz w:val="20"/>
          <w:szCs w:val="20"/>
        </w:rPr>
        <w:t xml:space="preserve">ly less in </w:t>
      </w:r>
      <w:proofErr w:type="spellStart"/>
      <w:r w:rsidR="00D905DE" w:rsidRPr="002075FC">
        <w:rPr>
          <w:sz w:val="20"/>
          <w:szCs w:val="20"/>
        </w:rPr>
        <w:t>dexmedetomidine</w:t>
      </w:r>
      <w:proofErr w:type="spellEnd"/>
      <w:r w:rsidR="00D905DE" w:rsidRPr="002075FC">
        <w:rPr>
          <w:sz w:val="20"/>
          <w:szCs w:val="20"/>
        </w:rPr>
        <w:t xml:space="preserve"> group</w:t>
      </w:r>
      <w:r w:rsidRPr="002075FC">
        <w:rPr>
          <w:sz w:val="20"/>
          <w:szCs w:val="20"/>
        </w:rPr>
        <w:t xml:space="preserve">. Both Groups were comparable at 0, </w:t>
      </w:r>
      <w:r w:rsidR="00A5653E" w:rsidRPr="002075FC">
        <w:rPr>
          <w:sz w:val="20"/>
          <w:szCs w:val="20"/>
        </w:rPr>
        <w:t xml:space="preserve">2, 3, 4 and 5 minutes. </w:t>
      </w:r>
      <w:proofErr w:type="gramStart"/>
      <w:r w:rsidR="00A5653E" w:rsidRPr="002075FC">
        <w:rPr>
          <w:sz w:val="20"/>
          <w:szCs w:val="20"/>
        </w:rPr>
        <w:t>[ Table</w:t>
      </w:r>
      <w:proofErr w:type="gramEnd"/>
      <w:r w:rsidR="00A5653E" w:rsidRPr="002075FC">
        <w:rPr>
          <w:sz w:val="20"/>
          <w:szCs w:val="20"/>
        </w:rPr>
        <w:t xml:space="preserve"> 5</w:t>
      </w:r>
      <w:r w:rsidRPr="002075FC">
        <w:rPr>
          <w:sz w:val="20"/>
          <w:szCs w:val="20"/>
        </w:rPr>
        <w:t>]</w:t>
      </w:r>
    </w:p>
    <w:p w:rsidR="00E87DB7" w:rsidRPr="002075FC" w:rsidRDefault="00670504" w:rsidP="002075FC">
      <w:pPr>
        <w:spacing w:line="360" w:lineRule="auto"/>
        <w:jc w:val="both"/>
        <w:rPr>
          <w:sz w:val="20"/>
          <w:szCs w:val="20"/>
        </w:rPr>
      </w:pPr>
      <w:r w:rsidRPr="002075FC">
        <w:rPr>
          <w:sz w:val="20"/>
          <w:szCs w:val="20"/>
        </w:rPr>
        <w:t xml:space="preserve">Clinically significant respiratory </w:t>
      </w:r>
      <w:proofErr w:type="gramStart"/>
      <w:r w:rsidRPr="002075FC">
        <w:rPr>
          <w:sz w:val="20"/>
          <w:szCs w:val="20"/>
        </w:rPr>
        <w:t>depression  was</w:t>
      </w:r>
      <w:proofErr w:type="gramEnd"/>
      <w:r w:rsidRPr="002075FC">
        <w:rPr>
          <w:sz w:val="20"/>
          <w:szCs w:val="20"/>
        </w:rPr>
        <w:t xml:space="preserve"> not seen in any study group. A decreased </w:t>
      </w:r>
    </w:p>
    <w:p w:rsidR="00E87DB7" w:rsidRPr="002075FC" w:rsidRDefault="00670504" w:rsidP="002075FC">
      <w:pPr>
        <w:spacing w:line="360" w:lineRule="auto"/>
        <w:jc w:val="both"/>
        <w:rPr>
          <w:sz w:val="20"/>
          <w:szCs w:val="20"/>
        </w:rPr>
      </w:pPr>
      <w:proofErr w:type="gramStart"/>
      <w:r w:rsidRPr="002075FC">
        <w:rPr>
          <w:sz w:val="20"/>
          <w:szCs w:val="20"/>
        </w:rPr>
        <w:t>amount</w:t>
      </w:r>
      <w:proofErr w:type="gramEnd"/>
      <w:r w:rsidRPr="002075FC">
        <w:rPr>
          <w:sz w:val="20"/>
          <w:szCs w:val="20"/>
        </w:rPr>
        <w:t xml:space="preserve"> of  </w:t>
      </w:r>
      <w:proofErr w:type="spellStart"/>
      <w:r w:rsidRPr="002075FC">
        <w:rPr>
          <w:sz w:val="20"/>
          <w:szCs w:val="20"/>
        </w:rPr>
        <w:t>Thiopentone</w:t>
      </w:r>
      <w:proofErr w:type="spellEnd"/>
      <w:r w:rsidRPr="002075FC">
        <w:rPr>
          <w:sz w:val="20"/>
          <w:szCs w:val="20"/>
        </w:rPr>
        <w:t xml:space="preserve"> requirement for induction of anaesthesia in </w:t>
      </w:r>
      <w:proofErr w:type="spellStart"/>
      <w:r w:rsidRPr="002075FC">
        <w:rPr>
          <w:sz w:val="20"/>
          <w:szCs w:val="20"/>
        </w:rPr>
        <w:t>Dexmedetomidine</w:t>
      </w:r>
      <w:proofErr w:type="spellEnd"/>
      <w:r w:rsidRPr="002075FC">
        <w:rPr>
          <w:sz w:val="20"/>
          <w:szCs w:val="20"/>
        </w:rPr>
        <w:t xml:space="preserve"> group</w:t>
      </w:r>
    </w:p>
    <w:p w:rsidR="00E87DB7" w:rsidRPr="002075FC" w:rsidRDefault="00670504" w:rsidP="002075FC">
      <w:pPr>
        <w:spacing w:line="360" w:lineRule="auto"/>
        <w:jc w:val="both"/>
        <w:rPr>
          <w:sz w:val="20"/>
          <w:szCs w:val="20"/>
        </w:rPr>
      </w:pPr>
      <w:r w:rsidRPr="002075FC">
        <w:rPr>
          <w:sz w:val="20"/>
          <w:szCs w:val="20"/>
        </w:rPr>
        <w:t xml:space="preserve"> </w:t>
      </w:r>
      <w:proofErr w:type="gramStart"/>
      <w:r w:rsidRPr="002075FC">
        <w:rPr>
          <w:sz w:val="20"/>
          <w:szCs w:val="20"/>
        </w:rPr>
        <w:t>as</w:t>
      </w:r>
      <w:proofErr w:type="gramEnd"/>
      <w:r w:rsidRPr="002075FC">
        <w:rPr>
          <w:sz w:val="20"/>
          <w:szCs w:val="20"/>
        </w:rPr>
        <w:t xml:space="preserve"> compared to </w:t>
      </w:r>
      <w:proofErr w:type="spellStart"/>
      <w:r w:rsidRPr="002075FC">
        <w:rPr>
          <w:sz w:val="20"/>
          <w:szCs w:val="20"/>
        </w:rPr>
        <w:t>Pregabalin</w:t>
      </w:r>
      <w:proofErr w:type="spellEnd"/>
      <w:r w:rsidRPr="002075FC">
        <w:rPr>
          <w:sz w:val="20"/>
          <w:szCs w:val="20"/>
        </w:rPr>
        <w:t xml:space="preserve"> group was observed. Although there was no differences among</w:t>
      </w:r>
    </w:p>
    <w:p w:rsidR="003D2010" w:rsidRPr="002075FC" w:rsidRDefault="00670504" w:rsidP="002075FC">
      <w:pPr>
        <w:spacing w:line="360" w:lineRule="auto"/>
        <w:jc w:val="both"/>
        <w:rPr>
          <w:sz w:val="20"/>
          <w:szCs w:val="20"/>
        </w:rPr>
      </w:pPr>
      <w:r w:rsidRPr="002075FC">
        <w:rPr>
          <w:sz w:val="20"/>
          <w:szCs w:val="20"/>
        </w:rPr>
        <w:t xml:space="preserve"> </w:t>
      </w:r>
      <w:proofErr w:type="gramStart"/>
      <w:r w:rsidRPr="002075FC">
        <w:rPr>
          <w:sz w:val="20"/>
          <w:szCs w:val="20"/>
        </w:rPr>
        <w:t>the</w:t>
      </w:r>
      <w:proofErr w:type="gramEnd"/>
      <w:r w:rsidRPr="002075FC">
        <w:rPr>
          <w:sz w:val="20"/>
          <w:szCs w:val="20"/>
        </w:rPr>
        <w:t xml:space="preserve"> both groups with respect to awakening and recovery</w:t>
      </w:r>
      <w:r w:rsidR="00FD0E70" w:rsidRPr="002075FC">
        <w:rPr>
          <w:sz w:val="20"/>
          <w:szCs w:val="20"/>
        </w:rPr>
        <w:t xml:space="preserve"> </w:t>
      </w:r>
      <w:proofErr w:type="spellStart"/>
      <w:r w:rsidR="00FD0E70" w:rsidRPr="002075FC">
        <w:rPr>
          <w:sz w:val="20"/>
          <w:szCs w:val="20"/>
        </w:rPr>
        <w:t>time,</w:t>
      </w:r>
      <w:r w:rsidR="00E87DB7" w:rsidRPr="002075FC">
        <w:rPr>
          <w:sz w:val="20"/>
          <w:szCs w:val="20"/>
        </w:rPr>
        <w:t>the</w:t>
      </w:r>
      <w:proofErr w:type="spellEnd"/>
      <w:r w:rsidR="00E87DB7" w:rsidRPr="002075FC">
        <w:rPr>
          <w:sz w:val="20"/>
          <w:szCs w:val="20"/>
        </w:rPr>
        <w:t xml:space="preserve"> two patients in </w:t>
      </w:r>
      <w:proofErr w:type="spellStart"/>
      <w:r w:rsidR="00E87DB7" w:rsidRPr="002075FC">
        <w:rPr>
          <w:sz w:val="20"/>
          <w:szCs w:val="20"/>
        </w:rPr>
        <w:t>Pregabalin</w:t>
      </w:r>
      <w:proofErr w:type="spellEnd"/>
    </w:p>
    <w:p w:rsidR="003D2010" w:rsidRPr="002075FC" w:rsidRDefault="00E87DB7" w:rsidP="002075FC">
      <w:pPr>
        <w:spacing w:line="360" w:lineRule="auto"/>
        <w:jc w:val="both"/>
        <w:rPr>
          <w:sz w:val="20"/>
          <w:szCs w:val="20"/>
        </w:rPr>
      </w:pPr>
      <w:r w:rsidRPr="002075FC">
        <w:rPr>
          <w:sz w:val="20"/>
          <w:szCs w:val="20"/>
        </w:rPr>
        <w:t xml:space="preserve"> </w:t>
      </w:r>
      <w:proofErr w:type="gramStart"/>
      <w:r w:rsidRPr="002075FC">
        <w:rPr>
          <w:sz w:val="20"/>
          <w:szCs w:val="20"/>
        </w:rPr>
        <w:t>group</w:t>
      </w:r>
      <w:proofErr w:type="gramEnd"/>
      <w:r w:rsidRPr="002075FC">
        <w:rPr>
          <w:sz w:val="20"/>
          <w:szCs w:val="20"/>
        </w:rPr>
        <w:t xml:space="preserve"> had excessive postoperative somnolence.</w:t>
      </w:r>
      <w:r w:rsidRPr="002075FC">
        <w:rPr>
          <w:b/>
          <w:sz w:val="20"/>
          <w:szCs w:val="20"/>
        </w:rPr>
        <w:t xml:space="preserve"> </w:t>
      </w:r>
    </w:p>
    <w:p w:rsidR="002075FC" w:rsidRPr="002075FC" w:rsidRDefault="002075FC" w:rsidP="002075FC">
      <w:pPr>
        <w:spacing w:line="360" w:lineRule="auto"/>
        <w:jc w:val="both"/>
        <w:rPr>
          <w:b/>
          <w:sz w:val="20"/>
          <w:szCs w:val="20"/>
        </w:rPr>
      </w:pPr>
    </w:p>
    <w:p w:rsidR="002075FC" w:rsidRPr="00006117" w:rsidRDefault="002075FC" w:rsidP="002075FC">
      <w:pPr>
        <w:spacing w:line="360" w:lineRule="auto"/>
        <w:jc w:val="both"/>
        <w:rPr>
          <w:sz w:val="20"/>
          <w:szCs w:val="20"/>
        </w:rPr>
      </w:pPr>
      <w:r w:rsidRPr="00006117">
        <w:rPr>
          <w:sz w:val="20"/>
          <w:szCs w:val="20"/>
        </w:rPr>
        <w:t xml:space="preserve">Table </w:t>
      </w:r>
      <w:proofErr w:type="gramStart"/>
      <w:r w:rsidRPr="00006117">
        <w:rPr>
          <w:sz w:val="20"/>
          <w:szCs w:val="20"/>
        </w:rPr>
        <w:t>1 :</w:t>
      </w:r>
      <w:proofErr w:type="gramEnd"/>
      <w:r w:rsidRPr="00006117">
        <w:rPr>
          <w:sz w:val="20"/>
          <w:szCs w:val="20"/>
        </w:rPr>
        <w:t xml:space="preserve"> Demographic profile of patient.</w:t>
      </w:r>
    </w:p>
    <w:tbl>
      <w:tblPr>
        <w:tblStyle w:val="TableGrid"/>
        <w:tblW w:w="0" w:type="auto"/>
        <w:tblLook w:val="04A0" w:firstRow="1" w:lastRow="0" w:firstColumn="1" w:lastColumn="0" w:noHBand="0" w:noVBand="1"/>
      </w:tblPr>
      <w:tblGrid>
        <w:gridCol w:w="2523"/>
        <w:gridCol w:w="2308"/>
        <w:gridCol w:w="2289"/>
        <w:gridCol w:w="2122"/>
      </w:tblGrid>
      <w:tr w:rsidR="002075FC" w:rsidRPr="00006117" w:rsidTr="006F5BBC">
        <w:tc>
          <w:tcPr>
            <w:tcW w:w="2596" w:type="dxa"/>
          </w:tcPr>
          <w:p w:rsidR="002075FC" w:rsidRPr="00006117" w:rsidRDefault="002075FC" w:rsidP="002075FC">
            <w:pPr>
              <w:spacing w:line="360" w:lineRule="auto"/>
              <w:jc w:val="both"/>
              <w:rPr>
                <w:sz w:val="20"/>
                <w:szCs w:val="20"/>
              </w:rPr>
            </w:pPr>
            <w:r w:rsidRPr="00006117">
              <w:rPr>
                <w:sz w:val="20"/>
                <w:szCs w:val="20"/>
              </w:rPr>
              <w:t>Demographic profile</w:t>
            </w:r>
          </w:p>
        </w:tc>
        <w:tc>
          <w:tcPr>
            <w:tcW w:w="2400" w:type="dxa"/>
          </w:tcPr>
          <w:p w:rsidR="002075FC" w:rsidRPr="00006117" w:rsidRDefault="002075FC" w:rsidP="002075FC">
            <w:pPr>
              <w:spacing w:line="360" w:lineRule="auto"/>
              <w:jc w:val="both"/>
              <w:rPr>
                <w:sz w:val="20"/>
                <w:szCs w:val="20"/>
              </w:rPr>
            </w:pPr>
            <w:r w:rsidRPr="00006117">
              <w:rPr>
                <w:sz w:val="20"/>
                <w:szCs w:val="20"/>
              </w:rPr>
              <w:t>Group D</w:t>
            </w:r>
          </w:p>
        </w:tc>
        <w:tc>
          <w:tcPr>
            <w:tcW w:w="2383" w:type="dxa"/>
          </w:tcPr>
          <w:p w:rsidR="002075FC" w:rsidRPr="00006117" w:rsidRDefault="002075FC" w:rsidP="002075FC">
            <w:pPr>
              <w:spacing w:line="360" w:lineRule="auto"/>
              <w:jc w:val="both"/>
              <w:rPr>
                <w:sz w:val="20"/>
                <w:szCs w:val="20"/>
              </w:rPr>
            </w:pPr>
            <w:r w:rsidRPr="00006117">
              <w:rPr>
                <w:sz w:val="20"/>
                <w:szCs w:val="20"/>
              </w:rPr>
              <w:t>Group P</w:t>
            </w:r>
          </w:p>
        </w:tc>
        <w:tc>
          <w:tcPr>
            <w:tcW w:w="2197" w:type="dxa"/>
          </w:tcPr>
          <w:p w:rsidR="002075FC" w:rsidRPr="00006117" w:rsidRDefault="002075FC" w:rsidP="002075FC">
            <w:pPr>
              <w:spacing w:line="360" w:lineRule="auto"/>
              <w:jc w:val="both"/>
              <w:rPr>
                <w:sz w:val="20"/>
                <w:szCs w:val="20"/>
              </w:rPr>
            </w:pPr>
            <w:r w:rsidRPr="00006117">
              <w:rPr>
                <w:sz w:val="20"/>
                <w:szCs w:val="20"/>
              </w:rPr>
              <w:t>P- Value</w:t>
            </w:r>
          </w:p>
        </w:tc>
      </w:tr>
      <w:tr w:rsidR="002075FC" w:rsidRPr="00006117" w:rsidTr="006F5BBC">
        <w:tc>
          <w:tcPr>
            <w:tcW w:w="2596" w:type="dxa"/>
          </w:tcPr>
          <w:p w:rsidR="002075FC" w:rsidRPr="00006117" w:rsidRDefault="002075FC" w:rsidP="002075FC">
            <w:pPr>
              <w:spacing w:line="360" w:lineRule="auto"/>
              <w:jc w:val="both"/>
              <w:rPr>
                <w:sz w:val="20"/>
                <w:szCs w:val="20"/>
              </w:rPr>
            </w:pPr>
            <w:r w:rsidRPr="00006117">
              <w:rPr>
                <w:sz w:val="20"/>
                <w:szCs w:val="20"/>
              </w:rPr>
              <w:t>Age</w:t>
            </w:r>
          </w:p>
        </w:tc>
        <w:tc>
          <w:tcPr>
            <w:tcW w:w="2400" w:type="dxa"/>
          </w:tcPr>
          <w:p w:rsidR="002075FC" w:rsidRPr="00006117" w:rsidRDefault="002075FC" w:rsidP="002075FC">
            <w:pPr>
              <w:spacing w:line="360" w:lineRule="auto"/>
              <w:jc w:val="both"/>
              <w:rPr>
                <w:sz w:val="20"/>
                <w:szCs w:val="20"/>
              </w:rPr>
            </w:pPr>
            <w:r w:rsidRPr="00006117">
              <w:rPr>
                <w:sz w:val="20"/>
                <w:szCs w:val="20"/>
              </w:rPr>
              <w:t>39.03 ± 13.74</w:t>
            </w:r>
          </w:p>
        </w:tc>
        <w:tc>
          <w:tcPr>
            <w:tcW w:w="2383" w:type="dxa"/>
          </w:tcPr>
          <w:p w:rsidR="002075FC" w:rsidRPr="00006117" w:rsidRDefault="002075FC" w:rsidP="002075FC">
            <w:pPr>
              <w:spacing w:line="360" w:lineRule="auto"/>
              <w:jc w:val="both"/>
              <w:rPr>
                <w:sz w:val="20"/>
                <w:szCs w:val="20"/>
              </w:rPr>
            </w:pPr>
            <w:r w:rsidRPr="00006117">
              <w:rPr>
                <w:sz w:val="20"/>
                <w:szCs w:val="20"/>
              </w:rPr>
              <w:t>44.57 ± 12.16</w:t>
            </w:r>
          </w:p>
        </w:tc>
        <w:tc>
          <w:tcPr>
            <w:tcW w:w="2197" w:type="dxa"/>
          </w:tcPr>
          <w:p w:rsidR="002075FC" w:rsidRPr="00006117" w:rsidRDefault="002075FC" w:rsidP="002075FC">
            <w:pPr>
              <w:spacing w:line="360" w:lineRule="auto"/>
              <w:jc w:val="both"/>
              <w:rPr>
                <w:sz w:val="20"/>
                <w:szCs w:val="20"/>
              </w:rPr>
            </w:pPr>
            <w:r w:rsidRPr="00006117">
              <w:rPr>
                <w:sz w:val="20"/>
                <w:szCs w:val="20"/>
              </w:rPr>
              <w:t>0.5202</w:t>
            </w:r>
          </w:p>
        </w:tc>
      </w:tr>
      <w:tr w:rsidR="002075FC" w:rsidRPr="00006117" w:rsidTr="006F5BBC">
        <w:tc>
          <w:tcPr>
            <w:tcW w:w="2596" w:type="dxa"/>
          </w:tcPr>
          <w:p w:rsidR="002075FC" w:rsidRPr="00006117" w:rsidRDefault="002075FC" w:rsidP="002075FC">
            <w:pPr>
              <w:spacing w:line="360" w:lineRule="auto"/>
              <w:jc w:val="both"/>
              <w:rPr>
                <w:sz w:val="20"/>
                <w:szCs w:val="20"/>
              </w:rPr>
            </w:pPr>
            <w:r w:rsidRPr="00006117">
              <w:rPr>
                <w:sz w:val="20"/>
                <w:szCs w:val="20"/>
              </w:rPr>
              <w:t>Sex  M/F</w:t>
            </w:r>
          </w:p>
        </w:tc>
        <w:tc>
          <w:tcPr>
            <w:tcW w:w="2400" w:type="dxa"/>
          </w:tcPr>
          <w:p w:rsidR="002075FC" w:rsidRPr="00006117" w:rsidRDefault="002075FC" w:rsidP="002075FC">
            <w:pPr>
              <w:spacing w:line="360" w:lineRule="auto"/>
              <w:jc w:val="both"/>
              <w:rPr>
                <w:sz w:val="20"/>
                <w:szCs w:val="20"/>
              </w:rPr>
            </w:pPr>
            <w:r w:rsidRPr="00006117">
              <w:rPr>
                <w:sz w:val="20"/>
                <w:szCs w:val="20"/>
              </w:rPr>
              <w:t>4/26</w:t>
            </w:r>
          </w:p>
        </w:tc>
        <w:tc>
          <w:tcPr>
            <w:tcW w:w="2383" w:type="dxa"/>
          </w:tcPr>
          <w:p w:rsidR="002075FC" w:rsidRPr="00006117" w:rsidRDefault="002075FC" w:rsidP="002075FC">
            <w:pPr>
              <w:spacing w:line="360" w:lineRule="auto"/>
              <w:jc w:val="both"/>
              <w:rPr>
                <w:sz w:val="20"/>
                <w:szCs w:val="20"/>
              </w:rPr>
            </w:pPr>
            <w:r w:rsidRPr="00006117">
              <w:rPr>
                <w:sz w:val="20"/>
                <w:szCs w:val="20"/>
              </w:rPr>
              <w:t>8/22</w:t>
            </w:r>
          </w:p>
        </w:tc>
        <w:tc>
          <w:tcPr>
            <w:tcW w:w="2197" w:type="dxa"/>
          </w:tcPr>
          <w:p w:rsidR="002075FC" w:rsidRPr="00006117" w:rsidRDefault="002075FC" w:rsidP="002075FC">
            <w:pPr>
              <w:spacing w:line="360" w:lineRule="auto"/>
              <w:jc w:val="both"/>
              <w:rPr>
                <w:sz w:val="20"/>
                <w:szCs w:val="20"/>
              </w:rPr>
            </w:pPr>
            <w:r w:rsidRPr="00006117">
              <w:rPr>
                <w:sz w:val="20"/>
                <w:szCs w:val="20"/>
              </w:rPr>
              <w:t>0.09835</w:t>
            </w:r>
          </w:p>
        </w:tc>
      </w:tr>
      <w:tr w:rsidR="002075FC" w:rsidRPr="00006117" w:rsidTr="006F5BBC">
        <w:tc>
          <w:tcPr>
            <w:tcW w:w="2596" w:type="dxa"/>
          </w:tcPr>
          <w:p w:rsidR="002075FC" w:rsidRPr="00006117" w:rsidRDefault="002075FC" w:rsidP="002075FC">
            <w:pPr>
              <w:spacing w:line="360" w:lineRule="auto"/>
              <w:jc w:val="both"/>
              <w:rPr>
                <w:sz w:val="20"/>
                <w:szCs w:val="20"/>
              </w:rPr>
            </w:pPr>
            <w:r w:rsidRPr="00006117">
              <w:rPr>
                <w:sz w:val="20"/>
                <w:szCs w:val="20"/>
              </w:rPr>
              <w:t>Weight</w:t>
            </w:r>
          </w:p>
        </w:tc>
        <w:tc>
          <w:tcPr>
            <w:tcW w:w="2400" w:type="dxa"/>
          </w:tcPr>
          <w:p w:rsidR="002075FC" w:rsidRPr="00006117" w:rsidRDefault="002075FC" w:rsidP="002075FC">
            <w:pPr>
              <w:spacing w:line="360" w:lineRule="auto"/>
              <w:jc w:val="both"/>
              <w:rPr>
                <w:sz w:val="20"/>
                <w:szCs w:val="20"/>
              </w:rPr>
            </w:pPr>
            <w:r w:rsidRPr="00006117">
              <w:rPr>
                <w:sz w:val="20"/>
                <w:szCs w:val="20"/>
              </w:rPr>
              <w:t>59.97 ±12.12</w:t>
            </w:r>
          </w:p>
        </w:tc>
        <w:tc>
          <w:tcPr>
            <w:tcW w:w="2383" w:type="dxa"/>
          </w:tcPr>
          <w:p w:rsidR="002075FC" w:rsidRPr="00006117" w:rsidRDefault="002075FC" w:rsidP="002075FC">
            <w:pPr>
              <w:spacing w:line="360" w:lineRule="auto"/>
              <w:jc w:val="both"/>
              <w:rPr>
                <w:sz w:val="20"/>
                <w:szCs w:val="20"/>
              </w:rPr>
            </w:pPr>
            <w:r w:rsidRPr="00006117">
              <w:rPr>
                <w:sz w:val="20"/>
                <w:szCs w:val="20"/>
              </w:rPr>
              <w:t>62.93 ±6.12</w:t>
            </w:r>
          </w:p>
        </w:tc>
        <w:tc>
          <w:tcPr>
            <w:tcW w:w="2197" w:type="dxa"/>
          </w:tcPr>
          <w:p w:rsidR="002075FC" w:rsidRPr="00006117" w:rsidRDefault="002075FC" w:rsidP="002075FC">
            <w:pPr>
              <w:spacing w:line="360" w:lineRule="auto"/>
              <w:jc w:val="both"/>
              <w:rPr>
                <w:sz w:val="20"/>
                <w:szCs w:val="20"/>
              </w:rPr>
            </w:pPr>
            <w:r w:rsidRPr="00006117">
              <w:rPr>
                <w:sz w:val="20"/>
                <w:szCs w:val="20"/>
              </w:rPr>
              <w:t>0.11819</w:t>
            </w:r>
          </w:p>
        </w:tc>
      </w:tr>
      <w:tr w:rsidR="002075FC" w:rsidRPr="00006117" w:rsidTr="006F5BBC">
        <w:tc>
          <w:tcPr>
            <w:tcW w:w="2596" w:type="dxa"/>
          </w:tcPr>
          <w:p w:rsidR="002075FC" w:rsidRPr="00006117" w:rsidRDefault="002075FC" w:rsidP="002075FC">
            <w:pPr>
              <w:spacing w:line="360" w:lineRule="auto"/>
              <w:jc w:val="both"/>
              <w:rPr>
                <w:sz w:val="20"/>
                <w:szCs w:val="20"/>
              </w:rPr>
            </w:pPr>
          </w:p>
        </w:tc>
        <w:tc>
          <w:tcPr>
            <w:tcW w:w="2400" w:type="dxa"/>
          </w:tcPr>
          <w:p w:rsidR="002075FC" w:rsidRPr="00006117" w:rsidRDefault="002075FC" w:rsidP="002075FC">
            <w:pPr>
              <w:spacing w:line="360" w:lineRule="auto"/>
              <w:jc w:val="both"/>
              <w:rPr>
                <w:sz w:val="20"/>
                <w:szCs w:val="20"/>
              </w:rPr>
            </w:pPr>
          </w:p>
        </w:tc>
        <w:tc>
          <w:tcPr>
            <w:tcW w:w="2383" w:type="dxa"/>
          </w:tcPr>
          <w:p w:rsidR="002075FC" w:rsidRPr="00006117" w:rsidRDefault="002075FC" w:rsidP="002075FC">
            <w:pPr>
              <w:spacing w:line="360" w:lineRule="auto"/>
              <w:jc w:val="both"/>
              <w:rPr>
                <w:sz w:val="20"/>
                <w:szCs w:val="20"/>
              </w:rPr>
            </w:pPr>
          </w:p>
        </w:tc>
        <w:tc>
          <w:tcPr>
            <w:tcW w:w="2197" w:type="dxa"/>
          </w:tcPr>
          <w:p w:rsidR="002075FC" w:rsidRPr="00006117" w:rsidRDefault="002075FC" w:rsidP="002075FC">
            <w:pPr>
              <w:spacing w:line="360" w:lineRule="auto"/>
              <w:jc w:val="both"/>
              <w:rPr>
                <w:sz w:val="20"/>
                <w:szCs w:val="20"/>
              </w:rPr>
            </w:pPr>
          </w:p>
        </w:tc>
      </w:tr>
    </w:tbl>
    <w:p w:rsidR="002075FC" w:rsidRPr="00006117" w:rsidRDefault="002075FC" w:rsidP="002075FC">
      <w:pPr>
        <w:spacing w:line="360" w:lineRule="auto"/>
        <w:jc w:val="both"/>
        <w:rPr>
          <w:sz w:val="20"/>
          <w:szCs w:val="20"/>
        </w:rPr>
      </w:pPr>
    </w:p>
    <w:p w:rsidR="002075FC" w:rsidRPr="00006117" w:rsidRDefault="002075FC" w:rsidP="002075FC">
      <w:pPr>
        <w:pBdr>
          <w:bottom w:val="single" w:sz="4" w:space="1" w:color="auto"/>
        </w:pBdr>
        <w:spacing w:line="360" w:lineRule="auto"/>
        <w:jc w:val="both"/>
        <w:rPr>
          <w:sz w:val="20"/>
          <w:szCs w:val="20"/>
        </w:rPr>
      </w:pPr>
      <w:r w:rsidRPr="00006117">
        <w:rPr>
          <w:sz w:val="20"/>
          <w:szCs w:val="20"/>
        </w:rPr>
        <w:t>Table 2: Mean Heart Rate in the two groups at the stated intervals and their statistical comparison between two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1131"/>
        <w:gridCol w:w="878"/>
        <w:gridCol w:w="878"/>
        <w:gridCol w:w="878"/>
        <w:gridCol w:w="878"/>
        <w:gridCol w:w="878"/>
        <w:gridCol w:w="878"/>
        <w:gridCol w:w="878"/>
        <w:gridCol w:w="874"/>
      </w:tblGrid>
      <w:tr w:rsidR="002075FC" w:rsidRPr="00006117" w:rsidTr="006F5BBC">
        <w:tc>
          <w:tcPr>
            <w:tcW w:w="590" w:type="pct"/>
            <w:noWrap/>
          </w:tcPr>
          <w:p w:rsidR="002075FC" w:rsidRPr="00006117" w:rsidRDefault="002075FC" w:rsidP="002075FC">
            <w:pPr>
              <w:spacing w:line="360" w:lineRule="auto"/>
              <w:jc w:val="both"/>
              <w:rPr>
                <w:color w:val="000000"/>
                <w:sz w:val="20"/>
                <w:szCs w:val="20"/>
              </w:rPr>
            </w:pPr>
            <w:r w:rsidRPr="00006117">
              <w:rPr>
                <w:color w:val="000000"/>
                <w:sz w:val="20"/>
                <w:szCs w:val="20"/>
              </w:rPr>
              <w:t> </w:t>
            </w:r>
          </w:p>
        </w:tc>
        <w:tc>
          <w:tcPr>
            <w:tcW w:w="612"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Heart Rate</w:t>
            </w:r>
          </w:p>
        </w:tc>
        <w:tc>
          <w:tcPr>
            <w:tcW w:w="475" w:type="pct"/>
            <w:noWrap/>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Preop</w:t>
            </w:r>
            <w:proofErr w:type="spellEnd"/>
          </w:p>
        </w:tc>
        <w:tc>
          <w:tcPr>
            <w:tcW w:w="475" w:type="pct"/>
            <w:noWrap/>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Preind</w:t>
            </w:r>
            <w:proofErr w:type="spellEnd"/>
          </w:p>
        </w:tc>
        <w:tc>
          <w:tcPr>
            <w:tcW w:w="475"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0min</w:t>
            </w:r>
          </w:p>
        </w:tc>
        <w:tc>
          <w:tcPr>
            <w:tcW w:w="475"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1min</w:t>
            </w:r>
          </w:p>
        </w:tc>
        <w:tc>
          <w:tcPr>
            <w:tcW w:w="475"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2min</w:t>
            </w:r>
          </w:p>
        </w:tc>
        <w:tc>
          <w:tcPr>
            <w:tcW w:w="475"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3min</w:t>
            </w:r>
          </w:p>
        </w:tc>
        <w:tc>
          <w:tcPr>
            <w:tcW w:w="475"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4min</w:t>
            </w:r>
          </w:p>
        </w:tc>
        <w:tc>
          <w:tcPr>
            <w:tcW w:w="475"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5min</w:t>
            </w:r>
          </w:p>
        </w:tc>
      </w:tr>
      <w:tr w:rsidR="002075FC" w:rsidRPr="00006117" w:rsidTr="006F5BBC">
        <w:tc>
          <w:tcPr>
            <w:tcW w:w="590" w:type="pct"/>
            <w:vMerge w:val="restart"/>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Dexmede</w:t>
            </w:r>
            <w:proofErr w:type="spellEnd"/>
            <w:r w:rsidRPr="00006117">
              <w:rPr>
                <w:bCs/>
                <w:color w:val="000000"/>
                <w:sz w:val="20"/>
                <w:szCs w:val="20"/>
              </w:rPr>
              <w:t>-</w:t>
            </w:r>
            <w:r w:rsidRPr="00006117">
              <w:rPr>
                <w:bCs/>
                <w:color w:val="000000"/>
                <w:sz w:val="20"/>
                <w:szCs w:val="20"/>
              </w:rPr>
              <w:br/>
            </w:r>
            <w:proofErr w:type="spellStart"/>
            <w:r w:rsidRPr="00006117">
              <w:rPr>
                <w:bCs/>
                <w:color w:val="000000"/>
                <w:sz w:val="20"/>
                <w:szCs w:val="20"/>
              </w:rPr>
              <w:t>tomidine</w:t>
            </w:r>
            <w:proofErr w:type="spellEnd"/>
          </w:p>
        </w:tc>
        <w:tc>
          <w:tcPr>
            <w:tcW w:w="612"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Mean</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87.70</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80.93</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93.53</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96.67</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93.27</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93.33</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90.80</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88.47</w:t>
            </w:r>
          </w:p>
        </w:tc>
      </w:tr>
      <w:tr w:rsidR="002075FC" w:rsidRPr="00006117" w:rsidTr="006F5BBC">
        <w:tc>
          <w:tcPr>
            <w:tcW w:w="590" w:type="pct"/>
            <w:vMerge/>
          </w:tcPr>
          <w:p w:rsidR="002075FC" w:rsidRPr="00006117" w:rsidRDefault="002075FC" w:rsidP="002075FC">
            <w:pPr>
              <w:spacing w:line="360" w:lineRule="auto"/>
              <w:jc w:val="both"/>
              <w:rPr>
                <w:bCs/>
                <w:color w:val="000000"/>
                <w:sz w:val="20"/>
                <w:szCs w:val="20"/>
              </w:rPr>
            </w:pPr>
          </w:p>
        </w:tc>
        <w:tc>
          <w:tcPr>
            <w:tcW w:w="612"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SD</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16.36</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12.60</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13.92</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15.69</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15.64</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15.15</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15.08</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14.88</w:t>
            </w:r>
          </w:p>
        </w:tc>
      </w:tr>
      <w:tr w:rsidR="002075FC" w:rsidRPr="00006117" w:rsidTr="006F5BBC">
        <w:tc>
          <w:tcPr>
            <w:tcW w:w="590" w:type="pct"/>
            <w:vMerge w:val="restart"/>
            <w:noWrap/>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Pregablin</w:t>
            </w:r>
            <w:proofErr w:type="spellEnd"/>
          </w:p>
        </w:tc>
        <w:tc>
          <w:tcPr>
            <w:tcW w:w="612"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Mean</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81.63</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86.77</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104.37</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108.00</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105.60</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103.57</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97.67</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94.67</w:t>
            </w:r>
          </w:p>
        </w:tc>
      </w:tr>
      <w:tr w:rsidR="002075FC" w:rsidRPr="00006117" w:rsidTr="006F5BBC">
        <w:tc>
          <w:tcPr>
            <w:tcW w:w="590" w:type="pct"/>
            <w:vMerge/>
          </w:tcPr>
          <w:p w:rsidR="002075FC" w:rsidRPr="00006117" w:rsidRDefault="002075FC" w:rsidP="002075FC">
            <w:pPr>
              <w:spacing w:line="360" w:lineRule="auto"/>
              <w:jc w:val="both"/>
              <w:rPr>
                <w:bCs/>
                <w:color w:val="000000"/>
                <w:sz w:val="20"/>
                <w:szCs w:val="20"/>
              </w:rPr>
            </w:pPr>
          </w:p>
        </w:tc>
        <w:tc>
          <w:tcPr>
            <w:tcW w:w="612"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SD</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10.18</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12.77</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14.63</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13.89</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15.48</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16.33</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14.69</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16.18</w:t>
            </w:r>
          </w:p>
        </w:tc>
      </w:tr>
      <w:tr w:rsidR="002075FC" w:rsidRPr="00006117" w:rsidTr="006F5BBC">
        <w:tc>
          <w:tcPr>
            <w:tcW w:w="1202" w:type="pct"/>
            <w:gridSpan w:val="2"/>
            <w:noWrap/>
          </w:tcPr>
          <w:p w:rsidR="002075FC" w:rsidRPr="00006117" w:rsidRDefault="002075FC" w:rsidP="002075FC">
            <w:pPr>
              <w:spacing w:line="360" w:lineRule="auto"/>
              <w:jc w:val="both"/>
              <w:rPr>
                <w:bCs/>
                <w:color w:val="000000"/>
                <w:sz w:val="20"/>
                <w:szCs w:val="20"/>
              </w:rPr>
            </w:pPr>
            <w:r w:rsidRPr="00006117">
              <w:rPr>
                <w:bCs/>
                <w:color w:val="000000"/>
                <w:sz w:val="20"/>
                <w:szCs w:val="20"/>
              </w:rPr>
              <w:t>P-value</w:t>
            </w:r>
            <w:r w:rsidRPr="00006117">
              <w:rPr>
                <w:bCs/>
                <w:color w:val="000000"/>
                <w:sz w:val="20"/>
                <w:szCs w:val="20"/>
              </w:rPr>
              <w:br/>
            </w:r>
            <w:proofErr w:type="spellStart"/>
            <w:r w:rsidRPr="00006117">
              <w:rPr>
                <w:bCs/>
                <w:color w:val="000000"/>
                <w:sz w:val="20"/>
                <w:szCs w:val="20"/>
              </w:rPr>
              <w:t>Dexmedetomidine</w:t>
            </w:r>
            <w:proofErr w:type="spellEnd"/>
            <w:r w:rsidRPr="00006117">
              <w:rPr>
                <w:bCs/>
                <w:color w:val="000000"/>
                <w:sz w:val="20"/>
                <w:szCs w:val="20"/>
              </w:rPr>
              <w:br/>
            </w:r>
            <w:proofErr w:type="spellStart"/>
            <w:r w:rsidRPr="00006117">
              <w:rPr>
                <w:bCs/>
                <w:color w:val="000000"/>
                <w:sz w:val="20"/>
                <w:szCs w:val="20"/>
              </w:rPr>
              <w:t>vs.Pregablin</w:t>
            </w:r>
            <w:proofErr w:type="spellEnd"/>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0.04493</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0.04008</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0.00236</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0.00221</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0.00163</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0.00732</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0.03965</w:t>
            </w:r>
          </w:p>
        </w:tc>
        <w:tc>
          <w:tcPr>
            <w:tcW w:w="475" w:type="pct"/>
            <w:noWrap/>
          </w:tcPr>
          <w:p w:rsidR="002075FC" w:rsidRPr="00006117" w:rsidRDefault="002075FC" w:rsidP="002075FC">
            <w:pPr>
              <w:spacing w:line="360" w:lineRule="auto"/>
              <w:jc w:val="both"/>
              <w:rPr>
                <w:color w:val="000000"/>
                <w:sz w:val="20"/>
                <w:szCs w:val="20"/>
              </w:rPr>
            </w:pPr>
            <w:r w:rsidRPr="00006117">
              <w:rPr>
                <w:color w:val="000000"/>
                <w:sz w:val="20"/>
                <w:szCs w:val="20"/>
              </w:rPr>
              <w:t>0.06391</w:t>
            </w:r>
          </w:p>
        </w:tc>
      </w:tr>
    </w:tbl>
    <w:p w:rsidR="002075FC" w:rsidRPr="00006117" w:rsidRDefault="002075FC" w:rsidP="002075FC">
      <w:pPr>
        <w:spacing w:line="360" w:lineRule="auto"/>
        <w:jc w:val="both"/>
        <w:rPr>
          <w:sz w:val="20"/>
          <w:szCs w:val="20"/>
        </w:rPr>
      </w:pPr>
    </w:p>
    <w:p w:rsidR="002075FC" w:rsidRPr="00006117" w:rsidRDefault="002075FC" w:rsidP="002075FC">
      <w:pPr>
        <w:spacing w:line="360" w:lineRule="auto"/>
        <w:jc w:val="both"/>
        <w:rPr>
          <w:sz w:val="20"/>
          <w:szCs w:val="20"/>
        </w:rPr>
      </w:pPr>
    </w:p>
    <w:p w:rsidR="002075FC" w:rsidRPr="00006117" w:rsidRDefault="002075FC" w:rsidP="002075FC">
      <w:pPr>
        <w:spacing w:line="360" w:lineRule="auto"/>
        <w:jc w:val="both"/>
        <w:rPr>
          <w:sz w:val="20"/>
          <w:szCs w:val="20"/>
        </w:rPr>
      </w:pPr>
    </w:p>
    <w:p w:rsidR="002075FC" w:rsidRPr="00006117" w:rsidRDefault="002075FC" w:rsidP="002075FC">
      <w:pPr>
        <w:spacing w:line="360" w:lineRule="auto"/>
        <w:jc w:val="both"/>
        <w:rPr>
          <w:sz w:val="20"/>
          <w:szCs w:val="20"/>
        </w:rPr>
      </w:pPr>
    </w:p>
    <w:p w:rsidR="002075FC" w:rsidRPr="00006117" w:rsidRDefault="002075FC" w:rsidP="002075FC">
      <w:pPr>
        <w:spacing w:line="360" w:lineRule="auto"/>
        <w:jc w:val="both"/>
        <w:rPr>
          <w:sz w:val="20"/>
          <w:szCs w:val="20"/>
        </w:rPr>
      </w:pPr>
    </w:p>
    <w:p w:rsidR="002075FC" w:rsidRPr="00006117" w:rsidRDefault="002075FC" w:rsidP="002075FC">
      <w:pPr>
        <w:spacing w:line="360" w:lineRule="auto"/>
        <w:jc w:val="both"/>
        <w:rPr>
          <w:sz w:val="20"/>
          <w:szCs w:val="20"/>
        </w:rPr>
      </w:pPr>
    </w:p>
    <w:p w:rsidR="002075FC" w:rsidRPr="00006117" w:rsidRDefault="002075FC" w:rsidP="002075FC">
      <w:pPr>
        <w:spacing w:line="360" w:lineRule="auto"/>
        <w:jc w:val="both"/>
        <w:rPr>
          <w:sz w:val="20"/>
          <w:szCs w:val="20"/>
        </w:rPr>
      </w:pPr>
    </w:p>
    <w:p w:rsidR="002075FC" w:rsidRPr="00006117" w:rsidRDefault="002075FC" w:rsidP="002075FC">
      <w:pPr>
        <w:spacing w:line="360" w:lineRule="auto"/>
        <w:jc w:val="both"/>
        <w:rPr>
          <w:sz w:val="20"/>
          <w:szCs w:val="20"/>
        </w:rPr>
      </w:pPr>
      <w:r w:rsidRPr="00006117">
        <w:rPr>
          <w:sz w:val="20"/>
          <w:szCs w:val="20"/>
        </w:rPr>
        <w:lastRenderedPageBreak/>
        <w:t xml:space="preserve">Table </w:t>
      </w:r>
      <w:proofErr w:type="gramStart"/>
      <w:r w:rsidRPr="00006117">
        <w:rPr>
          <w:sz w:val="20"/>
          <w:szCs w:val="20"/>
        </w:rPr>
        <w:t>3 :</w:t>
      </w:r>
      <w:proofErr w:type="gramEnd"/>
      <w:r w:rsidRPr="00006117">
        <w:rPr>
          <w:sz w:val="20"/>
          <w:szCs w:val="20"/>
        </w:rPr>
        <w:t xml:space="preserve"> Mean Systolic Blood Pressure at the selected recording times and their statistical comparison between two groups.</w:t>
      </w:r>
    </w:p>
    <w:tbl>
      <w:tblPr>
        <w:tblW w:w="5000" w:type="pct"/>
        <w:tblLook w:val="00A0" w:firstRow="1" w:lastRow="0" w:firstColumn="1" w:lastColumn="0" w:noHBand="0" w:noVBand="0"/>
      </w:tblPr>
      <w:tblGrid>
        <w:gridCol w:w="1158"/>
        <w:gridCol w:w="1156"/>
        <w:gridCol w:w="866"/>
        <w:gridCol w:w="866"/>
        <w:gridCol w:w="866"/>
        <w:gridCol w:w="866"/>
        <w:gridCol w:w="866"/>
        <w:gridCol w:w="866"/>
        <w:gridCol w:w="866"/>
        <w:gridCol w:w="866"/>
      </w:tblGrid>
      <w:tr w:rsidR="002075FC" w:rsidRPr="00006117" w:rsidTr="006F5BBC">
        <w:trPr>
          <w:trHeight w:val="300"/>
        </w:trPr>
        <w:tc>
          <w:tcPr>
            <w:tcW w:w="733" w:type="pct"/>
            <w:tcBorders>
              <w:top w:val="single" w:sz="4" w:space="0" w:color="auto"/>
              <w:left w:val="single" w:sz="4" w:space="0" w:color="auto"/>
              <w:bottom w:val="single" w:sz="4" w:space="0" w:color="auto"/>
              <w:right w:val="single" w:sz="4" w:space="0" w:color="auto"/>
            </w:tcBorders>
            <w:noWrap/>
          </w:tcPr>
          <w:p w:rsidR="002075FC" w:rsidRPr="00006117" w:rsidRDefault="002075FC" w:rsidP="002075FC">
            <w:pPr>
              <w:spacing w:line="360" w:lineRule="auto"/>
              <w:jc w:val="both"/>
              <w:rPr>
                <w:color w:val="000000"/>
                <w:sz w:val="20"/>
                <w:szCs w:val="20"/>
              </w:rPr>
            </w:pPr>
            <w:r w:rsidRPr="00006117">
              <w:rPr>
                <w:color w:val="000000"/>
                <w:sz w:val="20"/>
                <w:szCs w:val="20"/>
              </w:rPr>
              <w:t> </w:t>
            </w:r>
          </w:p>
        </w:tc>
        <w:tc>
          <w:tcPr>
            <w:tcW w:w="676" w:type="pct"/>
            <w:tcBorders>
              <w:top w:val="single" w:sz="4" w:space="0" w:color="auto"/>
              <w:left w:val="nil"/>
              <w:bottom w:val="single" w:sz="4" w:space="0" w:color="auto"/>
              <w:right w:val="single" w:sz="4" w:space="0" w:color="auto"/>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Systolic BP</w:t>
            </w:r>
          </w:p>
        </w:tc>
        <w:tc>
          <w:tcPr>
            <w:tcW w:w="449"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Preop</w:t>
            </w:r>
            <w:proofErr w:type="spellEnd"/>
          </w:p>
        </w:tc>
        <w:tc>
          <w:tcPr>
            <w:tcW w:w="449"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Preind</w:t>
            </w:r>
            <w:proofErr w:type="spellEnd"/>
          </w:p>
        </w:tc>
        <w:tc>
          <w:tcPr>
            <w:tcW w:w="449"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0min</w:t>
            </w:r>
          </w:p>
        </w:tc>
        <w:tc>
          <w:tcPr>
            <w:tcW w:w="449"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1min</w:t>
            </w:r>
          </w:p>
        </w:tc>
        <w:tc>
          <w:tcPr>
            <w:tcW w:w="449"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2min</w:t>
            </w:r>
          </w:p>
        </w:tc>
        <w:tc>
          <w:tcPr>
            <w:tcW w:w="449"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3min</w:t>
            </w:r>
          </w:p>
        </w:tc>
        <w:tc>
          <w:tcPr>
            <w:tcW w:w="449"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4min</w:t>
            </w:r>
          </w:p>
        </w:tc>
        <w:tc>
          <w:tcPr>
            <w:tcW w:w="448" w:type="pct"/>
            <w:tcBorders>
              <w:top w:val="single" w:sz="4" w:space="0" w:color="auto"/>
              <w:left w:val="nil"/>
              <w:bottom w:val="single" w:sz="4" w:space="0" w:color="auto"/>
              <w:right w:val="single" w:sz="4" w:space="0" w:color="auto"/>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5min</w:t>
            </w:r>
          </w:p>
        </w:tc>
      </w:tr>
      <w:tr w:rsidR="002075FC" w:rsidRPr="00006117" w:rsidTr="006F5BBC">
        <w:trPr>
          <w:trHeight w:val="213"/>
        </w:trPr>
        <w:tc>
          <w:tcPr>
            <w:tcW w:w="733" w:type="pct"/>
            <w:vMerge w:val="restart"/>
            <w:tcBorders>
              <w:top w:val="nil"/>
              <w:left w:val="single" w:sz="4" w:space="0" w:color="auto"/>
              <w:bottom w:val="single" w:sz="4" w:space="0" w:color="000000"/>
              <w:right w:val="single" w:sz="4" w:space="0" w:color="auto"/>
            </w:tcBorders>
            <w:shd w:val="clear" w:color="auto" w:fill="auto"/>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Dexmede</w:t>
            </w:r>
            <w:proofErr w:type="spellEnd"/>
            <w:r w:rsidRPr="00006117">
              <w:rPr>
                <w:bCs/>
                <w:color w:val="000000"/>
                <w:sz w:val="20"/>
                <w:szCs w:val="20"/>
              </w:rPr>
              <w:t>-</w:t>
            </w:r>
          </w:p>
          <w:p w:rsidR="002075FC" w:rsidRPr="00006117" w:rsidRDefault="002075FC" w:rsidP="002075FC">
            <w:pPr>
              <w:spacing w:line="360" w:lineRule="auto"/>
              <w:jc w:val="both"/>
              <w:rPr>
                <w:bCs/>
                <w:color w:val="000000"/>
                <w:sz w:val="20"/>
                <w:szCs w:val="20"/>
              </w:rPr>
            </w:pPr>
            <w:r w:rsidRPr="00006117">
              <w:rPr>
                <w:bCs/>
                <w:color w:val="000000"/>
                <w:sz w:val="20"/>
                <w:szCs w:val="20"/>
              </w:rPr>
              <w:t>-</w:t>
            </w:r>
            <w:proofErr w:type="spellStart"/>
            <w:r w:rsidRPr="00006117">
              <w:rPr>
                <w:bCs/>
                <w:color w:val="000000"/>
                <w:sz w:val="20"/>
                <w:szCs w:val="20"/>
              </w:rPr>
              <w:t>tomidine</w:t>
            </w:r>
            <w:proofErr w:type="spellEnd"/>
          </w:p>
        </w:tc>
        <w:tc>
          <w:tcPr>
            <w:tcW w:w="676" w:type="pct"/>
            <w:tcBorders>
              <w:top w:val="nil"/>
              <w:left w:val="nil"/>
              <w:bottom w:val="single" w:sz="4" w:space="0" w:color="auto"/>
              <w:right w:val="single" w:sz="4" w:space="0" w:color="auto"/>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Mean</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128.77</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110.37</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135.47</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143.73</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136.27</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128.23</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118.83</w:t>
            </w:r>
          </w:p>
        </w:tc>
        <w:tc>
          <w:tcPr>
            <w:tcW w:w="448" w:type="pct"/>
            <w:tcBorders>
              <w:top w:val="nil"/>
              <w:left w:val="nil"/>
              <w:bottom w:val="single" w:sz="4" w:space="0" w:color="auto"/>
              <w:right w:val="single" w:sz="4" w:space="0" w:color="auto"/>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117.20</w:t>
            </w:r>
          </w:p>
        </w:tc>
      </w:tr>
      <w:tr w:rsidR="002075FC" w:rsidRPr="00006117" w:rsidTr="006F5BBC">
        <w:trPr>
          <w:trHeight w:val="65"/>
        </w:trPr>
        <w:tc>
          <w:tcPr>
            <w:tcW w:w="733" w:type="pct"/>
            <w:vMerge/>
            <w:tcBorders>
              <w:top w:val="nil"/>
              <w:left w:val="single" w:sz="4" w:space="0" w:color="auto"/>
              <w:bottom w:val="single" w:sz="4" w:space="0" w:color="000000"/>
              <w:right w:val="single" w:sz="4" w:space="0" w:color="auto"/>
            </w:tcBorders>
          </w:tcPr>
          <w:p w:rsidR="002075FC" w:rsidRPr="00006117" w:rsidRDefault="002075FC" w:rsidP="002075FC">
            <w:pPr>
              <w:spacing w:line="360" w:lineRule="auto"/>
              <w:jc w:val="both"/>
              <w:rPr>
                <w:bCs/>
                <w:color w:val="000000"/>
                <w:sz w:val="20"/>
                <w:szCs w:val="20"/>
              </w:rPr>
            </w:pPr>
          </w:p>
        </w:tc>
        <w:tc>
          <w:tcPr>
            <w:tcW w:w="676" w:type="pct"/>
            <w:tcBorders>
              <w:top w:val="nil"/>
              <w:left w:val="nil"/>
              <w:bottom w:val="single" w:sz="4" w:space="0" w:color="auto"/>
              <w:right w:val="single" w:sz="4" w:space="0" w:color="auto"/>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SD</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15.97</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17.48</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28.52</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22.05</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20.80</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19.91</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19.20</w:t>
            </w:r>
          </w:p>
        </w:tc>
        <w:tc>
          <w:tcPr>
            <w:tcW w:w="448" w:type="pct"/>
            <w:tcBorders>
              <w:top w:val="nil"/>
              <w:left w:val="nil"/>
              <w:bottom w:val="single" w:sz="4" w:space="0" w:color="auto"/>
              <w:right w:val="single" w:sz="4" w:space="0" w:color="auto"/>
            </w:tcBorders>
            <w:noWrap/>
          </w:tcPr>
          <w:p w:rsidR="002075FC" w:rsidRPr="00006117" w:rsidRDefault="002075FC" w:rsidP="002075FC">
            <w:pPr>
              <w:spacing w:line="360" w:lineRule="auto"/>
              <w:jc w:val="both"/>
              <w:rPr>
                <w:color w:val="000000"/>
                <w:sz w:val="20"/>
                <w:szCs w:val="20"/>
              </w:rPr>
            </w:pPr>
            <w:r w:rsidRPr="00006117">
              <w:rPr>
                <w:color w:val="000000"/>
                <w:sz w:val="20"/>
                <w:szCs w:val="20"/>
              </w:rPr>
              <w:t>20.01</w:t>
            </w:r>
          </w:p>
        </w:tc>
      </w:tr>
      <w:tr w:rsidR="002075FC" w:rsidRPr="00006117" w:rsidTr="006F5BBC">
        <w:trPr>
          <w:trHeight w:val="87"/>
        </w:trPr>
        <w:tc>
          <w:tcPr>
            <w:tcW w:w="733" w:type="pct"/>
            <w:vMerge w:val="restart"/>
            <w:tcBorders>
              <w:top w:val="nil"/>
              <w:left w:val="single" w:sz="4" w:space="0" w:color="auto"/>
              <w:bottom w:val="single" w:sz="4" w:space="0" w:color="000000"/>
              <w:right w:val="single" w:sz="4" w:space="0" w:color="auto"/>
            </w:tcBorders>
            <w:shd w:val="clear" w:color="auto" w:fill="auto"/>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Pregabalin</w:t>
            </w:r>
            <w:proofErr w:type="spellEnd"/>
          </w:p>
        </w:tc>
        <w:tc>
          <w:tcPr>
            <w:tcW w:w="676" w:type="pct"/>
            <w:tcBorders>
              <w:top w:val="nil"/>
              <w:left w:val="nil"/>
              <w:bottom w:val="single" w:sz="4" w:space="0" w:color="auto"/>
              <w:right w:val="single" w:sz="4" w:space="0" w:color="auto"/>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Mean</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126.80</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122.27</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140.53</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160.23</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144.73</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136.30</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127.17</w:t>
            </w:r>
          </w:p>
        </w:tc>
        <w:tc>
          <w:tcPr>
            <w:tcW w:w="448" w:type="pct"/>
            <w:tcBorders>
              <w:top w:val="nil"/>
              <w:left w:val="nil"/>
              <w:bottom w:val="single" w:sz="4" w:space="0" w:color="auto"/>
              <w:right w:val="single" w:sz="4" w:space="0" w:color="auto"/>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122.67</w:t>
            </w:r>
          </w:p>
        </w:tc>
      </w:tr>
      <w:tr w:rsidR="002075FC" w:rsidRPr="00006117" w:rsidTr="006F5BBC">
        <w:trPr>
          <w:trHeight w:val="65"/>
        </w:trPr>
        <w:tc>
          <w:tcPr>
            <w:tcW w:w="733" w:type="pct"/>
            <w:vMerge/>
            <w:tcBorders>
              <w:top w:val="nil"/>
              <w:left w:val="single" w:sz="4" w:space="0" w:color="auto"/>
              <w:bottom w:val="single" w:sz="4" w:space="0" w:color="000000"/>
              <w:right w:val="single" w:sz="4" w:space="0" w:color="auto"/>
            </w:tcBorders>
          </w:tcPr>
          <w:p w:rsidR="002075FC" w:rsidRPr="00006117" w:rsidRDefault="002075FC" w:rsidP="002075FC">
            <w:pPr>
              <w:spacing w:line="360" w:lineRule="auto"/>
              <w:jc w:val="both"/>
              <w:rPr>
                <w:bCs/>
                <w:color w:val="000000"/>
                <w:sz w:val="20"/>
                <w:szCs w:val="20"/>
              </w:rPr>
            </w:pPr>
          </w:p>
        </w:tc>
        <w:tc>
          <w:tcPr>
            <w:tcW w:w="676" w:type="pct"/>
            <w:tcBorders>
              <w:top w:val="nil"/>
              <w:left w:val="nil"/>
              <w:bottom w:val="nil"/>
              <w:right w:val="single" w:sz="4" w:space="0" w:color="auto"/>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SD</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13.62</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14.38</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16.14</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20.62</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24.10</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18.76</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15.58</w:t>
            </w:r>
          </w:p>
        </w:tc>
        <w:tc>
          <w:tcPr>
            <w:tcW w:w="448" w:type="pct"/>
            <w:tcBorders>
              <w:top w:val="nil"/>
              <w:left w:val="nil"/>
              <w:bottom w:val="single" w:sz="4" w:space="0" w:color="auto"/>
              <w:right w:val="single" w:sz="4" w:space="0" w:color="auto"/>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15.92</w:t>
            </w:r>
          </w:p>
        </w:tc>
      </w:tr>
      <w:tr w:rsidR="002075FC" w:rsidRPr="00006117" w:rsidTr="006F5BBC">
        <w:trPr>
          <w:trHeight w:val="300"/>
        </w:trPr>
        <w:tc>
          <w:tcPr>
            <w:tcW w:w="1409" w:type="pct"/>
            <w:gridSpan w:val="2"/>
            <w:tcBorders>
              <w:top w:val="single" w:sz="4" w:space="0" w:color="auto"/>
              <w:left w:val="single" w:sz="4" w:space="0" w:color="auto"/>
              <w:bottom w:val="single" w:sz="4" w:space="0" w:color="auto"/>
              <w:right w:val="single" w:sz="4" w:space="0" w:color="000000"/>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 xml:space="preserve">P-value </w:t>
            </w:r>
            <w:r w:rsidRPr="00006117">
              <w:rPr>
                <w:bCs/>
                <w:color w:val="000000"/>
                <w:sz w:val="20"/>
                <w:szCs w:val="20"/>
              </w:rPr>
              <w:br/>
            </w:r>
            <w:proofErr w:type="spellStart"/>
            <w:r w:rsidRPr="00006117">
              <w:rPr>
                <w:bCs/>
                <w:color w:val="000000"/>
                <w:sz w:val="20"/>
                <w:szCs w:val="20"/>
              </w:rPr>
              <w:t>Dexmedetomidine</w:t>
            </w:r>
            <w:proofErr w:type="spellEnd"/>
            <w:r w:rsidRPr="00006117">
              <w:rPr>
                <w:bCs/>
                <w:color w:val="000000"/>
                <w:sz w:val="20"/>
                <w:szCs w:val="20"/>
              </w:rPr>
              <w:t xml:space="preserve"> vs.</w:t>
            </w:r>
            <w:r w:rsidRPr="00006117">
              <w:rPr>
                <w:bCs/>
                <w:color w:val="000000"/>
                <w:sz w:val="20"/>
                <w:szCs w:val="20"/>
              </w:rPr>
              <w:br/>
            </w:r>
            <w:proofErr w:type="spellStart"/>
            <w:r w:rsidRPr="00006117">
              <w:rPr>
                <w:bCs/>
                <w:color w:val="000000"/>
                <w:sz w:val="20"/>
                <w:szCs w:val="20"/>
              </w:rPr>
              <w:t>Pregablin</w:t>
            </w:r>
            <w:proofErr w:type="spellEnd"/>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0.30488</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0.00278</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0.20027</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0.00202</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0.07527</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0.05583</w:t>
            </w:r>
          </w:p>
        </w:tc>
        <w:tc>
          <w:tcPr>
            <w:tcW w:w="449"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0.03497</w:t>
            </w:r>
          </w:p>
        </w:tc>
        <w:tc>
          <w:tcPr>
            <w:tcW w:w="448" w:type="pct"/>
            <w:tcBorders>
              <w:top w:val="nil"/>
              <w:left w:val="nil"/>
              <w:bottom w:val="single" w:sz="4" w:space="0" w:color="auto"/>
              <w:right w:val="single" w:sz="4" w:space="0" w:color="auto"/>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0.12317</w:t>
            </w:r>
          </w:p>
        </w:tc>
      </w:tr>
    </w:tbl>
    <w:p w:rsidR="002075FC" w:rsidRPr="00006117" w:rsidRDefault="002075FC" w:rsidP="002075FC">
      <w:pPr>
        <w:spacing w:line="360" w:lineRule="auto"/>
        <w:jc w:val="both"/>
        <w:rPr>
          <w:sz w:val="20"/>
          <w:szCs w:val="20"/>
        </w:rPr>
      </w:pPr>
    </w:p>
    <w:p w:rsidR="002075FC" w:rsidRPr="00006117" w:rsidRDefault="002075FC" w:rsidP="002075FC">
      <w:pPr>
        <w:spacing w:line="360" w:lineRule="auto"/>
        <w:jc w:val="both"/>
        <w:rPr>
          <w:sz w:val="20"/>
          <w:szCs w:val="20"/>
        </w:rPr>
      </w:pPr>
      <w:r w:rsidRPr="00006117">
        <w:rPr>
          <w:sz w:val="20"/>
          <w:szCs w:val="20"/>
        </w:rPr>
        <w:t xml:space="preserve">Table 4: Mean Diastolic Blood Pressure at the </w:t>
      </w:r>
      <w:proofErr w:type="gramStart"/>
      <w:r w:rsidRPr="00006117">
        <w:rPr>
          <w:sz w:val="20"/>
          <w:szCs w:val="20"/>
        </w:rPr>
        <w:t>selected  time</w:t>
      </w:r>
      <w:proofErr w:type="gramEnd"/>
      <w:r w:rsidRPr="00006117">
        <w:rPr>
          <w:sz w:val="20"/>
          <w:szCs w:val="20"/>
        </w:rPr>
        <w:t xml:space="preserve"> intervals and their statistical comparison between two groups.</w:t>
      </w:r>
    </w:p>
    <w:tbl>
      <w:tblPr>
        <w:tblW w:w="5000" w:type="pct"/>
        <w:tblLook w:val="00A0" w:firstRow="1" w:lastRow="0" w:firstColumn="1" w:lastColumn="0" w:noHBand="0" w:noVBand="0"/>
      </w:tblPr>
      <w:tblGrid>
        <w:gridCol w:w="1081"/>
        <w:gridCol w:w="1233"/>
        <w:gridCol w:w="866"/>
        <w:gridCol w:w="866"/>
        <w:gridCol w:w="866"/>
        <w:gridCol w:w="866"/>
        <w:gridCol w:w="866"/>
        <w:gridCol w:w="866"/>
        <w:gridCol w:w="866"/>
        <w:gridCol w:w="866"/>
      </w:tblGrid>
      <w:tr w:rsidR="002075FC" w:rsidRPr="00006117" w:rsidTr="006F5BBC">
        <w:tc>
          <w:tcPr>
            <w:tcW w:w="867" w:type="pct"/>
            <w:tcBorders>
              <w:top w:val="single" w:sz="4" w:space="0" w:color="auto"/>
              <w:left w:val="single" w:sz="4" w:space="0" w:color="auto"/>
              <w:bottom w:val="single" w:sz="4" w:space="0" w:color="auto"/>
              <w:right w:val="single" w:sz="4" w:space="0" w:color="auto"/>
            </w:tcBorders>
            <w:noWrap/>
          </w:tcPr>
          <w:p w:rsidR="002075FC" w:rsidRPr="00006117" w:rsidRDefault="002075FC" w:rsidP="002075FC">
            <w:pPr>
              <w:spacing w:line="360" w:lineRule="auto"/>
              <w:jc w:val="both"/>
              <w:rPr>
                <w:color w:val="000000"/>
                <w:sz w:val="20"/>
                <w:szCs w:val="20"/>
              </w:rPr>
            </w:pPr>
            <w:r w:rsidRPr="00006117">
              <w:rPr>
                <w:color w:val="000000"/>
                <w:sz w:val="20"/>
                <w:szCs w:val="20"/>
              </w:rPr>
              <w:t> </w:t>
            </w:r>
          </w:p>
        </w:tc>
        <w:tc>
          <w:tcPr>
            <w:tcW w:w="807" w:type="pct"/>
            <w:tcBorders>
              <w:top w:val="single" w:sz="4" w:space="0" w:color="auto"/>
              <w:left w:val="nil"/>
              <w:bottom w:val="single" w:sz="4" w:space="0" w:color="auto"/>
              <w:right w:val="single" w:sz="4" w:space="0" w:color="auto"/>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Diastolic BP</w:t>
            </w:r>
          </w:p>
        </w:tc>
        <w:tc>
          <w:tcPr>
            <w:tcW w:w="416"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Preop</w:t>
            </w:r>
            <w:proofErr w:type="spellEnd"/>
          </w:p>
        </w:tc>
        <w:tc>
          <w:tcPr>
            <w:tcW w:w="416"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Preind</w:t>
            </w:r>
            <w:proofErr w:type="spellEnd"/>
          </w:p>
        </w:tc>
        <w:tc>
          <w:tcPr>
            <w:tcW w:w="416"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0min</w:t>
            </w:r>
          </w:p>
        </w:tc>
        <w:tc>
          <w:tcPr>
            <w:tcW w:w="416"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1min</w:t>
            </w:r>
          </w:p>
        </w:tc>
        <w:tc>
          <w:tcPr>
            <w:tcW w:w="416"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2min</w:t>
            </w:r>
          </w:p>
        </w:tc>
        <w:tc>
          <w:tcPr>
            <w:tcW w:w="416"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3min</w:t>
            </w:r>
          </w:p>
        </w:tc>
        <w:tc>
          <w:tcPr>
            <w:tcW w:w="416" w:type="pct"/>
            <w:tcBorders>
              <w:top w:val="single" w:sz="4" w:space="0" w:color="auto"/>
              <w:left w:val="nil"/>
              <w:bottom w:val="single" w:sz="4" w:space="0" w:color="auto"/>
              <w:right w:val="nil"/>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4min</w:t>
            </w:r>
          </w:p>
        </w:tc>
        <w:tc>
          <w:tcPr>
            <w:tcW w:w="416" w:type="pct"/>
            <w:tcBorders>
              <w:top w:val="single" w:sz="4" w:space="0" w:color="auto"/>
              <w:left w:val="nil"/>
              <w:bottom w:val="single" w:sz="4" w:space="0" w:color="auto"/>
              <w:right w:val="single" w:sz="4" w:space="0" w:color="auto"/>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5min</w:t>
            </w:r>
          </w:p>
        </w:tc>
      </w:tr>
      <w:tr w:rsidR="002075FC" w:rsidRPr="00006117" w:rsidTr="006F5BBC">
        <w:tc>
          <w:tcPr>
            <w:tcW w:w="867" w:type="pct"/>
            <w:vMerge w:val="restart"/>
            <w:tcBorders>
              <w:top w:val="nil"/>
              <w:left w:val="single" w:sz="4" w:space="0" w:color="auto"/>
              <w:bottom w:val="single" w:sz="4" w:space="0" w:color="000000"/>
              <w:right w:val="single" w:sz="4" w:space="0" w:color="auto"/>
            </w:tcBorders>
            <w:shd w:val="clear" w:color="auto" w:fill="auto"/>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Dexmede</w:t>
            </w:r>
            <w:proofErr w:type="spellEnd"/>
            <w:r w:rsidRPr="00006117">
              <w:rPr>
                <w:bCs/>
                <w:color w:val="000000"/>
                <w:sz w:val="20"/>
                <w:szCs w:val="20"/>
              </w:rPr>
              <w:t>-</w:t>
            </w:r>
          </w:p>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tomidine</w:t>
            </w:r>
            <w:proofErr w:type="spellEnd"/>
          </w:p>
        </w:tc>
        <w:tc>
          <w:tcPr>
            <w:tcW w:w="807" w:type="pct"/>
            <w:tcBorders>
              <w:top w:val="nil"/>
              <w:left w:val="nil"/>
              <w:bottom w:val="single" w:sz="4" w:space="0" w:color="auto"/>
              <w:right w:val="single" w:sz="4" w:space="0" w:color="auto"/>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Mean</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79.40</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71.07</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91.57</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98.83</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92.40</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86.37</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79.80</w:t>
            </w:r>
          </w:p>
        </w:tc>
        <w:tc>
          <w:tcPr>
            <w:tcW w:w="416" w:type="pct"/>
            <w:tcBorders>
              <w:top w:val="nil"/>
              <w:left w:val="nil"/>
              <w:bottom w:val="single" w:sz="4" w:space="0" w:color="auto"/>
              <w:right w:val="single" w:sz="4" w:space="0" w:color="auto"/>
            </w:tcBorders>
            <w:noWrap/>
          </w:tcPr>
          <w:p w:rsidR="002075FC" w:rsidRPr="00006117" w:rsidRDefault="002075FC" w:rsidP="002075FC">
            <w:pPr>
              <w:spacing w:line="360" w:lineRule="auto"/>
              <w:jc w:val="both"/>
              <w:rPr>
                <w:color w:val="000000"/>
                <w:sz w:val="20"/>
                <w:szCs w:val="20"/>
              </w:rPr>
            </w:pPr>
            <w:r w:rsidRPr="00006117">
              <w:rPr>
                <w:color w:val="000000"/>
                <w:sz w:val="20"/>
                <w:szCs w:val="20"/>
              </w:rPr>
              <w:t>76.40</w:t>
            </w:r>
          </w:p>
        </w:tc>
      </w:tr>
      <w:tr w:rsidR="002075FC" w:rsidRPr="00006117" w:rsidTr="006F5BBC">
        <w:tc>
          <w:tcPr>
            <w:tcW w:w="867" w:type="pct"/>
            <w:vMerge/>
            <w:tcBorders>
              <w:top w:val="nil"/>
              <w:left w:val="single" w:sz="4" w:space="0" w:color="auto"/>
              <w:bottom w:val="single" w:sz="4" w:space="0" w:color="000000"/>
              <w:right w:val="single" w:sz="4" w:space="0" w:color="auto"/>
            </w:tcBorders>
          </w:tcPr>
          <w:p w:rsidR="002075FC" w:rsidRPr="00006117" w:rsidRDefault="002075FC" w:rsidP="002075FC">
            <w:pPr>
              <w:spacing w:line="360" w:lineRule="auto"/>
              <w:jc w:val="both"/>
              <w:rPr>
                <w:bCs/>
                <w:color w:val="000000"/>
                <w:sz w:val="20"/>
                <w:szCs w:val="20"/>
              </w:rPr>
            </w:pPr>
          </w:p>
        </w:tc>
        <w:tc>
          <w:tcPr>
            <w:tcW w:w="807" w:type="pct"/>
            <w:tcBorders>
              <w:top w:val="nil"/>
              <w:left w:val="nil"/>
              <w:bottom w:val="single" w:sz="4" w:space="0" w:color="auto"/>
              <w:right w:val="single" w:sz="4" w:space="0" w:color="auto"/>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SD</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7.44</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12.29</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20.23</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12.55</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10.80</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9.46</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11.77</w:t>
            </w:r>
          </w:p>
        </w:tc>
        <w:tc>
          <w:tcPr>
            <w:tcW w:w="416" w:type="pct"/>
            <w:tcBorders>
              <w:top w:val="nil"/>
              <w:left w:val="nil"/>
              <w:bottom w:val="single" w:sz="4" w:space="0" w:color="auto"/>
              <w:right w:val="single" w:sz="4" w:space="0" w:color="auto"/>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11.64</w:t>
            </w:r>
          </w:p>
        </w:tc>
      </w:tr>
      <w:tr w:rsidR="002075FC" w:rsidRPr="00006117" w:rsidTr="006F5BBC">
        <w:tc>
          <w:tcPr>
            <w:tcW w:w="867" w:type="pct"/>
            <w:vMerge w:val="restart"/>
            <w:tcBorders>
              <w:top w:val="nil"/>
              <w:left w:val="single" w:sz="4" w:space="0" w:color="auto"/>
              <w:bottom w:val="single" w:sz="4" w:space="0" w:color="000000"/>
              <w:right w:val="single" w:sz="4" w:space="0" w:color="auto"/>
            </w:tcBorders>
            <w:noWrap/>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Pregabalin</w:t>
            </w:r>
            <w:proofErr w:type="spellEnd"/>
          </w:p>
        </w:tc>
        <w:tc>
          <w:tcPr>
            <w:tcW w:w="807" w:type="pct"/>
            <w:tcBorders>
              <w:top w:val="nil"/>
              <w:left w:val="nil"/>
              <w:bottom w:val="nil"/>
              <w:right w:val="single" w:sz="4" w:space="0" w:color="auto"/>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Mean</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78.10</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79.73</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94.43</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105.37</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94.67</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89.37</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83.50</w:t>
            </w:r>
          </w:p>
        </w:tc>
        <w:tc>
          <w:tcPr>
            <w:tcW w:w="416" w:type="pct"/>
            <w:tcBorders>
              <w:top w:val="nil"/>
              <w:left w:val="nil"/>
              <w:bottom w:val="nil"/>
              <w:right w:val="single" w:sz="4" w:space="0" w:color="auto"/>
            </w:tcBorders>
            <w:noWrap/>
          </w:tcPr>
          <w:p w:rsidR="002075FC" w:rsidRPr="00006117" w:rsidRDefault="002075FC" w:rsidP="002075FC">
            <w:pPr>
              <w:spacing w:line="360" w:lineRule="auto"/>
              <w:jc w:val="both"/>
              <w:rPr>
                <w:color w:val="000000"/>
                <w:sz w:val="20"/>
                <w:szCs w:val="20"/>
              </w:rPr>
            </w:pPr>
            <w:r w:rsidRPr="00006117">
              <w:rPr>
                <w:color w:val="000000"/>
                <w:sz w:val="20"/>
                <w:szCs w:val="20"/>
              </w:rPr>
              <w:t>80.30</w:t>
            </w:r>
          </w:p>
        </w:tc>
      </w:tr>
      <w:tr w:rsidR="002075FC" w:rsidRPr="00006117" w:rsidTr="006F5BBC">
        <w:tc>
          <w:tcPr>
            <w:tcW w:w="867" w:type="pct"/>
            <w:vMerge/>
            <w:tcBorders>
              <w:top w:val="nil"/>
              <w:left w:val="single" w:sz="4" w:space="0" w:color="auto"/>
              <w:bottom w:val="single" w:sz="4" w:space="0" w:color="000000"/>
              <w:right w:val="single" w:sz="4" w:space="0" w:color="auto"/>
            </w:tcBorders>
          </w:tcPr>
          <w:p w:rsidR="002075FC" w:rsidRPr="00006117" w:rsidRDefault="002075FC" w:rsidP="002075FC">
            <w:pPr>
              <w:spacing w:line="360" w:lineRule="auto"/>
              <w:jc w:val="both"/>
              <w:rPr>
                <w:bCs/>
                <w:color w:val="000000"/>
                <w:sz w:val="20"/>
                <w:szCs w:val="20"/>
              </w:rPr>
            </w:pPr>
          </w:p>
        </w:tc>
        <w:tc>
          <w:tcPr>
            <w:tcW w:w="807" w:type="pct"/>
            <w:tcBorders>
              <w:top w:val="nil"/>
              <w:left w:val="nil"/>
              <w:bottom w:val="nil"/>
              <w:right w:val="single" w:sz="4" w:space="0" w:color="auto"/>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SD</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9.56</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8.25</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11.19</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14.39</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13.38</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10.51</w:t>
            </w:r>
          </w:p>
        </w:tc>
        <w:tc>
          <w:tcPr>
            <w:tcW w:w="416" w:type="pct"/>
            <w:tcBorders>
              <w:top w:val="nil"/>
              <w:left w:val="nil"/>
              <w:bottom w:val="nil"/>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9.62</w:t>
            </w:r>
          </w:p>
        </w:tc>
        <w:tc>
          <w:tcPr>
            <w:tcW w:w="416" w:type="pct"/>
            <w:tcBorders>
              <w:top w:val="nil"/>
              <w:left w:val="nil"/>
              <w:bottom w:val="nil"/>
              <w:right w:val="single" w:sz="4" w:space="0" w:color="auto"/>
            </w:tcBorders>
            <w:noWrap/>
          </w:tcPr>
          <w:p w:rsidR="002075FC" w:rsidRPr="00006117" w:rsidRDefault="002075FC" w:rsidP="002075FC">
            <w:pPr>
              <w:spacing w:line="360" w:lineRule="auto"/>
              <w:jc w:val="both"/>
              <w:rPr>
                <w:color w:val="000000"/>
                <w:sz w:val="20"/>
                <w:szCs w:val="20"/>
              </w:rPr>
            </w:pPr>
            <w:r w:rsidRPr="00006117">
              <w:rPr>
                <w:color w:val="000000"/>
                <w:sz w:val="20"/>
                <w:szCs w:val="20"/>
              </w:rPr>
              <w:t>9.08</w:t>
            </w:r>
          </w:p>
        </w:tc>
      </w:tr>
      <w:tr w:rsidR="002075FC" w:rsidRPr="00006117" w:rsidTr="006F5BBC">
        <w:tc>
          <w:tcPr>
            <w:tcW w:w="1674" w:type="pct"/>
            <w:gridSpan w:val="2"/>
            <w:tcBorders>
              <w:top w:val="single" w:sz="4" w:space="0" w:color="auto"/>
              <w:left w:val="single" w:sz="4" w:space="0" w:color="auto"/>
              <w:bottom w:val="single" w:sz="4" w:space="0" w:color="auto"/>
              <w:right w:val="single" w:sz="4" w:space="0" w:color="000000"/>
            </w:tcBorders>
            <w:noWrap/>
          </w:tcPr>
          <w:p w:rsidR="002075FC" w:rsidRPr="00006117" w:rsidRDefault="002075FC" w:rsidP="002075FC">
            <w:pPr>
              <w:spacing w:line="360" w:lineRule="auto"/>
              <w:jc w:val="both"/>
              <w:rPr>
                <w:bCs/>
                <w:color w:val="000000"/>
                <w:sz w:val="20"/>
                <w:szCs w:val="20"/>
              </w:rPr>
            </w:pPr>
            <w:r w:rsidRPr="00006117">
              <w:rPr>
                <w:bCs/>
                <w:color w:val="000000"/>
                <w:sz w:val="20"/>
                <w:szCs w:val="20"/>
              </w:rPr>
              <w:t xml:space="preserve">P-value </w:t>
            </w:r>
            <w:r w:rsidRPr="00006117">
              <w:rPr>
                <w:bCs/>
                <w:color w:val="000000"/>
                <w:sz w:val="20"/>
                <w:szCs w:val="20"/>
              </w:rPr>
              <w:br/>
            </w:r>
            <w:proofErr w:type="spellStart"/>
            <w:r w:rsidRPr="00006117">
              <w:rPr>
                <w:bCs/>
                <w:color w:val="000000"/>
                <w:sz w:val="20"/>
                <w:szCs w:val="20"/>
              </w:rPr>
              <w:t>Dexmedetomidine</w:t>
            </w:r>
            <w:proofErr w:type="spellEnd"/>
            <w:r w:rsidRPr="00006117">
              <w:rPr>
                <w:bCs/>
                <w:color w:val="000000"/>
                <w:sz w:val="20"/>
                <w:szCs w:val="20"/>
              </w:rPr>
              <w:t xml:space="preserve"> vs.</w:t>
            </w:r>
            <w:r w:rsidRPr="00006117">
              <w:rPr>
                <w:bCs/>
                <w:color w:val="000000"/>
                <w:sz w:val="20"/>
                <w:szCs w:val="20"/>
              </w:rPr>
              <w:br/>
            </w:r>
            <w:proofErr w:type="spellStart"/>
            <w:r w:rsidRPr="00006117">
              <w:rPr>
                <w:bCs/>
                <w:color w:val="000000"/>
                <w:sz w:val="20"/>
                <w:szCs w:val="20"/>
              </w:rPr>
              <w:t>Pregablin</w:t>
            </w:r>
            <w:proofErr w:type="spellEnd"/>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0.27948</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0.00110</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0.24989</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0.03299</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0.23661</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0.12502</w:t>
            </w:r>
          </w:p>
        </w:tc>
        <w:tc>
          <w:tcPr>
            <w:tcW w:w="416" w:type="pct"/>
            <w:tcBorders>
              <w:top w:val="nil"/>
              <w:left w:val="nil"/>
              <w:bottom w:val="single" w:sz="4" w:space="0" w:color="auto"/>
              <w:right w:val="nil"/>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0.09386</w:t>
            </w:r>
          </w:p>
        </w:tc>
        <w:tc>
          <w:tcPr>
            <w:tcW w:w="416" w:type="pct"/>
            <w:tcBorders>
              <w:top w:val="nil"/>
              <w:left w:val="nil"/>
              <w:bottom w:val="single" w:sz="4" w:space="0" w:color="auto"/>
              <w:right w:val="single" w:sz="4" w:space="0" w:color="auto"/>
            </w:tcBorders>
            <w:noWrap/>
          </w:tcPr>
          <w:p w:rsidR="002075FC" w:rsidRPr="00006117" w:rsidRDefault="002075FC" w:rsidP="002075FC">
            <w:pPr>
              <w:spacing w:line="360" w:lineRule="auto"/>
              <w:jc w:val="both"/>
              <w:rPr>
                <w:color w:val="000000"/>
                <w:sz w:val="20"/>
                <w:szCs w:val="20"/>
              </w:rPr>
            </w:pPr>
            <w:r w:rsidRPr="00006117">
              <w:rPr>
                <w:color w:val="000000"/>
                <w:sz w:val="20"/>
                <w:szCs w:val="20"/>
              </w:rPr>
              <w:t>0.07667</w:t>
            </w:r>
          </w:p>
        </w:tc>
      </w:tr>
    </w:tbl>
    <w:p w:rsidR="002075FC" w:rsidRPr="00006117" w:rsidRDefault="002075FC" w:rsidP="002075FC">
      <w:pPr>
        <w:spacing w:line="360" w:lineRule="auto"/>
        <w:jc w:val="both"/>
        <w:rPr>
          <w:sz w:val="20"/>
          <w:szCs w:val="20"/>
        </w:rPr>
      </w:pPr>
    </w:p>
    <w:p w:rsidR="002075FC" w:rsidRPr="00006117" w:rsidRDefault="002075FC" w:rsidP="002075FC">
      <w:pPr>
        <w:spacing w:line="360" w:lineRule="auto"/>
        <w:jc w:val="both"/>
        <w:rPr>
          <w:sz w:val="20"/>
          <w:szCs w:val="20"/>
        </w:rPr>
      </w:pPr>
      <w:r w:rsidRPr="00006117">
        <w:rPr>
          <w:sz w:val="20"/>
          <w:szCs w:val="20"/>
        </w:rPr>
        <w:t xml:space="preserve">Table </w:t>
      </w:r>
      <w:proofErr w:type="gramStart"/>
      <w:r w:rsidRPr="00006117">
        <w:rPr>
          <w:sz w:val="20"/>
          <w:szCs w:val="20"/>
        </w:rPr>
        <w:t>5 :</w:t>
      </w:r>
      <w:proofErr w:type="gramEnd"/>
      <w:r w:rsidRPr="00006117">
        <w:rPr>
          <w:sz w:val="20"/>
          <w:szCs w:val="20"/>
        </w:rPr>
        <w:t xml:space="preserve"> Mean of Mean Arterial Pressure at the selected time intervals and their statistical comparison between two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1331"/>
        <w:gridCol w:w="859"/>
        <w:gridCol w:w="859"/>
        <w:gridCol w:w="859"/>
        <w:gridCol w:w="859"/>
        <w:gridCol w:w="859"/>
        <w:gridCol w:w="859"/>
        <w:gridCol w:w="859"/>
        <w:gridCol w:w="859"/>
      </w:tblGrid>
      <w:tr w:rsidR="002075FC" w:rsidRPr="00006117" w:rsidTr="006F5BBC">
        <w:tc>
          <w:tcPr>
            <w:tcW w:w="676" w:type="pct"/>
            <w:noWrap/>
          </w:tcPr>
          <w:p w:rsidR="002075FC" w:rsidRPr="00006117" w:rsidRDefault="002075FC" w:rsidP="002075FC">
            <w:pPr>
              <w:spacing w:line="360" w:lineRule="auto"/>
              <w:jc w:val="both"/>
              <w:rPr>
                <w:color w:val="000000"/>
                <w:sz w:val="20"/>
                <w:szCs w:val="20"/>
              </w:rPr>
            </w:pPr>
            <w:r w:rsidRPr="00006117">
              <w:rPr>
                <w:color w:val="000000"/>
                <w:sz w:val="20"/>
                <w:szCs w:val="20"/>
              </w:rPr>
              <w:t> </w:t>
            </w:r>
          </w:p>
        </w:tc>
        <w:tc>
          <w:tcPr>
            <w:tcW w:w="696"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 xml:space="preserve">Mean Arterial </w:t>
            </w:r>
            <w:r w:rsidRPr="00006117">
              <w:rPr>
                <w:bCs/>
                <w:color w:val="000000"/>
                <w:sz w:val="20"/>
                <w:szCs w:val="20"/>
              </w:rPr>
              <w:br/>
              <w:t>Pressure</w:t>
            </w:r>
          </w:p>
        </w:tc>
        <w:tc>
          <w:tcPr>
            <w:tcW w:w="449" w:type="pct"/>
            <w:noWrap/>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Preop</w:t>
            </w:r>
            <w:proofErr w:type="spellEnd"/>
          </w:p>
        </w:tc>
        <w:tc>
          <w:tcPr>
            <w:tcW w:w="449" w:type="pct"/>
            <w:noWrap/>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Preind</w:t>
            </w:r>
            <w:proofErr w:type="spellEnd"/>
          </w:p>
        </w:tc>
        <w:tc>
          <w:tcPr>
            <w:tcW w:w="449"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0min</w:t>
            </w:r>
          </w:p>
        </w:tc>
        <w:tc>
          <w:tcPr>
            <w:tcW w:w="449"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1min</w:t>
            </w:r>
          </w:p>
        </w:tc>
        <w:tc>
          <w:tcPr>
            <w:tcW w:w="449"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2min</w:t>
            </w:r>
          </w:p>
        </w:tc>
        <w:tc>
          <w:tcPr>
            <w:tcW w:w="456"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3min</w:t>
            </w:r>
          </w:p>
        </w:tc>
        <w:tc>
          <w:tcPr>
            <w:tcW w:w="449"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4min</w:t>
            </w:r>
          </w:p>
        </w:tc>
        <w:tc>
          <w:tcPr>
            <w:tcW w:w="479" w:type="pct"/>
            <w:noWrap/>
          </w:tcPr>
          <w:p w:rsidR="002075FC" w:rsidRPr="00006117" w:rsidRDefault="002075FC" w:rsidP="002075FC">
            <w:pPr>
              <w:spacing w:line="360" w:lineRule="auto"/>
              <w:jc w:val="both"/>
              <w:rPr>
                <w:bCs/>
                <w:color w:val="000000"/>
                <w:sz w:val="20"/>
                <w:szCs w:val="20"/>
              </w:rPr>
            </w:pPr>
            <w:r w:rsidRPr="00006117">
              <w:rPr>
                <w:bCs/>
                <w:color w:val="000000"/>
                <w:sz w:val="20"/>
                <w:szCs w:val="20"/>
              </w:rPr>
              <w:t>5min</w:t>
            </w:r>
          </w:p>
        </w:tc>
      </w:tr>
      <w:tr w:rsidR="002075FC" w:rsidRPr="00006117" w:rsidTr="006F5BBC">
        <w:tc>
          <w:tcPr>
            <w:tcW w:w="676" w:type="pct"/>
            <w:vMerge w:val="restart"/>
            <w:shd w:val="clear" w:color="auto" w:fill="auto"/>
            <w:vAlign w:val="center"/>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Dexmede-tomidine</w:t>
            </w:r>
            <w:proofErr w:type="spellEnd"/>
          </w:p>
        </w:tc>
        <w:tc>
          <w:tcPr>
            <w:tcW w:w="696" w:type="pct"/>
            <w:noWrap/>
            <w:vAlign w:val="center"/>
          </w:tcPr>
          <w:p w:rsidR="002075FC" w:rsidRPr="00006117" w:rsidRDefault="002075FC" w:rsidP="002075FC">
            <w:pPr>
              <w:spacing w:line="360" w:lineRule="auto"/>
              <w:jc w:val="both"/>
              <w:rPr>
                <w:bCs/>
                <w:color w:val="000000"/>
                <w:sz w:val="20"/>
                <w:szCs w:val="20"/>
              </w:rPr>
            </w:pPr>
            <w:r w:rsidRPr="00006117">
              <w:rPr>
                <w:bCs/>
                <w:color w:val="000000"/>
                <w:sz w:val="20"/>
                <w:szCs w:val="20"/>
              </w:rPr>
              <w:t>Mean</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95.86</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84.17</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106.20</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113.80</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107.02</w:t>
            </w:r>
          </w:p>
        </w:tc>
        <w:tc>
          <w:tcPr>
            <w:tcW w:w="456" w:type="pct"/>
            <w:noWrap/>
          </w:tcPr>
          <w:p w:rsidR="002075FC" w:rsidRPr="00006117" w:rsidRDefault="002075FC" w:rsidP="002075FC">
            <w:pPr>
              <w:spacing w:line="360" w:lineRule="auto"/>
              <w:jc w:val="both"/>
              <w:rPr>
                <w:color w:val="000000"/>
                <w:sz w:val="20"/>
                <w:szCs w:val="20"/>
              </w:rPr>
            </w:pPr>
            <w:r w:rsidRPr="00006117">
              <w:rPr>
                <w:color w:val="000000"/>
                <w:sz w:val="20"/>
                <w:szCs w:val="20"/>
              </w:rPr>
              <w:t>100.32</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92.81</w:t>
            </w:r>
          </w:p>
        </w:tc>
        <w:tc>
          <w:tcPr>
            <w:tcW w:w="479" w:type="pct"/>
            <w:noWrap/>
          </w:tcPr>
          <w:p w:rsidR="002075FC" w:rsidRPr="00006117" w:rsidRDefault="002075FC" w:rsidP="002075FC">
            <w:pPr>
              <w:spacing w:line="360" w:lineRule="auto"/>
              <w:jc w:val="both"/>
              <w:rPr>
                <w:color w:val="000000"/>
                <w:sz w:val="20"/>
                <w:szCs w:val="20"/>
              </w:rPr>
            </w:pPr>
            <w:r w:rsidRPr="00006117">
              <w:rPr>
                <w:color w:val="000000"/>
                <w:sz w:val="20"/>
                <w:szCs w:val="20"/>
              </w:rPr>
              <w:t>90.00</w:t>
            </w:r>
          </w:p>
        </w:tc>
      </w:tr>
      <w:tr w:rsidR="002075FC" w:rsidRPr="00006117" w:rsidTr="006F5BBC">
        <w:tc>
          <w:tcPr>
            <w:tcW w:w="676" w:type="pct"/>
            <w:vMerge/>
            <w:vAlign w:val="center"/>
          </w:tcPr>
          <w:p w:rsidR="002075FC" w:rsidRPr="00006117" w:rsidRDefault="002075FC" w:rsidP="002075FC">
            <w:pPr>
              <w:spacing w:line="360" w:lineRule="auto"/>
              <w:jc w:val="both"/>
              <w:rPr>
                <w:bCs/>
                <w:color w:val="000000"/>
                <w:sz w:val="20"/>
                <w:szCs w:val="20"/>
              </w:rPr>
            </w:pPr>
          </w:p>
        </w:tc>
        <w:tc>
          <w:tcPr>
            <w:tcW w:w="696" w:type="pct"/>
            <w:noWrap/>
            <w:vAlign w:val="center"/>
          </w:tcPr>
          <w:p w:rsidR="002075FC" w:rsidRPr="00006117" w:rsidRDefault="002075FC" w:rsidP="002075FC">
            <w:pPr>
              <w:spacing w:line="360" w:lineRule="auto"/>
              <w:jc w:val="both"/>
              <w:rPr>
                <w:bCs/>
                <w:color w:val="000000"/>
                <w:sz w:val="20"/>
                <w:szCs w:val="20"/>
              </w:rPr>
            </w:pPr>
            <w:r w:rsidRPr="00006117">
              <w:rPr>
                <w:bCs/>
                <w:color w:val="000000"/>
                <w:sz w:val="20"/>
                <w:szCs w:val="20"/>
              </w:rPr>
              <w:t>SD</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9.47</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13.29</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21.85</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14.35</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13.29</w:t>
            </w:r>
          </w:p>
        </w:tc>
        <w:tc>
          <w:tcPr>
            <w:tcW w:w="456" w:type="pct"/>
            <w:noWrap/>
          </w:tcPr>
          <w:p w:rsidR="002075FC" w:rsidRPr="00006117" w:rsidRDefault="002075FC" w:rsidP="002075FC">
            <w:pPr>
              <w:spacing w:line="360" w:lineRule="auto"/>
              <w:jc w:val="both"/>
              <w:rPr>
                <w:color w:val="000000"/>
                <w:sz w:val="20"/>
                <w:szCs w:val="20"/>
              </w:rPr>
            </w:pPr>
            <w:r w:rsidRPr="00006117">
              <w:rPr>
                <w:color w:val="000000"/>
                <w:sz w:val="20"/>
                <w:szCs w:val="20"/>
              </w:rPr>
              <w:t>12.32</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13.61</w:t>
            </w:r>
          </w:p>
        </w:tc>
        <w:tc>
          <w:tcPr>
            <w:tcW w:w="479" w:type="pct"/>
            <w:noWrap/>
          </w:tcPr>
          <w:p w:rsidR="002075FC" w:rsidRPr="00006117" w:rsidRDefault="002075FC" w:rsidP="002075FC">
            <w:pPr>
              <w:spacing w:line="360" w:lineRule="auto"/>
              <w:jc w:val="both"/>
              <w:rPr>
                <w:color w:val="000000"/>
                <w:sz w:val="20"/>
                <w:szCs w:val="20"/>
              </w:rPr>
            </w:pPr>
            <w:r w:rsidRPr="00006117">
              <w:rPr>
                <w:color w:val="000000"/>
                <w:sz w:val="20"/>
                <w:szCs w:val="20"/>
              </w:rPr>
              <w:t>13.85</w:t>
            </w:r>
          </w:p>
        </w:tc>
      </w:tr>
      <w:tr w:rsidR="002075FC" w:rsidRPr="00006117" w:rsidTr="006F5BBC">
        <w:tc>
          <w:tcPr>
            <w:tcW w:w="676" w:type="pct"/>
            <w:vMerge w:val="restart"/>
            <w:noWrap/>
            <w:vAlign w:val="center"/>
          </w:tcPr>
          <w:p w:rsidR="002075FC" w:rsidRPr="00006117" w:rsidRDefault="002075FC" w:rsidP="002075FC">
            <w:pPr>
              <w:spacing w:line="360" w:lineRule="auto"/>
              <w:jc w:val="both"/>
              <w:rPr>
                <w:bCs/>
                <w:color w:val="000000"/>
                <w:sz w:val="20"/>
                <w:szCs w:val="20"/>
              </w:rPr>
            </w:pPr>
            <w:proofErr w:type="spellStart"/>
            <w:r w:rsidRPr="00006117">
              <w:rPr>
                <w:bCs/>
                <w:color w:val="000000"/>
                <w:sz w:val="20"/>
                <w:szCs w:val="20"/>
              </w:rPr>
              <w:t>Pregablin</w:t>
            </w:r>
            <w:proofErr w:type="spellEnd"/>
          </w:p>
        </w:tc>
        <w:tc>
          <w:tcPr>
            <w:tcW w:w="696" w:type="pct"/>
            <w:noWrap/>
            <w:vAlign w:val="center"/>
          </w:tcPr>
          <w:p w:rsidR="002075FC" w:rsidRPr="00006117" w:rsidRDefault="002075FC" w:rsidP="002075FC">
            <w:pPr>
              <w:spacing w:line="360" w:lineRule="auto"/>
              <w:jc w:val="both"/>
              <w:rPr>
                <w:bCs/>
                <w:color w:val="000000"/>
                <w:sz w:val="20"/>
                <w:szCs w:val="20"/>
              </w:rPr>
            </w:pPr>
            <w:r w:rsidRPr="00006117">
              <w:rPr>
                <w:bCs/>
                <w:color w:val="000000"/>
                <w:sz w:val="20"/>
                <w:szCs w:val="20"/>
              </w:rPr>
              <w:t>Mean</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94.33</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93.91</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109.80</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123.66</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111.36</w:t>
            </w:r>
          </w:p>
        </w:tc>
        <w:tc>
          <w:tcPr>
            <w:tcW w:w="456" w:type="pct"/>
            <w:noWrap/>
          </w:tcPr>
          <w:p w:rsidR="002075FC" w:rsidRPr="00006117" w:rsidRDefault="002075FC" w:rsidP="002075FC">
            <w:pPr>
              <w:spacing w:line="360" w:lineRule="auto"/>
              <w:jc w:val="both"/>
              <w:rPr>
                <w:color w:val="000000"/>
                <w:sz w:val="20"/>
                <w:szCs w:val="20"/>
              </w:rPr>
            </w:pPr>
            <w:r w:rsidRPr="00006117">
              <w:rPr>
                <w:color w:val="000000"/>
                <w:sz w:val="20"/>
                <w:szCs w:val="20"/>
              </w:rPr>
              <w:t>105.01</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98.06</w:t>
            </w:r>
          </w:p>
        </w:tc>
        <w:tc>
          <w:tcPr>
            <w:tcW w:w="479" w:type="pct"/>
            <w:noWrap/>
          </w:tcPr>
          <w:p w:rsidR="002075FC" w:rsidRPr="00006117" w:rsidRDefault="002075FC" w:rsidP="002075FC">
            <w:pPr>
              <w:spacing w:line="360" w:lineRule="auto"/>
              <w:jc w:val="both"/>
              <w:rPr>
                <w:color w:val="000000"/>
                <w:sz w:val="20"/>
                <w:szCs w:val="20"/>
              </w:rPr>
            </w:pPr>
            <w:r w:rsidRPr="00006117">
              <w:rPr>
                <w:color w:val="000000"/>
                <w:sz w:val="20"/>
                <w:szCs w:val="20"/>
              </w:rPr>
              <w:t>94.42</w:t>
            </w:r>
          </w:p>
        </w:tc>
      </w:tr>
      <w:tr w:rsidR="002075FC" w:rsidRPr="00006117" w:rsidTr="006F5BBC">
        <w:tc>
          <w:tcPr>
            <w:tcW w:w="676" w:type="pct"/>
            <w:vMerge/>
            <w:vAlign w:val="center"/>
          </w:tcPr>
          <w:p w:rsidR="002075FC" w:rsidRPr="00006117" w:rsidRDefault="002075FC" w:rsidP="002075FC">
            <w:pPr>
              <w:spacing w:line="360" w:lineRule="auto"/>
              <w:jc w:val="both"/>
              <w:rPr>
                <w:bCs/>
                <w:color w:val="000000"/>
                <w:sz w:val="20"/>
                <w:szCs w:val="20"/>
              </w:rPr>
            </w:pPr>
          </w:p>
        </w:tc>
        <w:tc>
          <w:tcPr>
            <w:tcW w:w="696" w:type="pct"/>
            <w:noWrap/>
            <w:vAlign w:val="center"/>
          </w:tcPr>
          <w:p w:rsidR="002075FC" w:rsidRPr="00006117" w:rsidRDefault="002075FC" w:rsidP="002075FC">
            <w:pPr>
              <w:spacing w:line="360" w:lineRule="auto"/>
              <w:jc w:val="both"/>
              <w:rPr>
                <w:bCs/>
                <w:color w:val="000000"/>
                <w:sz w:val="20"/>
                <w:szCs w:val="20"/>
              </w:rPr>
            </w:pPr>
            <w:r w:rsidRPr="00006117">
              <w:rPr>
                <w:bCs/>
                <w:color w:val="000000"/>
                <w:sz w:val="20"/>
                <w:szCs w:val="20"/>
              </w:rPr>
              <w:t>SD</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9.57</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8.72</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11.19</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14.31</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16.33</w:t>
            </w:r>
          </w:p>
        </w:tc>
        <w:tc>
          <w:tcPr>
            <w:tcW w:w="456" w:type="pct"/>
            <w:noWrap/>
          </w:tcPr>
          <w:p w:rsidR="002075FC" w:rsidRPr="00006117" w:rsidRDefault="002075FC" w:rsidP="002075FC">
            <w:pPr>
              <w:spacing w:line="360" w:lineRule="auto"/>
              <w:jc w:val="both"/>
              <w:rPr>
                <w:color w:val="000000"/>
                <w:sz w:val="20"/>
                <w:szCs w:val="20"/>
              </w:rPr>
            </w:pPr>
            <w:r w:rsidRPr="00006117">
              <w:rPr>
                <w:color w:val="000000"/>
                <w:sz w:val="20"/>
                <w:szCs w:val="20"/>
              </w:rPr>
              <w:t>12.35</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10.56</w:t>
            </w:r>
          </w:p>
        </w:tc>
        <w:tc>
          <w:tcPr>
            <w:tcW w:w="479" w:type="pct"/>
            <w:noWrap/>
          </w:tcPr>
          <w:p w:rsidR="002075FC" w:rsidRPr="00006117" w:rsidRDefault="002075FC" w:rsidP="002075FC">
            <w:pPr>
              <w:spacing w:line="360" w:lineRule="auto"/>
              <w:jc w:val="both"/>
              <w:rPr>
                <w:color w:val="000000"/>
                <w:sz w:val="20"/>
                <w:szCs w:val="20"/>
              </w:rPr>
            </w:pPr>
            <w:r w:rsidRPr="00006117">
              <w:rPr>
                <w:color w:val="000000"/>
                <w:sz w:val="20"/>
                <w:szCs w:val="20"/>
              </w:rPr>
              <w:t>10.67</w:t>
            </w:r>
          </w:p>
        </w:tc>
      </w:tr>
      <w:tr w:rsidR="002075FC" w:rsidRPr="00006117" w:rsidTr="006F5BBC">
        <w:tc>
          <w:tcPr>
            <w:tcW w:w="1372" w:type="pct"/>
            <w:gridSpan w:val="2"/>
            <w:noWrap/>
          </w:tcPr>
          <w:p w:rsidR="002075FC" w:rsidRPr="00006117" w:rsidRDefault="002075FC" w:rsidP="002075FC">
            <w:pPr>
              <w:spacing w:line="360" w:lineRule="auto"/>
              <w:jc w:val="both"/>
              <w:rPr>
                <w:bCs/>
                <w:color w:val="000000"/>
                <w:sz w:val="20"/>
                <w:szCs w:val="20"/>
              </w:rPr>
            </w:pPr>
            <w:r w:rsidRPr="00006117">
              <w:rPr>
                <w:bCs/>
                <w:color w:val="000000"/>
                <w:sz w:val="20"/>
                <w:szCs w:val="20"/>
              </w:rPr>
              <w:t xml:space="preserve">P-value </w:t>
            </w:r>
            <w:proofErr w:type="spellStart"/>
            <w:r w:rsidRPr="00006117">
              <w:rPr>
                <w:bCs/>
                <w:color w:val="000000"/>
                <w:sz w:val="20"/>
                <w:szCs w:val="20"/>
              </w:rPr>
              <w:t>Dexmedetomidine</w:t>
            </w:r>
            <w:proofErr w:type="spellEnd"/>
            <w:r w:rsidRPr="00006117">
              <w:rPr>
                <w:bCs/>
                <w:color w:val="000000"/>
                <w:sz w:val="20"/>
                <w:szCs w:val="20"/>
              </w:rPr>
              <w:t xml:space="preserve"> </w:t>
            </w:r>
          </w:p>
          <w:p w:rsidR="002075FC" w:rsidRPr="00006117" w:rsidRDefault="002075FC" w:rsidP="002075FC">
            <w:pPr>
              <w:spacing w:line="360" w:lineRule="auto"/>
              <w:jc w:val="both"/>
              <w:rPr>
                <w:bCs/>
                <w:color w:val="000000"/>
                <w:sz w:val="20"/>
                <w:szCs w:val="20"/>
              </w:rPr>
            </w:pPr>
            <w:r w:rsidRPr="00006117">
              <w:rPr>
                <w:bCs/>
                <w:color w:val="000000"/>
                <w:sz w:val="20"/>
                <w:szCs w:val="20"/>
              </w:rPr>
              <w:t xml:space="preserve">             </w:t>
            </w:r>
            <w:proofErr w:type="spellStart"/>
            <w:r w:rsidRPr="00006117">
              <w:rPr>
                <w:bCs/>
                <w:color w:val="000000"/>
                <w:sz w:val="20"/>
                <w:szCs w:val="20"/>
              </w:rPr>
              <w:t>vs.Pregablin</w:t>
            </w:r>
            <w:proofErr w:type="spellEnd"/>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0.26910</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0.00070</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0.21255</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0.00500</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0.13214</w:t>
            </w:r>
          </w:p>
        </w:tc>
        <w:tc>
          <w:tcPr>
            <w:tcW w:w="456" w:type="pct"/>
            <w:noWrap/>
          </w:tcPr>
          <w:p w:rsidR="002075FC" w:rsidRPr="00006117" w:rsidRDefault="002075FC" w:rsidP="002075FC">
            <w:pPr>
              <w:spacing w:line="360" w:lineRule="auto"/>
              <w:jc w:val="both"/>
              <w:rPr>
                <w:color w:val="000000"/>
                <w:sz w:val="20"/>
                <w:szCs w:val="20"/>
              </w:rPr>
            </w:pPr>
            <w:r w:rsidRPr="00006117">
              <w:rPr>
                <w:color w:val="000000"/>
                <w:sz w:val="20"/>
                <w:szCs w:val="20"/>
              </w:rPr>
              <w:t>0.07314</w:t>
            </w:r>
          </w:p>
        </w:tc>
        <w:tc>
          <w:tcPr>
            <w:tcW w:w="449" w:type="pct"/>
            <w:noWrap/>
          </w:tcPr>
          <w:p w:rsidR="002075FC" w:rsidRPr="00006117" w:rsidRDefault="002075FC" w:rsidP="002075FC">
            <w:pPr>
              <w:spacing w:line="360" w:lineRule="auto"/>
              <w:jc w:val="both"/>
              <w:rPr>
                <w:color w:val="000000"/>
                <w:sz w:val="20"/>
                <w:szCs w:val="20"/>
              </w:rPr>
            </w:pPr>
            <w:r w:rsidRPr="00006117">
              <w:rPr>
                <w:color w:val="000000"/>
                <w:sz w:val="20"/>
                <w:szCs w:val="20"/>
              </w:rPr>
              <w:t>0.05042</w:t>
            </w:r>
          </w:p>
        </w:tc>
        <w:tc>
          <w:tcPr>
            <w:tcW w:w="479" w:type="pct"/>
            <w:noWrap/>
          </w:tcPr>
          <w:p w:rsidR="002075FC" w:rsidRPr="00006117" w:rsidRDefault="002075FC" w:rsidP="002075FC">
            <w:pPr>
              <w:spacing w:line="360" w:lineRule="auto"/>
              <w:jc w:val="both"/>
              <w:rPr>
                <w:color w:val="000000"/>
                <w:sz w:val="20"/>
                <w:szCs w:val="20"/>
              </w:rPr>
            </w:pPr>
            <w:r w:rsidRPr="00006117">
              <w:rPr>
                <w:color w:val="000000"/>
                <w:sz w:val="20"/>
                <w:szCs w:val="20"/>
              </w:rPr>
              <w:t>0.08563</w:t>
            </w:r>
          </w:p>
        </w:tc>
      </w:tr>
    </w:tbl>
    <w:p w:rsidR="002075FC" w:rsidRPr="00006117" w:rsidRDefault="002075FC" w:rsidP="002075FC">
      <w:pPr>
        <w:spacing w:line="360" w:lineRule="auto"/>
        <w:jc w:val="both"/>
        <w:rPr>
          <w:sz w:val="20"/>
          <w:szCs w:val="20"/>
        </w:rPr>
      </w:pPr>
    </w:p>
    <w:p w:rsidR="002075FC" w:rsidRPr="00006117" w:rsidRDefault="002075FC" w:rsidP="002075FC">
      <w:pPr>
        <w:spacing w:line="360" w:lineRule="auto"/>
        <w:jc w:val="both"/>
        <w:rPr>
          <w:sz w:val="20"/>
          <w:szCs w:val="20"/>
        </w:rPr>
      </w:pPr>
    </w:p>
    <w:p w:rsidR="002075FC" w:rsidRPr="002075FC" w:rsidRDefault="002075FC" w:rsidP="002075FC">
      <w:pPr>
        <w:spacing w:line="360" w:lineRule="auto"/>
        <w:jc w:val="both"/>
        <w:rPr>
          <w:sz w:val="20"/>
          <w:szCs w:val="20"/>
        </w:rPr>
      </w:pPr>
    </w:p>
    <w:p w:rsidR="002075FC" w:rsidRPr="002075FC" w:rsidRDefault="002075FC" w:rsidP="002075FC">
      <w:pPr>
        <w:spacing w:line="360" w:lineRule="auto"/>
        <w:jc w:val="both"/>
        <w:rPr>
          <w:b/>
          <w:sz w:val="20"/>
          <w:szCs w:val="20"/>
        </w:rPr>
      </w:pPr>
    </w:p>
    <w:p w:rsidR="002075FC" w:rsidRPr="002075FC" w:rsidRDefault="002075FC" w:rsidP="002075FC">
      <w:pPr>
        <w:spacing w:line="360" w:lineRule="auto"/>
        <w:jc w:val="both"/>
        <w:rPr>
          <w:b/>
          <w:sz w:val="20"/>
          <w:szCs w:val="20"/>
        </w:rPr>
      </w:pPr>
    </w:p>
    <w:p w:rsidR="002075FC" w:rsidRDefault="002075FC" w:rsidP="002075FC">
      <w:pPr>
        <w:spacing w:line="360" w:lineRule="auto"/>
        <w:jc w:val="both"/>
        <w:rPr>
          <w:b/>
          <w:sz w:val="20"/>
          <w:szCs w:val="20"/>
        </w:rPr>
      </w:pPr>
    </w:p>
    <w:p w:rsidR="00006117" w:rsidRPr="002075FC" w:rsidRDefault="00006117" w:rsidP="002075FC">
      <w:pPr>
        <w:spacing w:line="360" w:lineRule="auto"/>
        <w:jc w:val="both"/>
        <w:rPr>
          <w:b/>
          <w:sz w:val="20"/>
          <w:szCs w:val="20"/>
        </w:rPr>
      </w:pPr>
    </w:p>
    <w:p w:rsidR="00E87DB7" w:rsidRPr="002075FC" w:rsidRDefault="00E87DB7" w:rsidP="002075FC">
      <w:pPr>
        <w:spacing w:line="360" w:lineRule="auto"/>
        <w:jc w:val="both"/>
        <w:rPr>
          <w:sz w:val="20"/>
          <w:szCs w:val="20"/>
        </w:rPr>
      </w:pPr>
      <w:r w:rsidRPr="002075FC">
        <w:rPr>
          <w:b/>
          <w:sz w:val="20"/>
          <w:szCs w:val="20"/>
        </w:rPr>
        <w:lastRenderedPageBreak/>
        <w:t>D</w:t>
      </w:r>
      <w:r w:rsidR="00006117" w:rsidRPr="002075FC">
        <w:rPr>
          <w:b/>
          <w:sz w:val="20"/>
          <w:szCs w:val="20"/>
        </w:rPr>
        <w:t>iscussion</w:t>
      </w:r>
    </w:p>
    <w:p w:rsidR="00E87DB7" w:rsidRPr="002075FC" w:rsidRDefault="00E87DB7" w:rsidP="002075FC">
      <w:pPr>
        <w:spacing w:line="360" w:lineRule="auto"/>
        <w:jc w:val="both"/>
        <w:rPr>
          <w:sz w:val="20"/>
          <w:szCs w:val="20"/>
        </w:rPr>
      </w:pPr>
      <w:r w:rsidRPr="002075FC">
        <w:rPr>
          <w:sz w:val="20"/>
          <w:szCs w:val="20"/>
        </w:rPr>
        <w:t xml:space="preserve">The present study was undertaken to assess the role of intravenous </w:t>
      </w:r>
      <w:proofErr w:type="spellStart"/>
      <w:r w:rsidRPr="002075FC">
        <w:rPr>
          <w:sz w:val="20"/>
          <w:szCs w:val="20"/>
        </w:rPr>
        <w:t>Dexmedetomidine</w:t>
      </w:r>
      <w:proofErr w:type="spellEnd"/>
      <w:r w:rsidRPr="002075FC">
        <w:rPr>
          <w:sz w:val="20"/>
          <w:szCs w:val="20"/>
        </w:rPr>
        <w:t xml:space="preserve"> and oral </w:t>
      </w:r>
      <w:proofErr w:type="spellStart"/>
      <w:r w:rsidRPr="002075FC">
        <w:rPr>
          <w:sz w:val="20"/>
          <w:szCs w:val="20"/>
        </w:rPr>
        <w:t>Pregabalin</w:t>
      </w:r>
      <w:proofErr w:type="spellEnd"/>
      <w:r w:rsidRPr="002075FC">
        <w:rPr>
          <w:sz w:val="20"/>
          <w:szCs w:val="20"/>
        </w:rPr>
        <w:t xml:space="preserve"> in attenuating the </w:t>
      </w:r>
      <w:proofErr w:type="spellStart"/>
      <w:r w:rsidRPr="002075FC">
        <w:rPr>
          <w:sz w:val="20"/>
          <w:szCs w:val="20"/>
        </w:rPr>
        <w:t>pressor</w:t>
      </w:r>
      <w:proofErr w:type="spellEnd"/>
      <w:r w:rsidRPr="002075FC">
        <w:rPr>
          <w:sz w:val="20"/>
          <w:szCs w:val="20"/>
        </w:rPr>
        <w:t xml:space="preserve"> response to laryngoscopy </w:t>
      </w:r>
      <w:r w:rsidR="003D2010" w:rsidRPr="002075FC">
        <w:rPr>
          <w:sz w:val="20"/>
          <w:szCs w:val="20"/>
        </w:rPr>
        <w:t xml:space="preserve">and intubation. The significant attenuation of hemodynamic </w:t>
      </w:r>
      <w:proofErr w:type="spellStart"/>
      <w:proofErr w:type="gramStart"/>
      <w:r w:rsidR="003D2010" w:rsidRPr="002075FC">
        <w:rPr>
          <w:sz w:val="20"/>
          <w:szCs w:val="20"/>
        </w:rPr>
        <w:t>presso</w:t>
      </w:r>
      <w:r w:rsidR="005B5EDA" w:rsidRPr="002075FC">
        <w:rPr>
          <w:sz w:val="20"/>
          <w:szCs w:val="20"/>
        </w:rPr>
        <w:t>r</w:t>
      </w:r>
      <w:proofErr w:type="spellEnd"/>
      <w:r w:rsidR="005B5EDA" w:rsidRPr="002075FC">
        <w:rPr>
          <w:sz w:val="20"/>
          <w:szCs w:val="20"/>
        </w:rPr>
        <w:t xml:space="preserve">  response</w:t>
      </w:r>
      <w:proofErr w:type="gramEnd"/>
      <w:r w:rsidR="005B5EDA" w:rsidRPr="002075FC">
        <w:rPr>
          <w:sz w:val="20"/>
          <w:szCs w:val="20"/>
        </w:rPr>
        <w:t xml:space="preserve"> was observed in</w:t>
      </w:r>
      <w:r w:rsidR="003D2010" w:rsidRPr="002075FC">
        <w:rPr>
          <w:sz w:val="20"/>
          <w:szCs w:val="20"/>
        </w:rPr>
        <w:t xml:space="preserve"> intravenous </w:t>
      </w:r>
      <w:proofErr w:type="spellStart"/>
      <w:r w:rsidR="003D2010" w:rsidRPr="002075FC">
        <w:rPr>
          <w:sz w:val="20"/>
          <w:szCs w:val="20"/>
        </w:rPr>
        <w:t>Dexmedetomidine</w:t>
      </w:r>
      <w:proofErr w:type="spellEnd"/>
      <w:r w:rsidR="003D2010" w:rsidRPr="002075FC">
        <w:rPr>
          <w:sz w:val="20"/>
          <w:szCs w:val="20"/>
        </w:rPr>
        <w:t xml:space="preserve"> </w:t>
      </w:r>
      <w:r w:rsidR="005B5EDA" w:rsidRPr="002075FC">
        <w:rPr>
          <w:sz w:val="20"/>
          <w:szCs w:val="20"/>
        </w:rPr>
        <w:t xml:space="preserve">group </w:t>
      </w:r>
      <w:r w:rsidR="003D2010" w:rsidRPr="002075FC">
        <w:rPr>
          <w:sz w:val="20"/>
          <w:szCs w:val="20"/>
        </w:rPr>
        <w:t xml:space="preserve">as compared to oral </w:t>
      </w:r>
      <w:proofErr w:type="spellStart"/>
      <w:r w:rsidR="003D2010" w:rsidRPr="002075FC">
        <w:rPr>
          <w:sz w:val="20"/>
          <w:szCs w:val="20"/>
        </w:rPr>
        <w:t>Pregabalin</w:t>
      </w:r>
      <w:proofErr w:type="spellEnd"/>
      <w:r w:rsidR="003D2010" w:rsidRPr="002075FC">
        <w:rPr>
          <w:sz w:val="20"/>
          <w:szCs w:val="20"/>
        </w:rPr>
        <w:t>.</w:t>
      </w:r>
    </w:p>
    <w:p w:rsidR="00E87DB7" w:rsidRPr="002075FC" w:rsidRDefault="00E87DB7" w:rsidP="002075FC">
      <w:pPr>
        <w:spacing w:line="360" w:lineRule="auto"/>
        <w:jc w:val="both"/>
        <w:rPr>
          <w:color w:val="000000"/>
          <w:sz w:val="20"/>
          <w:szCs w:val="20"/>
        </w:rPr>
      </w:pPr>
      <w:proofErr w:type="spellStart"/>
      <w:r w:rsidRPr="002075FC">
        <w:rPr>
          <w:sz w:val="20"/>
          <w:szCs w:val="20"/>
        </w:rPr>
        <w:t>Jakola</w:t>
      </w:r>
      <w:proofErr w:type="spellEnd"/>
      <w:r w:rsidRPr="002075FC">
        <w:rPr>
          <w:sz w:val="20"/>
          <w:szCs w:val="20"/>
        </w:rPr>
        <w:t xml:space="preserve"> ML, </w:t>
      </w:r>
      <w:proofErr w:type="gramStart"/>
      <w:r w:rsidRPr="002075FC">
        <w:rPr>
          <w:sz w:val="20"/>
          <w:szCs w:val="20"/>
        </w:rPr>
        <w:t>et</w:t>
      </w:r>
      <w:proofErr w:type="gramEnd"/>
      <w:r w:rsidRPr="002075FC">
        <w:rPr>
          <w:sz w:val="20"/>
          <w:szCs w:val="20"/>
        </w:rPr>
        <w:t xml:space="preserve"> al</w:t>
      </w:r>
      <w:r w:rsidR="00C044B0" w:rsidRPr="002075FC">
        <w:rPr>
          <w:sz w:val="20"/>
          <w:szCs w:val="20"/>
          <w:vertAlign w:val="superscript"/>
        </w:rPr>
        <w:t>9</w:t>
      </w:r>
      <w:r w:rsidRPr="002075FC">
        <w:rPr>
          <w:sz w:val="20"/>
          <w:szCs w:val="20"/>
        </w:rPr>
        <w:t xml:space="preserve"> found that the maximal blood pressure and heart rate in the group which had received 0.6 </w:t>
      </w:r>
      <w:proofErr w:type="spellStart"/>
      <w:r w:rsidRPr="002075FC">
        <w:rPr>
          <w:sz w:val="20"/>
          <w:szCs w:val="20"/>
        </w:rPr>
        <w:t>μg</w:t>
      </w:r>
      <w:proofErr w:type="spellEnd"/>
      <w:r w:rsidRPr="002075FC">
        <w:rPr>
          <w:sz w:val="20"/>
          <w:szCs w:val="20"/>
        </w:rPr>
        <w:t xml:space="preserve">/kg of </w:t>
      </w:r>
      <w:proofErr w:type="spellStart"/>
      <w:r w:rsidRPr="002075FC">
        <w:rPr>
          <w:sz w:val="20"/>
          <w:szCs w:val="20"/>
        </w:rPr>
        <w:t>dexmedetomidine</w:t>
      </w:r>
      <w:proofErr w:type="spellEnd"/>
      <w:r w:rsidRPr="002075FC">
        <w:rPr>
          <w:sz w:val="20"/>
          <w:szCs w:val="20"/>
        </w:rPr>
        <w:t xml:space="preserve"> before anaesthesia, were significantly lower than those of control group. </w:t>
      </w:r>
      <w:proofErr w:type="spellStart"/>
      <w:r w:rsidRPr="002075FC">
        <w:rPr>
          <w:sz w:val="20"/>
          <w:szCs w:val="20"/>
        </w:rPr>
        <w:t>Suparto</w:t>
      </w:r>
      <w:proofErr w:type="spellEnd"/>
      <w:r w:rsidRPr="002075FC">
        <w:rPr>
          <w:sz w:val="20"/>
          <w:szCs w:val="20"/>
        </w:rPr>
        <w:t xml:space="preserve"> </w:t>
      </w:r>
      <w:proofErr w:type="gramStart"/>
      <w:r w:rsidRPr="002075FC">
        <w:rPr>
          <w:sz w:val="20"/>
          <w:szCs w:val="20"/>
        </w:rPr>
        <w:t>et</w:t>
      </w:r>
      <w:proofErr w:type="gramEnd"/>
      <w:r w:rsidRPr="002075FC">
        <w:rPr>
          <w:sz w:val="20"/>
          <w:szCs w:val="20"/>
        </w:rPr>
        <w:t xml:space="preserve"> al</w:t>
      </w:r>
      <w:r w:rsidR="00DA6641" w:rsidRPr="002075FC">
        <w:rPr>
          <w:sz w:val="20"/>
          <w:szCs w:val="20"/>
          <w:vertAlign w:val="superscript"/>
        </w:rPr>
        <w:t>10</w:t>
      </w:r>
      <w:r w:rsidRPr="002075FC">
        <w:rPr>
          <w:sz w:val="20"/>
          <w:szCs w:val="20"/>
        </w:rPr>
        <w:t xml:space="preserve"> found that </w:t>
      </w:r>
      <w:proofErr w:type="spellStart"/>
      <w:r w:rsidRPr="002075FC">
        <w:rPr>
          <w:sz w:val="20"/>
          <w:szCs w:val="20"/>
        </w:rPr>
        <w:t>dexmedetomidine</w:t>
      </w:r>
      <w:proofErr w:type="spellEnd"/>
      <w:r w:rsidRPr="002075FC">
        <w:rPr>
          <w:sz w:val="20"/>
          <w:szCs w:val="20"/>
        </w:rPr>
        <w:t xml:space="preserve"> in dose of 1 </w:t>
      </w:r>
      <w:proofErr w:type="spellStart"/>
      <w:r w:rsidRPr="002075FC">
        <w:rPr>
          <w:sz w:val="20"/>
          <w:szCs w:val="20"/>
        </w:rPr>
        <w:t>μg</w:t>
      </w:r>
      <w:proofErr w:type="spellEnd"/>
      <w:r w:rsidRPr="002075FC">
        <w:rPr>
          <w:sz w:val="20"/>
          <w:szCs w:val="20"/>
        </w:rPr>
        <w:t xml:space="preserve"> / kg / </w:t>
      </w:r>
      <w:proofErr w:type="spellStart"/>
      <w:r w:rsidRPr="002075FC">
        <w:rPr>
          <w:sz w:val="20"/>
          <w:szCs w:val="20"/>
        </w:rPr>
        <w:t>hr</w:t>
      </w:r>
      <w:proofErr w:type="spellEnd"/>
      <w:r w:rsidRPr="002075FC">
        <w:rPr>
          <w:sz w:val="20"/>
          <w:szCs w:val="20"/>
        </w:rPr>
        <w:t xml:space="preserve">, attenuates </w:t>
      </w:r>
      <w:proofErr w:type="spellStart"/>
      <w:r w:rsidRPr="002075FC">
        <w:rPr>
          <w:sz w:val="20"/>
          <w:szCs w:val="20"/>
        </w:rPr>
        <w:t>pressor</w:t>
      </w:r>
      <w:proofErr w:type="spellEnd"/>
      <w:r w:rsidRPr="002075FC">
        <w:rPr>
          <w:sz w:val="20"/>
          <w:szCs w:val="20"/>
        </w:rPr>
        <w:t xml:space="preserve"> response to laryngoscopy and intubation but adverse events like </w:t>
      </w:r>
      <w:proofErr w:type="spellStart"/>
      <w:r w:rsidRPr="002075FC">
        <w:rPr>
          <w:sz w:val="20"/>
          <w:szCs w:val="20"/>
        </w:rPr>
        <w:t>bradycardia</w:t>
      </w:r>
      <w:proofErr w:type="spellEnd"/>
      <w:r w:rsidRPr="002075FC">
        <w:rPr>
          <w:sz w:val="20"/>
          <w:szCs w:val="20"/>
        </w:rPr>
        <w:t xml:space="preserve"> and hypotension were also noted in their study. Therefore they recommended a lower dose of </w:t>
      </w:r>
      <w:proofErr w:type="spellStart"/>
      <w:r w:rsidRPr="002075FC">
        <w:rPr>
          <w:sz w:val="20"/>
          <w:szCs w:val="20"/>
        </w:rPr>
        <w:t>dexmedetomidine</w:t>
      </w:r>
      <w:proofErr w:type="spellEnd"/>
      <w:r w:rsidRPr="002075FC">
        <w:rPr>
          <w:sz w:val="20"/>
          <w:szCs w:val="20"/>
        </w:rPr>
        <w:t xml:space="preserve"> to decrease the adverse effects. Hall et al</w:t>
      </w:r>
      <w:r w:rsidR="00DA6641" w:rsidRPr="002075FC">
        <w:rPr>
          <w:sz w:val="20"/>
          <w:szCs w:val="20"/>
          <w:vertAlign w:val="superscript"/>
        </w:rPr>
        <w:t>11</w:t>
      </w:r>
      <w:r w:rsidRPr="002075FC">
        <w:rPr>
          <w:sz w:val="20"/>
          <w:szCs w:val="20"/>
        </w:rPr>
        <w:t xml:space="preserve"> observed biphasic cardiovascular changes, where blood pressure initially decreased followed by a momentary rise in blood pressure</w:t>
      </w:r>
      <w:r w:rsidR="001E687D" w:rsidRPr="002075FC">
        <w:rPr>
          <w:sz w:val="20"/>
          <w:szCs w:val="20"/>
        </w:rPr>
        <w:t xml:space="preserve"> for 10 min</w:t>
      </w:r>
      <w:r w:rsidRPr="002075FC">
        <w:rPr>
          <w:sz w:val="20"/>
          <w:szCs w:val="20"/>
        </w:rPr>
        <w:t xml:space="preserve"> after administration of </w:t>
      </w:r>
      <w:proofErr w:type="spellStart"/>
      <w:r w:rsidRPr="002075FC">
        <w:rPr>
          <w:sz w:val="20"/>
          <w:szCs w:val="20"/>
        </w:rPr>
        <w:t>dexmedetomidine</w:t>
      </w:r>
      <w:proofErr w:type="spellEnd"/>
      <w:r w:rsidRPr="002075FC">
        <w:rPr>
          <w:sz w:val="20"/>
          <w:szCs w:val="20"/>
        </w:rPr>
        <w:t xml:space="preserve">, occurred after bolus injection of </w:t>
      </w:r>
      <w:proofErr w:type="spellStart"/>
      <w:r w:rsidRPr="002075FC">
        <w:rPr>
          <w:sz w:val="20"/>
          <w:szCs w:val="20"/>
        </w:rPr>
        <w:t>dexmedetomidine</w:t>
      </w:r>
      <w:proofErr w:type="spellEnd"/>
      <w:r w:rsidRPr="002075FC">
        <w:rPr>
          <w:sz w:val="20"/>
          <w:szCs w:val="20"/>
        </w:rPr>
        <w:t xml:space="preserve">.. Therefore, in the present study, the dose of </w:t>
      </w:r>
      <w:proofErr w:type="spellStart"/>
      <w:r w:rsidRPr="002075FC">
        <w:rPr>
          <w:sz w:val="20"/>
          <w:szCs w:val="20"/>
        </w:rPr>
        <w:t>dexmedetomidine</w:t>
      </w:r>
      <w:proofErr w:type="spellEnd"/>
      <w:r w:rsidRPr="002075FC">
        <w:rPr>
          <w:sz w:val="20"/>
          <w:szCs w:val="20"/>
        </w:rPr>
        <w:t xml:space="preserve"> has been chosen as 0.6 </w:t>
      </w:r>
      <w:proofErr w:type="spellStart"/>
      <w:r w:rsidRPr="002075FC">
        <w:rPr>
          <w:sz w:val="20"/>
          <w:szCs w:val="20"/>
        </w:rPr>
        <w:t>μg</w:t>
      </w:r>
      <w:proofErr w:type="spellEnd"/>
      <w:r w:rsidRPr="002075FC">
        <w:rPr>
          <w:sz w:val="20"/>
          <w:szCs w:val="20"/>
        </w:rPr>
        <w:t xml:space="preserve">/ kg and given as a slow intravenous infusion over 10 minute and thereafter the </w:t>
      </w:r>
      <w:proofErr w:type="spellStart"/>
      <w:r w:rsidRPr="002075FC">
        <w:rPr>
          <w:sz w:val="20"/>
          <w:szCs w:val="20"/>
        </w:rPr>
        <w:t>patiients</w:t>
      </w:r>
      <w:proofErr w:type="spellEnd"/>
      <w:r w:rsidRPr="002075FC">
        <w:rPr>
          <w:sz w:val="20"/>
          <w:szCs w:val="20"/>
        </w:rPr>
        <w:t xml:space="preserve"> were induced after another 10 minutes.</w:t>
      </w:r>
    </w:p>
    <w:p w:rsidR="00E87DB7" w:rsidRPr="00006117" w:rsidRDefault="00E87DB7" w:rsidP="00006117">
      <w:pPr>
        <w:autoSpaceDE w:val="0"/>
        <w:autoSpaceDN w:val="0"/>
        <w:adjustRightInd w:val="0"/>
        <w:spacing w:line="360" w:lineRule="auto"/>
        <w:jc w:val="both"/>
        <w:rPr>
          <w:color w:val="000000"/>
          <w:sz w:val="20"/>
          <w:szCs w:val="20"/>
        </w:rPr>
      </w:pPr>
      <w:proofErr w:type="spellStart"/>
      <w:r w:rsidRPr="002075FC">
        <w:rPr>
          <w:color w:val="000000"/>
          <w:sz w:val="20"/>
          <w:szCs w:val="20"/>
        </w:rPr>
        <w:t>Rastogi</w:t>
      </w:r>
      <w:proofErr w:type="spellEnd"/>
      <w:r w:rsidRPr="002075FC">
        <w:rPr>
          <w:color w:val="000000"/>
          <w:sz w:val="20"/>
          <w:szCs w:val="20"/>
        </w:rPr>
        <w:t xml:space="preserve"> B. et al</w:t>
      </w:r>
      <w:r w:rsidR="00DA6641" w:rsidRPr="002075FC">
        <w:rPr>
          <w:color w:val="000000"/>
          <w:sz w:val="20"/>
          <w:szCs w:val="20"/>
          <w:vertAlign w:val="superscript"/>
        </w:rPr>
        <w:t>1</w:t>
      </w:r>
      <w:r w:rsidR="00E83767" w:rsidRPr="002075FC">
        <w:rPr>
          <w:color w:val="000000"/>
          <w:sz w:val="20"/>
          <w:szCs w:val="20"/>
          <w:vertAlign w:val="superscript"/>
        </w:rPr>
        <w:t>3</w:t>
      </w:r>
      <w:r w:rsidRPr="002075FC">
        <w:rPr>
          <w:color w:val="000000"/>
          <w:sz w:val="20"/>
          <w:szCs w:val="20"/>
        </w:rPr>
        <w:t xml:space="preserve"> and Gupta K. et al</w:t>
      </w:r>
      <w:r w:rsidR="00DA6641" w:rsidRPr="002075FC">
        <w:rPr>
          <w:color w:val="000000"/>
          <w:sz w:val="20"/>
          <w:szCs w:val="20"/>
          <w:vertAlign w:val="superscript"/>
        </w:rPr>
        <w:t>7</w:t>
      </w:r>
      <w:r w:rsidR="00BC2F74" w:rsidRPr="002075FC">
        <w:rPr>
          <w:color w:val="000000"/>
          <w:sz w:val="20"/>
          <w:szCs w:val="20"/>
          <w:vertAlign w:val="superscript"/>
        </w:rPr>
        <w:t>,8</w:t>
      </w:r>
      <w:r w:rsidRPr="002075FC">
        <w:rPr>
          <w:color w:val="000000"/>
          <w:sz w:val="20"/>
          <w:szCs w:val="20"/>
        </w:rPr>
        <w:t xml:space="preserve"> found that oral </w:t>
      </w:r>
      <w:proofErr w:type="spellStart"/>
      <w:r w:rsidRPr="002075FC">
        <w:rPr>
          <w:color w:val="000000"/>
          <w:sz w:val="20"/>
          <w:szCs w:val="20"/>
        </w:rPr>
        <w:t>pregabalin</w:t>
      </w:r>
      <w:proofErr w:type="spellEnd"/>
      <w:r w:rsidRPr="002075FC">
        <w:rPr>
          <w:color w:val="000000"/>
          <w:sz w:val="20"/>
          <w:szCs w:val="20"/>
        </w:rPr>
        <w:t xml:space="preserve"> when given in dose of 150 mg per oral one hour prior to surgery is effective in attenuation of the deleterious hemodynamic responses of laryngoscopy and intubation. </w:t>
      </w:r>
      <w:r w:rsidR="00006117">
        <w:rPr>
          <w:color w:val="000000"/>
          <w:sz w:val="20"/>
          <w:szCs w:val="20"/>
        </w:rPr>
        <w:t xml:space="preserve"> </w:t>
      </w:r>
      <w:r w:rsidRPr="002075FC">
        <w:rPr>
          <w:color w:val="000000"/>
          <w:sz w:val="20"/>
          <w:szCs w:val="20"/>
        </w:rPr>
        <w:t>White PF et a</w:t>
      </w:r>
      <w:r w:rsidR="00E83767" w:rsidRPr="002075FC">
        <w:rPr>
          <w:color w:val="000000"/>
          <w:sz w:val="20"/>
          <w:szCs w:val="20"/>
          <w:vertAlign w:val="superscript"/>
        </w:rPr>
        <w:t>14</w:t>
      </w:r>
      <w:r w:rsidR="002B0D09" w:rsidRPr="002075FC">
        <w:rPr>
          <w:color w:val="000000"/>
          <w:sz w:val="20"/>
          <w:szCs w:val="20"/>
          <w:vertAlign w:val="superscript"/>
        </w:rPr>
        <w:t xml:space="preserve"> </w:t>
      </w:r>
      <w:r w:rsidRPr="002075FC">
        <w:rPr>
          <w:color w:val="000000"/>
          <w:sz w:val="20"/>
          <w:szCs w:val="20"/>
        </w:rPr>
        <w:t xml:space="preserve"> in a study reported difficulty in regaining consciousness in PACU in a greater percentage of patients who had received oral </w:t>
      </w:r>
      <w:proofErr w:type="spellStart"/>
      <w:r w:rsidRPr="002075FC">
        <w:rPr>
          <w:color w:val="000000"/>
          <w:sz w:val="20"/>
          <w:szCs w:val="20"/>
        </w:rPr>
        <w:t>pregabalin</w:t>
      </w:r>
      <w:proofErr w:type="spellEnd"/>
      <w:r w:rsidRPr="002075FC">
        <w:rPr>
          <w:color w:val="000000"/>
          <w:sz w:val="20"/>
          <w:szCs w:val="20"/>
        </w:rPr>
        <w:t xml:space="preserve"> in a dose of 300 mg and also had complaints such as diz</w:t>
      </w:r>
      <w:r w:rsidR="00E83767" w:rsidRPr="002075FC">
        <w:rPr>
          <w:color w:val="000000"/>
          <w:sz w:val="20"/>
          <w:szCs w:val="20"/>
        </w:rPr>
        <w:t>ziness (or light-headedness). Ha</w:t>
      </w:r>
      <w:r w:rsidRPr="002075FC">
        <w:rPr>
          <w:color w:val="000000"/>
          <w:sz w:val="20"/>
          <w:szCs w:val="20"/>
        </w:rPr>
        <w:t>ll et al</w:t>
      </w:r>
      <w:r w:rsidR="00DA6641" w:rsidRPr="002075FC">
        <w:rPr>
          <w:color w:val="000000"/>
          <w:sz w:val="20"/>
          <w:szCs w:val="20"/>
          <w:vertAlign w:val="superscript"/>
        </w:rPr>
        <w:t>1</w:t>
      </w:r>
      <w:r w:rsidR="00E83767" w:rsidRPr="002075FC">
        <w:rPr>
          <w:color w:val="000000"/>
          <w:sz w:val="20"/>
          <w:szCs w:val="20"/>
          <w:vertAlign w:val="superscript"/>
        </w:rPr>
        <w:t>2</w:t>
      </w:r>
      <w:r w:rsidRPr="002075FC">
        <w:rPr>
          <w:color w:val="000000"/>
          <w:sz w:val="20"/>
          <w:szCs w:val="20"/>
        </w:rPr>
        <w:t xml:space="preserve"> suggested that </w:t>
      </w:r>
      <w:proofErr w:type="spellStart"/>
      <w:r w:rsidRPr="002075FC">
        <w:rPr>
          <w:color w:val="000000"/>
          <w:sz w:val="20"/>
          <w:szCs w:val="20"/>
        </w:rPr>
        <w:t>pregabalin</w:t>
      </w:r>
      <w:proofErr w:type="spellEnd"/>
      <w:r w:rsidRPr="002075FC">
        <w:rPr>
          <w:color w:val="000000"/>
          <w:sz w:val="20"/>
          <w:szCs w:val="20"/>
        </w:rPr>
        <w:t xml:space="preserve"> 300 mg per oral had a longer duration of analgesia but reported more frequent adverse effects like excessive sleepiness and dizziness.  Therefore in our study dose </w:t>
      </w:r>
      <w:proofErr w:type="gramStart"/>
      <w:r w:rsidRPr="002075FC">
        <w:rPr>
          <w:color w:val="000000"/>
          <w:sz w:val="20"/>
          <w:szCs w:val="20"/>
        </w:rPr>
        <w:t xml:space="preserve">of  </w:t>
      </w:r>
      <w:proofErr w:type="spellStart"/>
      <w:r w:rsidRPr="002075FC">
        <w:rPr>
          <w:color w:val="000000"/>
          <w:sz w:val="20"/>
          <w:szCs w:val="20"/>
        </w:rPr>
        <w:t>pregabalin</w:t>
      </w:r>
      <w:proofErr w:type="spellEnd"/>
      <w:proofErr w:type="gramEnd"/>
      <w:r w:rsidRPr="002075FC">
        <w:rPr>
          <w:color w:val="000000"/>
          <w:sz w:val="20"/>
          <w:szCs w:val="20"/>
        </w:rPr>
        <w:t xml:space="preserve"> was taken as 150 mg and given per orally one hour prio</w:t>
      </w:r>
      <w:r w:rsidR="00345F41" w:rsidRPr="002075FC">
        <w:rPr>
          <w:color w:val="000000"/>
          <w:sz w:val="20"/>
          <w:szCs w:val="20"/>
        </w:rPr>
        <w:t>r</w:t>
      </w:r>
      <w:r w:rsidRPr="002075FC">
        <w:rPr>
          <w:color w:val="000000"/>
          <w:sz w:val="20"/>
          <w:szCs w:val="20"/>
        </w:rPr>
        <w:t xml:space="preserve"> to beginning of surgery. </w:t>
      </w:r>
      <w:r w:rsidRPr="002075FC">
        <w:rPr>
          <w:sz w:val="20"/>
          <w:szCs w:val="20"/>
        </w:rPr>
        <w:t xml:space="preserve">After premedication with tablet alprazolam but before administration of test drug, the baseline (preoperative) heart rate recorded in the two groups </w:t>
      </w:r>
      <w:proofErr w:type="gramStart"/>
      <w:r w:rsidRPr="002075FC">
        <w:rPr>
          <w:sz w:val="20"/>
          <w:szCs w:val="20"/>
        </w:rPr>
        <w:t>were :</w:t>
      </w:r>
      <w:proofErr w:type="gramEnd"/>
      <w:r w:rsidR="00006117">
        <w:rPr>
          <w:color w:val="000000"/>
          <w:sz w:val="20"/>
          <w:szCs w:val="20"/>
        </w:rPr>
        <w:t xml:space="preserve"> </w:t>
      </w:r>
      <w:r w:rsidRPr="002075FC">
        <w:rPr>
          <w:sz w:val="20"/>
          <w:szCs w:val="20"/>
        </w:rPr>
        <w:t xml:space="preserve">Group D 87.7 ± 16.36, </w:t>
      </w:r>
      <w:r w:rsidR="00A5653E" w:rsidRPr="002075FC">
        <w:rPr>
          <w:sz w:val="20"/>
          <w:szCs w:val="20"/>
        </w:rPr>
        <w:t xml:space="preserve">Group P 81.63 ± 10.18. </w:t>
      </w:r>
      <w:proofErr w:type="gramStart"/>
      <w:r w:rsidR="00A5653E" w:rsidRPr="002075FC">
        <w:rPr>
          <w:sz w:val="20"/>
          <w:szCs w:val="20"/>
        </w:rPr>
        <w:t>( Table</w:t>
      </w:r>
      <w:proofErr w:type="gramEnd"/>
      <w:r w:rsidR="00A5653E" w:rsidRPr="002075FC">
        <w:rPr>
          <w:sz w:val="20"/>
          <w:szCs w:val="20"/>
        </w:rPr>
        <w:t xml:space="preserve"> 2</w:t>
      </w:r>
      <w:r w:rsidRPr="002075FC">
        <w:rPr>
          <w:sz w:val="20"/>
          <w:szCs w:val="20"/>
        </w:rPr>
        <w:t xml:space="preserve">). </w:t>
      </w:r>
    </w:p>
    <w:p w:rsidR="00E87DB7" w:rsidRPr="002075FC" w:rsidRDefault="00E87DB7" w:rsidP="002075FC">
      <w:pPr>
        <w:spacing w:line="360" w:lineRule="auto"/>
        <w:jc w:val="both"/>
        <w:rPr>
          <w:sz w:val="20"/>
          <w:szCs w:val="20"/>
          <w:lang w:eastAsia="en-US"/>
        </w:rPr>
      </w:pPr>
      <w:r w:rsidRPr="002075FC">
        <w:rPr>
          <w:sz w:val="20"/>
          <w:szCs w:val="20"/>
        </w:rPr>
        <w:t xml:space="preserve">The preoperative values for heart rate show a significant difference between Group D and Group P, being higher in Group D. This can be attributed to preoperative anxiety as preoperative pulse rate was taken in the operating room in Group D while in Group P it was taken in the ward before administration of the drug. </w:t>
      </w:r>
      <w:proofErr w:type="gramStart"/>
      <w:r w:rsidRPr="002075FC">
        <w:rPr>
          <w:sz w:val="20"/>
          <w:szCs w:val="20"/>
        </w:rPr>
        <w:t>As patients tend to remain anxious in operating room than in the ward.</w:t>
      </w:r>
      <w:proofErr w:type="gramEnd"/>
      <w:r w:rsidRPr="002075FC">
        <w:rPr>
          <w:sz w:val="20"/>
          <w:szCs w:val="20"/>
        </w:rPr>
        <w:t xml:space="preserve"> After giving the test drug and before induction, the HR decreased in Group D (by 7.7%) while increase</w:t>
      </w:r>
      <w:r w:rsidR="00A5653E" w:rsidRPr="002075FC">
        <w:rPr>
          <w:sz w:val="20"/>
          <w:szCs w:val="20"/>
        </w:rPr>
        <w:t xml:space="preserve">d in Group P (by 6.29%) </w:t>
      </w:r>
      <w:proofErr w:type="gramStart"/>
      <w:r w:rsidR="00A5653E" w:rsidRPr="002075FC">
        <w:rPr>
          <w:sz w:val="20"/>
          <w:szCs w:val="20"/>
        </w:rPr>
        <w:t>(Table 2</w:t>
      </w:r>
      <w:r w:rsidRPr="002075FC">
        <w:rPr>
          <w:sz w:val="20"/>
          <w:szCs w:val="20"/>
        </w:rPr>
        <w:t>).</w:t>
      </w:r>
      <w:proofErr w:type="gramEnd"/>
      <w:r w:rsidRPr="002075FC">
        <w:rPr>
          <w:sz w:val="20"/>
          <w:szCs w:val="20"/>
        </w:rPr>
        <w:t xml:space="preserve"> </w:t>
      </w:r>
      <w:proofErr w:type="spellStart"/>
      <w:r w:rsidRPr="002075FC">
        <w:rPr>
          <w:sz w:val="20"/>
          <w:szCs w:val="20"/>
        </w:rPr>
        <w:t>Dexmedetomidine</w:t>
      </w:r>
      <w:proofErr w:type="spellEnd"/>
      <w:r w:rsidRPr="002075FC">
        <w:rPr>
          <w:sz w:val="20"/>
          <w:szCs w:val="20"/>
        </w:rPr>
        <w:t xml:space="preserve"> infusion causes more sedation and </w:t>
      </w:r>
      <w:proofErr w:type="spellStart"/>
      <w:r w:rsidRPr="002075FC">
        <w:rPr>
          <w:sz w:val="20"/>
          <w:szCs w:val="20"/>
        </w:rPr>
        <w:t>a</w:t>
      </w:r>
      <w:r w:rsidR="001E687D" w:rsidRPr="002075FC">
        <w:rPr>
          <w:sz w:val="20"/>
          <w:szCs w:val="20"/>
        </w:rPr>
        <w:t>nxiolysis</w:t>
      </w:r>
      <w:proofErr w:type="spellEnd"/>
      <w:r w:rsidR="001E687D" w:rsidRPr="002075FC">
        <w:rPr>
          <w:sz w:val="20"/>
          <w:szCs w:val="20"/>
        </w:rPr>
        <w:t xml:space="preserve"> than </w:t>
      </w:r>
      <w:proofErr w:type="spellStart"/>
      <w:r w:rsidR="001E687D" w:rsidRPr="002075FC">
        <w:rPr>
          <w:sz w:val="20"/>
          <w:szCs w:val="20"/>
        </w:rPr>
        <w:t>pregabalin</w:t>
      </w:r>
      <w:proofErr w:type="spellEnd"/>
      <w:r w:rsidR="001E687D" w:rsidRPr="002075FC">
        <w:rPr>
          <w:sz w:val="20"/>
          <w:szCs w:val="20"/>
        </w:rPr>
        <w:t xml:space="preserve">. </w:t>
      </w:r>
      <w:r w:rsidRPr="002075FC">
        <w:rPr>
          <w:sz w:val="20"/>
          <w:szCs w:val="20"/>
        </w:rPr>
        <w:t xml:space="preserve"> White PF, et </w:t>
      </w:r>
      <w:r w:rsidR="00DA6641" w:rsidRPr="002075FC">
        <w:rPr>
          <w:sz w:val="20"/>
          <w:szCs w:val="20"/>
        </w:rPr>
        <w:t>al</w:t>
      </w:r>
      <w:r w:rsidR="00DA6641" w:rsidRPr="002075FC">
        <w:rPr>
          <w:sz w:val="20"/>
          <w:szCs w:val="20"/>
          <w:vertAlign w:val="superscript"/>
        </w:rPr>
        <w:t>13</w:t>
      </w:r>
      <w:r w:rsidRPr="002075FC">
        <w:rPr>
          <w:sz w:val="20"/>
          <w:szCs w:val="20"/>
        </w:rPr>
        <w:t xml:space="preserve"> concluded that</w:t>
      </w:r>
      <w:r w:rsidRPr="002075FC">
        <w:rPr>
          <w:sz w:val="20"/>
          <w:szCs w:val="20"/>
          <w:lang w:eastAsia="en-US"/>
        </w:rPr>
        <w:t xml:space="preserve"> </w:t>
      </w:r>
      <w:proofErr w:type="spellStart"/>
      <w:r w:rsidRPr="002075FC">
        <w:rPr>
          <w:sz w:val="20"/>
          <w:szCs w:val="20"/>
          <w:lang w:eastAsia="en-US"/>
        </w:rPr>
        <w:t>pregabalin</w:t>
      </w:r>
      <w:proofErr w:type="spellEnd"/>
      <w:r w:rsidRPr="002075FC">
        <w:rPr>
          <w:sz w:val="20"/>
          <w:szCs w:val="20"/>
          <w:lang w:eastAsia="en-US"/>
        </w:rPr>
        <w:t xml:space="preserve"> (75–300 mg orally) failed to produce a significant anxiolytic</w:t>
      </w:r>
      <w:r w:rsidRPr="002075FC">
        <w:rPr>
          <w:sz w:val="20"/>
          <w:szCs w:val="20"/>
        </w:rPr>
        <w:t xml:space="preserve"> </w:t>
      </w:r>
      <w:r w:rsidRPr="002075FC">
        <w:rPr>
          <w:sz w:val="20"/>
          <w:szCs w:val="20"/>
          <w:lang w:eastAsia="en-US"/>
        </w:rPr>
        <w:t xml:space="preserve">effect when administered for preoperative medication, Our findings are almost similar to findings of </w:t>
      </w:r>
      <w:proofErr w:type="spellStart"/>
      <w:r w:rsidRPr="002075FC">
        <w:rPr>
          <w:sz w:val="20"/>
          <w:szCs w:val="20"/>
          <w:lang w:eastAsia="en-US"/>
        </w:rPr>
        <w:t>Rao</w:t>
      </w:r>
      <w:proofErr w:type="spellEnd"/>
      <w:r w:rsidRPr="002075FC">
        <w:rPr>
          <w:sz w:val="20"/>
          <w:szCs w:val="20"/>
          <w:lang w:eastAsia="en-US"/>
        </w:rPr>
        <w:t xml:space="preserve"> SH, et al</w:t>
      </w:r>
      <w:r w:rsidR="00DA6641" w:rsidRPr="002075FC">
        <w:rPr>
          <w:sz w:val="20"/>
          <w:szCs w:val="20"/>
          <w:vertAlign w:val="superscript"/>
          <w:lang w:eastAsia="en-US"/>
        </w:rPr>
        <w:t>14</w:t>
      </w:r>
      <w:r w:rsidRPr="002075FC">
        <w:rPr>
          <w:sz w:val="20"/>
          <w:szCs w:val="20"/>
          <w:lang w:eastAsia="en-US"/>
        </w:rPr>
        <w:t xml:space="preserve"> and </w:t>
      </w:r>
      <w:proofErr w:type="spellStart"/>
      <w:r w:rsidRPr="002075FC">
        <w:rPr>
          <w:sz w:val="20"/>
          <w:szCs w:val="20"/>
          <w:lang w:eastAsia="en-US"/>
        </w:rPr>
        <w:t>Bajwa</w:t>
      </w:r>
      <w:proofErr w:type="spellEnd"/>
      <w:r w:rsidRPr="002075FC">
        <w:rPr>
          <w:sz w:val="20"/>
          <w:szCs w:val="20"/>
          <w:lang w:eastAsia="en-US"/>
        </w:rPr>
        <w:t xml:space="preserve"> SJS, et al</w:t>
      </w:r>
      <w:r w:rsidR="00DA6641" w:rsidRPr="002075FC">
        <w:rPr>
          <w:sz w:val="20"/>
          <w:szCs w:val="20"/>
          <w:vertAlign w:val="superscript"/>
          <w:lang w:eastAsia="en-US"/>
        </w:rPr>
        <w:t>15</w:t>
      </w:r>
      <w:r w:rsidRPr="002075FC">
        <w:rPr>
          <w:sz w:val="20"/>
          <w:szCs w:val="20"/>
          <w:lang w:eastAsia="en-US"/>
        </w:rPr>
        <w:t xml:space="preserve"> who found significant reduction in heart rate following the loading dose of </w:t>
      </w:r>
      <w:proofErr w:type="spellStart"/>
      <w:r w:rsidRPr="002075FC">
        <w:rPr>
          <w:sz w:val="20"/>
          <w:szCs w:val="20"/>
          <w:lang w:eastAsia="en-US"/>
        </w:rPr>
        <w:t>dexmedetomidine</w:t>
      </w:r>
      <w:proofErr w:type="spellEnd"/>
      <w:r w:rsidRPr="002075FC">
        <w:rPr>
          <w:sz w:val="20"/>
          <w:szCs w:val="20"/>
          <w:lang w:eastAsia="en-US"/>
        </w:rPr>
        <w:t xml:space="preserve"> (12.31%)</w:t>
      </w:r>
      <w:r w:rsidRPr="002075FC">
        <w:rPr>
          <w:sz w:val="20"/>
          <w:szCs w:val="20"/>
        </w:rPr>
        <w:t xml:space="preserve">. </w:t>
      </w:r>
    </w:p>
    <w:p w:rsidR="00E87DB7" w:rsidRPr="002075FC" w:rsidRDefault="00E87DB7" w:rsidP="002075FC">
      <w:pPr>
        <w:spacing w:line="360" w:lineRule="auto"/>
        <w:jc w:val="both"/>
        <w:rPr>
          <w:sz w:val="20"/>
          <w:szCs w:val="20"/>
        </w:rPr>
      </w:pPr>
      <w:r w:rsidRPr="002075FC">
        <w:rPr>
          <w:sz w:val="20"/>
          <w:szCs w:val="20"/>
        </w:rPr>
        <w:t>Gupta K, et al</w:t>
      </w:r>
      <w:r w:rsidR="00DA6641" w:rsidRPr="002075FC">
        <w:rPr>
          <w:sz w:val="20"/>
          <w:szCs w:val="20"/>
          <w:vertAlign w:val="superscript"/>
        </w:rPr>
        <w:t>7</w:t>
      </w:r>
      <w:proofErr w:type="gramStart"/>
      <w:r w:rsidR="00DA6641" w:rsidRPr="002075FC">
        <w:rPr>
          <w:sz w:val="20"/>
          <w:szCs w:val="20"/>
          <w:vertAlign w:val="superscript"/>
        </w:rPr>
        <w:t>,</w:t>
      </w:r>
      <w:r w:rsidR="00B6098E" w:rsidRPr="002075FC">
        <w:rPr>
          <w:sz w:val="20"/>
          <w:szCs w:val="20"/>
          <w:vertAlign w:val="superscript"/>
        </w:rPr>
        <w:t>8</w:t>
      </w:r>
      <w:proofErr w:type="gramEnd"/>
      <w:r w:rsidRPr="002075FC">
        <w:rPr>
          <w:sz w:val="20"/>
          <w:szCs w:val="20"/>
        </w:rPr>
        <w:t xml:space="preserve">, </w:t>
      </w:r>
      <w:proofErr w:type="spellStart"/>
      <w:r w:rsidRPr="002075FC">
        <w:rPr>
          <w:sz w:val="20"/>
          <w:szCs w:val="20"/>
        </w:rPr>
        <w:t>Rastogi</w:t>
      </w:r>
      <w:proofErr w:type="spellEnd"/>
      <w:r w:rsidRPr="002075FC">
        <w:rPr>
          <w:sz w:val="20"/>
          <w:szCs w:val="20"/>
        </w:rPr>
        <w:t xml:space="preserve"> B, et al</w:t>
      </w:r>
      <w:r w:rsidR="00DA6641" w:rsidRPr="002075FC">
        <w:rPr>
          <w:sz w:val="20"/>
          <w:szCs w:val="20"/>
          <w:vertAlign w:val="superscript"/>
        </w:rPr>
        <w:t>12</w:t>
      </w:r>
      <w:r w:rsidRPr="002075FC">
        <w:rPr>
          <w:sz w:val="20"/>
          <w:szCs w:val="20"/>
        </w:rPr>
        <w:t xml:space="preserve"> did not find any significant difference in HR values before and after premedication with </w:t>
      </w:r>
      <w:proofErr w:type="spellStart"/>
      <w:r w:rsidRPr="002075FC">
        <w:rPr>
          <w:sz w:val="20"/>
          <w:szCs w:val="20"/>
        </w:rPr>
        <w:t>pregabalin</w:t>
      </w:r>
      <w:proofErr w:type="spellEnd"/>
      <w:r w:rsidRPr="002075FC">
        <w:rPr>
          <w:sz w:val="20"/>
          <w:szCs w:val="20"/>
        </w:rPr>
        <w:t xml:space="preserve"> in dose of 150 mg. This finding is similar to our study. Following laryngoscopy (0 minute), there was an increase in he</w:t>
      </w:r>
      <w:r w:rsidR="00A5653E" w:rsidRPr="002075FC">
        <w:rPr>
          <w:sz w:val="20"/>
          <w:szCs w:val="20"/>
        </w:rPr>
        <w:t>art rate in both groups (Table 2</w:t>
      </w:r>
      <w:r w:rsidRPr="002075FC">
        <w:rPr>
          <w:sz w:val="20"/>
          <w:szCs w:val="20"/>
        </w:rPr>
        <w:t xml:space="preserve">). In the </w:t>
      </w:r>
      <w:proofErr w:type="spellStart"/>
      <w:r w:rsidRPr="002075FC">
        <w:rPr>
          <w:sz w:val="20"/>
          <w:szCs w:val="20"/>
        </w:rPr>
        <w:t>Dexmedetomidine</w:t>
      </w:r>
      <w:proofErr w:type="spellEnd"/>
      <w:r w:rsidRPr="002075FC">
        <w:rPr>
          <w:sz w:val="20"/>
          <w:szCs w:val="20"/>
        </w:rPr>
        <w:t xml:space="preserve"> group (Group D), the mean HR increased to 93.53 ± 13.92 (7.4%) which was st</w:t>
      </w:r>
      <w:r w:rsidR="001D30C0" w:rsidRPr="002075FC">
        <w:rPr>
          <w:sz w:val="20"/>
          <w:szCs w:val="20"/>
        </w:rPr>
        <w:t>atistically significant (Table 1</w:t>
      </w:r>
      <w:r w:rsidRPr="002075FC">
        <w:rPr>
          <w:sz w:val="20"/>
          <w:szCs w:val="20"/>
        </w:rPr>
        <w:t xml:space="preserve">). This finding is in accordance with </w:t>
      </w:r>
      <w:proofErr w:type="spellStart"/>
      <w:r w:rsidRPr="002075FC">
        <w:rPr>
          <w:sz w:val="20"/>
          <w:szCs w:val="20"/>
        </w:rPr>
        <w:t>Suparto</w:t>
      </w:r>
      <w:proofErr w:type="spellEnd"/>
      <w:r w:rsidRPr="002075FC">
        <w:rPr>
          <w:sz w:val="20"/>
          <w:szCs w:val="20"/>
        </w:rPr>
        <w:t xml:space="preserve"> </w:t>
      </w:r>
      <w:proofErr w:type="gramStart"/>
      <w:r w:rsidRPr="002075FC">
        <w:rPr>
          <w:sz w:val="20"/>
          <w:szCs w:val="20"/>
        </w:rPr>
        <w:t>et</w:t>
      </w:r>
      <w:proofErr w:type="gramEnd"/>
      <w:r w:rsidRPr="002075FC">
        <w:rPr>
          <w:sz w:val="20"/>
          <w:szCs w:val="20"/>
        </w:rPr>
        <w:t xml:space="preserve"> al</w:t>
      </w:r>
      <w:r w:rsidR="00DA6641" w:rsidRPr="002075FC">
        <w:rPr>
          <w:sz w:val="20"/>
          <w:szCs w:val="20"/>
          <w:vertAlign w:val="superscript"/>
        </w:rPr>
        <w:t>10</w:t>
      </w:r>
      <w:r w:rsidRPr="002075FC">
        <w:rPr>
          <w:sz w:val="20"/>
          <w:szCs w:val="20"/>
        </w:rPr>
        <w:t xml:space="preserve"> who also found an increase in HR following laryngoscopy. </w:t>
      </w:r>
    </w:p>
    <w:p w:rsidR="00E87DB7" w:rsidRPr="002075FC" w:rsidRDefault="00E87DB7" w:rsidP="002075FC">
      <w:pPr>
        <w:spacing w:line="360" w:lineRule="auto"/>
        <w:jc w:val="both"/>
        <w:rPr>
          <w:sz w:val="20"/>
          <w:szCs w:val="20"/>
        </w:rPr>
      </w:pPr>
      <w:r w:rsidRPr="002075FC">
        <w:rPr>
          <w:sz w:val="20"/>
          <w:szCs w:val="20"/>
        </w:rPr>
        <w:t xml:space="preserve">. This is in accordance with the study done by </w:t>
      </w:r>
      <w:proofErr w:type="spellStart"/>
      <w:r w:rsidRPr="002075FC">
        <w:rPr>
          <w:sz w:val="20"/>
          <w:szCs w:val="20"/>
        </w:rPr>
        <w:t>Rastogi</w:t>
      </w:r>
      <w:proofErr w:type="spellEnd"/>
      <w:r w:rsidRPr="002075FC">
        <w:rPr>
          <w:sz w:val="20"/>
          <w:szCs w:val="20"/>
        </w:rPr>
        <w:t xml:space="preserve"> B, </w:t>
      </w:r>
      <w:proofErr w:type="gramStart"/>
      <w:r w:rsidRPr="002075FC">
        <w:rPr>
          <w:sz w:val="20"/>
          <w:szCs w:val="20"/>
        </w:rPr>
        <w:t>et</w:t>
      </w:r>
      <w:proofErr w:type="gramEnd"/>
      <w:r w:rsidRPr="002075FC">
        <w:rPr>
          <w:sz w:val="20"/>
          <w:szCs w:val="20"/>
        </w:rPr>
        <w:t xml:space="preserve"> al</w:t>
      </w:r>
      <w:r w:rsidR="00DA6641" w:rsidRPr="002075FC">
        <w:rPr>
          <w:sz w:val="20"/>
          <w:szCs w:val="20"/>
          <w:vertAlign w:val="superscript"/>
        </w:rPr>
        <w:t>12</w:t>
      </w:r>
      <w:r w:rsidRPr="002075FC">
        <w:rPr>
          <w:sz w:val="20"/>
          <w:szCs w:val="20"/>
        </w:rPr>
        <w:t xml:space="preserve">, using oral </w:t>
      </w:r>
      <w:proofErr w:type="spellStart"/>
      <w:r w:rsidRPr="002075FC">
        <w:rPr>
          <w:sz w:val="20"/>
          <w:szCs w:val="20"/>
        </w:rPr>
        <w:t>pregabalin</w:t>
      </w:r>
      <w:proofErr w:type="spellEnd"/>
      <w:r w:rsidRPr="002075FC">
        <w:rPr>
          <w:sz w:val="20"/>
          <w:szCs w:val="20"/>
        </w:rPr>
        <w:t xml:space="preserve"> 75mg and 150 mg who also found significant increase in heart rate in both groups immediately after laryngoscopy.</w:t>
      </w:r>
    </w:p>
    <w:p w:rsidR="00E87DB7" w:rsidRPr="002075FC" w:rsidRDefault="00E87DB7" w:rsidP="002075FC">
      <w:pPr>
        <w:spacing w:line="360" w:lineRule="auto"/>
        <w:jc w:val="both"/>
        <w:rPr>
          <w:sz w:val="20"/>
          <w:szCs w:val="20"/>
        </w:rPr>
      </w:pPr>
    </w:p>
    <w:p w:rsidR="00E87DB7" w:rsidRPr="002075FC" w:rsidRDefault="00E87DB7" w:rsidP="002075FC">
      <w:pPr>
        <w:spacing w:line="360" w:lineRule="auto"/>
        <w:jc w:val="both"/>
        <w:rPr>
          <w:sz w:val="20"/>
          <w:szCs w:val="20"/>
        </w:rPr>
      </w:pPr>
      <w:r w:rsidRPr="002075FC">
        <w:rPr>
          <w:sz w:val="20"/>
          <w:szCs w:val="20"/>
        </w:rPr>
        <w:lastRenderedPageBreak/>
        <w:t xml:space="preserve"> In our study the readings of the heart rate recorded a sharp increase following endotracheal intubation, with the readings highest at 1 minute interval in both groups </w:t>
      </w:r>
      <w:r w:rsidR="00A5653E" w:rsidRPr="002075FC">
        <w:rPr>
          <w:sz w:val="20"/>
          <w:szCs w:val="20"/>
        </w:rPr>
        <w:t>(Table 2</w:t>
      </w:r>
      <w:r w:rsidRPr="002075FC">
        <w:rPr>
          <w:sz w:val="20"/>
          <w:szCs w:val="20"/>
        </w:rPr>
        <w:t xml:space="preserve">). In Group D the heart rate increased to a mean of 96.67 ± 15.69, at 1 minute which was statistically highly significant (P&lt;0.001). Thereafter, the heart rate showed a downward trend and by 4 minutes, it was statistically comparable with the preoperative value. Our finding is in accordance with </w:t>
      </w:r>
      <w:proofErr w:type="spellStart"/>
      <w:r w:rsidRPr="002075FC">
        <w:rPr>
          <w:sz w:val="20"/>
          <w:szCs w:val="20"/>
        </w:rPr>
        <w:t>Kayamak</w:t>
      </w:r>
      <w:proofErr w:type="spellEnd"/>
      <w:r w:rsidRPr="002075FC">
        <w:rPr>
          <w:sz w:val="20"/>
          <w:szCs w:val="20"/>
        </w:rPr>
        <w:t xml:space="preserve"> C, </w:t>
      </w:r>
      <w:proofErr w:type="gramStart"/>
      <w:r w:rsidRPr="002075FC">
        <w:rPr>
          <w:sz w:val="20"/>
          <w:szCs w:val="20"/>
        </w:rPr>
        <w:t>et</w:t>
      </w:r>
      <w:proofErr w:type="gramEnd"/>
      <w:r w:rsidRPr="002075FC">
        <w:rPr>
          <w:sz w:val="20"/>
          <w:szCs w:val="20"/>
        </w:rPr>
        <w:t xml:space="preserve"> al</w:t>
      </w:r>
      <w:r w:rsidR="00DA6641" w:rsidRPr="002075FC">
        <w:rPr>
          <w:sz w:val="20"/>
          <w:szCs w:val="20"/>
          <w:vertAlign w:val="superscript"/>
        </w:rPr>
        <w:t>16</w:t>
      </w:r>
      <w:r w:rsidRPr="002075FC">
        <w:rPr>
          <w:sz w:val="20"/>
          <w:szCs w:val="20"/>
        </w:rPr>
        <w:t xml:space="preserve">, </w:t>
      </w:r>
      <w:proofErr w:type="spellStart"/>
      <w:r w:rsidRPr="002075FC">
        <w:rPr>
          <w:sz w:val="20"/>
          <w:szCs w:val="20"/>
        </w:rPr>
        <w:t>Jakola</w:t>
      </w:r>
      <w:proofErr w:type="spellEnd"/>
      <w:r w:rsidRPr="002075FC">
        <w:rPr>
          <w:sz w:val="20"/>
          <w:szCs w:val="20"/>
        </w:rPr>
        <w:t xml:space="preserve"> ML, et al</w:t>
      </w:r>
      <w:r w:rsidR="00DA6641" w:rsidRPr="002075FC">
        <w:rPr>
          <w:sz w:val="20"/>
          <w:szCs w:val="20"/>
          <w:vertAlign w:val="superscript"/>
        </w:rPr>
        <w:t>9</w:t>
      </w:r>
      <w:r w:rsidRPr="002075FC">
        <w:rPr>
          <w:sz w:val="20"/>
          <w:szCs w:val="20"/>
        </w:rPr>
        <w:t xml:space="preserve"> and </w:t>
      </w:r>
      <w:proofErr w:type="spellStart"/>
      <w:r w:rsidRPr="002075FC">
        <w:rPr>
          <w:sz w:val="20"/>
          <w:szCs w:val="20"/>
        </w:rPr>
        <w:t>Bajwa</w:t>
      </w:r>
      <w:proofErr w:type="spellEnd"/>
      <w:r w:rsidRPr="002075FC">
        <w:rPr>
          <w:sz w:val="20"/>
          <w:szCs w:val="20"/>
        </w:rPr>
        <w:t xml:space="preserve"> SJS, et al</w:t>
      </w:r>
      <w:r w:rsidR="00DA6641" w:rsidRPr="002075FC">
        <w:rPr>
          <w:sz w:val="20"/>
          <w:szCs w:val="20"/>
          <w:vertAlign w:val="superscript"/>
        </w:rPr>
        <w:t>15</w:t>
      </w:r>
      <w:r w:rsidRPr="002075FC">
        <w:rPr>
          <w:sz w:val="20"/>
          <w:szCs w:val="20"/>
        </w:rPr>
        <w:t xml:space="preserve">. But our finding differ from </w:t>
      </w:r>
      <w:proofErr w:type="spellStart"/>
      <w:r w:rsidRPr="002075FC">
        <w:rPr>
          <w:sz w:val="20"/>
          <w:szCs w:val="20"/>
        </w:rPr>
        <w:t>Sulaiman</w:t>
      </w:r>
      <w:proofErr w:type="spellEnd"/>
      <w:r w:rsidRPr="002075FC">
        <w:rPr>
          <w:sz w:val="20"/>
          <w:szCs w:val="20"/>
        </w:rPr>
        <w:t xml:space="preserve"> S, et a</w:t>
      </w:r>
      <w:r w:rsidR="00DA6641" w:rsidRPr="002075FC">
        <w:rPr>
          <w:sz w:val="20"/>
          <w:szCs w:val="20"/>
          <w:vertAlign w:val="superscript"/>
        </w:rPr>
        <w:t>17</w:t>
      </w:r>
      <w:r w:rsidRPr="002075FC">
        <w:rPr>
          <w:sz w:val="20"/>
          <w:szCs w:val="20"/>
        </w:rPr>
        <w:t xml:space="preserve"> (0.5μg/kg) who found statistically significant decrease in heart rate at all time intervals</w:t>
      </w:r>
      <w:r w:rsidR="000A76B0" w:rsidRPr="002075FC">
        <w:rPr>
          <w:sz w:val="20"/>
          <w:szCs w:val="20"/>
        </w:rPr>
        <w:t xml:space="preserve">, probably because their study </w:t>
      </w:r>
      <w:r w:rsidRPr="002075FC">
        <w:rPr>
          <w:sz w:val="20"/>
          <w:szCs w:val="20"/>
        </w:rPr>
        <w:t xml:space="preserve">patients  continued  β blocker on day of surgery.   </w:t>
      </w:r>
    </w:p>
    <w:p w:rsidR="00E87DB7" w:rsidRPr="002075FC" w:rsidRDefault="00E87DB7" w:rsidP="002075FC">
      <w:pPr>
        <w:spacing w:line="360" w:lineRule="auto"/>
        <w:jc w:val="both"/>
        <w:rPr>
          <w:sz w:val="20"/>
          <w:szCs w:val="20"/>
        </w:rPr>
      </w:pPr>
      <w:r w:rsidRPr="002075FC">
        <w:rPr>
          <w:sz w:val="20"/>
          <w:szCs w:val="20"/>
        </w:rPr>
        <w:t>In Group P the mean heart rate at 1 minute interval was 108.00 ± 13.89 beats per minute which was an increase of 26.37 (P &lt; 0.001). Nearly 67% patients in this group at one minute interval showed a heart rate of more than 100 beats/ minute..</w:t>
      </w:r>
      <w:r w:rsidR="00F264B4" w:rsidRPr="002075FC">
        <w:rPr>
          <w:sz w:val="20"/>
          <w:szCs w:val="20"/>
        </w:rPr>
        <w:t>, No</w:t>
      </w:r>
      <w:r w:rsidRPr="002075FC">
        <w:rPr>
          <w:sz w:val="20"/>
          <w:szCs w:val="20"/>
        </w:rPr>
        <w:t xml:space="preserve"> statistically significant attenuation of heart rate was observed in </w:t>
      </w:r>
      <w:proofErr w:type="spellStart"/>
      <w:r w:rsidRPr="002075FC">
        <w:rPr>
          <w:sz w:val="20"/>
          <w:szCs w:val="20"/>
        </w:rPr>
        <w:t>pregabalin</w:t>
      </w:r>
      <w:proofErr w:type="spellEnd"/>
      <w:r w:rsidRPr="002075FC">
        <w:rPr>
          <w:sz w:val="20"/>
          <w:szCs w:val="20"/>
        </w:rPr>
        <w:t xml:space="preserve"> group. This finding is in accordance with the findings of Gupta K </w:t>
      </w:r>
      <w:proofErr w:type="gramStart"/>
      <w:r w:rsidRPr="002075FC">
        <w:rPr>
          <w:sz w:val="20"/>
          <w:szCs w:val="20"/>
        </w:rPr>
        <w:t>et</w:t>
      </w:r>
      <w:proofErr w:type="gramEnd"/>
      <w:r w:rsidRPr="002075FC">
        <w:rPr>
          <w:sz w:val="20"/>
          <w:szCs w:val="20"/>
        </w:rPr>
        <w:t xml:space="preserve"> al</w:t>
      </w:r>
      <w:r w:rsidR="00DA6641" w:rsidRPr="002075FC">
        <w:rPr>
          <w:sz w:val="20"/>
          <w:szCs w:val="20"/>
          <w:vertAlign w:val="superscript"/>
        </w:rPr>
        <w:t>7</w:t>
      </w:r>
      <w:r w:rsidRPr="002075FC">
        <w:rPr>
          <w:sz w:val="20"/>
          <w:szCs w:val="20"/>
        </w:rPr>
        <w:t xml:space="preserve">and </w:t>
      </w:r>
      <w:proofErr w:type="spellStart"/>
      <w:r w:rsidRPr="002075FC">
        <w:rPr>
          <w:sz w:val="20"/>
          <w:szCs w:val="20"/>
        </w:rPr>
        <w:t>Rastogi</w:t>
      </w:r>
      <w:proofErr w:type="spellEnd"/>
      <w:r w:rsidRPr="002075FC">
        <w:rPr>
          <w:sz w:val="20"/>
          <w:szCs w:val="20"/>
        </w:rPr>
        <w:t xml:space="preserve"> B et a</w:t>
      </w:r>
      <w:r w:rsidR="00DA6641" w:rsidRPr="002075FC">
        <w:rPr>
          <w:sz w:val="20"/>
          <w:szCs w:val="20"/>
          <w:vertAlign w:val="superscript"/>
        </w:rPr>
        <w:t>12</w:t>
      </w:r>
      <w:r w:rsidRPr="002075FC">
        <w:rPr>
          <w:sz w:val="20"/>
          <w:szCs w:val="20"/>
        </w:rPr>
        <w:t>.</w:t>
      </w:r>
    </w:p>
    <w:p w:rsidR="00F92D60" w:rsidRPr="002075FC" w:rsidRDefault="00E87DB7" w:rsidP="002075FC">
      <w:pPr>
        <w:spacing w:line="360" w:lineRule="auto"/>
        <w:jc w:val="both"/>
        <w:rPr>
          <w:sz w:val="20"/>
          <w:szCs w:val="20"/>
        </w:rPr>
      </w:pPr>
      <w:r w:rsidRPr="002075FC">
        <w:rPr>
          <w:sz w:val="20"/>
          <w:szCs w:val="20"/>
        </w:rPr>
        <w:t xml:space="preserve">Therefore </w:t>
      </w:r>
      <w:proofErr w:type="spellStart"/>
      <w:r w:rsidRPr="002075FC">
        <w:rPr>
          <w:sz w:val="20"/>
          <w:szCs w:val="20"/>
        </w:rPr>
        <w:t>dexmedetomidine</w:t>
      </w:r>
      <w:proofErr w:type="spellEnd"/>
      <w:r w:rsidRPr="002075FC">
        <w:rPr>
          <w:sz w:val="20"/>
          <w:szCs w:val="20"/>
        </w:rPr>
        <w:t xml:space="preserve"> though, not completely attenuating the heart rate, is better than </w:t>
      </w:r>
      <w:proofErr w:type="spellStart"/>
      <w:r w:rsidRPr="002075FC">
        <w:rPr>
          <w:sz w:val="20"/>
          <w:szCs w:val="20"/>
        </w:rPr>
        <w:t>pregabalin</w:t>
      </w:r>
      <w:proofErr w:type="spellEnd"/>
      <w:r w:rsidRPr="002075FC">
        <w:rPr>
          <w:sz w:val="20"/>
          <w:szCs w:val="20"/>
        </w:rPr>
        <w:t xml:space="preserve"> in maintaining a lower heart rate following intubation.</w:t>
      </w:r>
      <w:r w:rsidR="00006117">
        <w:rPr>
          <w:sz w:val="20"/>
          <w:szCs w:val="20"/>
        </w:rPr>
        <w:t xml:space="preserve"> </w:t>
      </w:r>
      <w:r w:rsidR="000A76B0" w:rsidRPr="002075FC">
        <w:rPr>
          <w:sz w:val="20"/>
          <w:szCs w:val="20"/>
        </w:rPr>
        <w:t>The preoperative mean S</w:t>
      </w:r>
      <w:r w:rsidRPr="002075FC">
        <w:rPr>
          <w:sz w:val="20"/>
          <w:szCs w:val="20"/>
        </w:rPr>
        <w:t xml:space="preserve">ystolic blood pressure recorded in the both groups were </w:t>
      </w:r>
      <w:proofErr w:type="spellStart"/>
      <w:r w:rsidR="00E83767" w:rsidRPr="002075FC">
        <w:rPr>
          <w:sz w:val="20"/>
          <w:szCs w:val="20"/>
        </w:rPr>
        <w:t>stastically</w:t>
      </w:r>
      <w:proofErr w:type="spellEnd"/>
      <w:r w:rsidR="00E83767" w:rsidRPr="002075FC">
        <w:rPr>
          <w:sz w:val="20"/>
          <w:szCs w:val="20"/>
        </w:rPr>
        <w:t xml:space="preserve"> comparable </w:t>
      </w:r>
      <w:proofErr w:type="gramStart"/>
      <w:r w:rsidR="00E83767" w:rsidRPr="002075FC">
        <w:rPr>
          <w:sz w:val="20"/>
          <w:szCs w:val="20"/>
        </w:rPr>
        <w:t>table(</w:t>
      </w:r>
      <w:proofErr w:type="gramEnd"/>
      <w:r w:rsidR="00E83767" w:rsidRPr="002075FC">
        <w:rPr>
          <w:sz w:val="20"/>
          <w:szCs w:val="20"/>
        </w:rPr>
        <w:t xml:space="preserve">3) </w:t>
      </w:r>
      <w:r w:rsidRPr="002075FC">
        <w:rPr>
          <w:sz w:val="20"/>
          <w:szCs w:val="20"/>
        </w:rPr>
        <w:t>After giving the test drug the systolic blood pressure decreased in both groups. The decrease in SBP in Group D is by 14.28% which was found to be statistic</w:t>
      </w:r>
      <w:r w:rsidR="00A5653E" w:rsidRPr="002075FC">
        <w:rPr>
          <w:sz w:val="20"/>
          <w:szCs w:val="20"/>
        </w:rPr>
        <w:t>ally highly significant (Table 3</w:t>
      </w:r>
      <w:r w:rsidRPr="002075FC">
        <w:rPr>
          <w:sz w:val="20"/>
          <w:szCs w:val="20"/>
        </w:rPr>
        <w:t xml:space="preserve">). The finding of Group D is in accordance with </w:t>
      </w:r>
      <w:proofErr w:type="spellStart"/>
      <w:r w:rsidRPr="002075FC">
        <w:rPr>
          <w:sz w:val="20"/>
          <w:szCs w:val="20"/>
        </w:rPr>
        <w:t>Jakola</w:t>
      </w:r>
      <w:proofErr w:type="spellEnd"/>
      <w:r w:rsidRPr="002075FC">
        <w:rPr>
          <w:sz w:val="20"/>
          <w:szCs w:val="20"/>
        </w:rPr>
        <w:t xml:space="preserve"> ML, </w:t>
      </w:r>
      <w:proofErr w:type="gramStart"/>
      <w:r w:rsidRPr="002075FC">
        <w:rPr>
          <w:sz w:val="20"/>
          <w:szCs w:val="20"/>
        </w:rPr>
        <w:t>et</w:t>
      </w:r>
      <w:proofErr w:type="gramEnd"/>
      <w:r w:rsidRPr="002075FC">
        <w:rPr>
          <w:sz w:val="20"/>
          <w:szCs w:val="20"/>
        </w:rPr>
        <w:t xml:space="preserve"> al</w:t>
      </w:r>
      <w:r w:rsidR="00E83767" w:rsidRPr="002075FC">
        <w:rPr>
          <w:sz w:val="20"/>
          <w:szCs w:val="20"/>
          <w:vertAlign w:val="superscript"/>
        </w:rPr>
        <w:t>10</w:t>
      </w:r>
      <w:r w:rsidRPr="002075FC">
        <w:rPr>
          <w:sz w:val="20"/>
          <w:szCs w:val="20"/>
        </w:rPr>
        <w:t xml:space="preserve"> and </w:t>
      </w:r>
      <w:proofErr w:type="spellStart"/>
      <w:r w:rsidRPr="002075FC">
        <w:rPr>
          <w:sz w:val="20"/>
          <w:szCs w:val="20"/>
        </w:rPr>
        <w:t>Suparto</w:t>
      </w:r>
      <w:proofErr w:type="spellEnd"/>
      <w:r w:rsidRPr="002075FC">
        <w:rPr>
          <w:sz w:val="20"/>
          <w:szCs w:val="20"/>
        </w:rPr>
        <w:t xml:space="preserve"> et al</w:t>
      </w:r>
      <w:r w:rsidR="00DA6641" w:rsidRPr="002075FC">
        <w:rPr>
          <w:sz w:val="20"/>
          <w:szCs w:val="20"/>
          <w:vertAlign w:val="superscript"/>
        </w:rPr>
        <w:t>1</w:t>
      </w:r>
      <w:r w:rsidR="00E83767" w:rsidRPr="002075FC">
        <w:rPr>
          <w:sz w:val="20"/>
          <w:szCs w:val="20"/>
          <w:vertAlign w:val="superscript"/>
        </w:rPr>
        <w:t>1</w:t>
      </w:r>
      <w:r w:rsidRPr="002075FC">
        <w:rPr>
          <w:sz w:val="20"/>
          <w:szCs w:val="20"/>
        </w:rPr>
        <w:t xml:space="preserve">, as they also observed decrease in SBP to be statistically highly significant after administration of the drug. The decrease in SBP in Group P was only by 3.5%, which is almost equal to preoperative value. The finding of </w:t>
      </w:r>
      <w:proofErr w:type="spellStart"/>
      <w:r w:rsidRPr="002075FC">
        <w:rPr>
          <w:sz w:val="20"/>
          <w:szCs w:val="20"/>
        </w:rPr>
        <w:t>pregabalin</w:t>
      </w:r>
      <w:proofErr w:type="spellEnd"/>
      <w:r w:rsidRPr="002075FC">
        <w:rPr>
          <w:sz w:val="20"/>
          <w:szCs w:val="20"/>
        </w:rPr>
        <w:t xml:space="preserve"> group is in accordance with </w:t>
      </w:r>
      <w:proofErr w:type="spellStart"/>
      <w:r w:rsidRPr="002075FC">
        <w:rPr>
          <w:sz w:val="20"/>
          <w:szCs w:val="20"/>
        </w:rPr>
        <w:t>Sundar</w:t>
      </w:r>
      <w:proofErr w:type="spellEnd"/>
      <w:r w:rsidRPr="002075FC">
        <w:rPr>
          <w:sz w:val="20"/>
          <w:szCs w:val="20"/>
        </w:rPr>
        <w:t xml:space="preserve"> AS, </w:t>
      </w:r>
      <w:proofErr w:type="gramStart"/>
      <w:r w:rsidRPr="002075FC">
        <w:rPr>
          <w:sz w:val="20"/>
          <w:szCs w:val="20"/>
        </w:rPr>
        <w:t>et</w:t>
      </w:r>
      <w:proofErr w:type="gramEnd"/>
      <w:r w:rsidRPr="002075FC">
        <w:rPr>
          <w:sz w:val="20"/>
          <w:szCs w:val="20"/>
        </w:rPr>
        <w:t xml:space="preserve"> al</w:t>
      </w:r>
      <w:r w:rsidR="00B6098E" w:rsidRPr="002075FC">
        <w:rPr>
          <w:sz w:val="20"/>
          <w:szCs w:val="20"/>
          <w:vertAlign w:val="superscript"/>
        </w:rPr>
        <w:t>18</w:t>
      </w:r>
      <w:r w:rsidRPr="002075FC">
        <w:rPr>
          <w:sz w:val="20"/>
          <w:szCs w:val="20"/>
        </w:rPr>
        <w:t xml:space="preserve"> as they found that there was no significant difference in SBP values before and after premedication.</w:t>
      </w:r>
      <w:r w:rsidR="00F92D60" w:rsidRPr="002075FC">
        <w:rPr>
          <w:sz w:val="20"/>
          <w:szCs w:val="20"/>
        </w:rPr>
        <w:t xml:space="preserve"> </w:t>
      </w:r>
    </w:p>
    <w:p w:rsidR="00E87DB7" w:rsidRPr="002075FC" w:rsidRDefault="00F92D60" w:rsidP="002075FC">
      <w:pPr>
        <w:spacing w:line="360" w:lineRule="auto"/>
        <w:jc w:val="both"/>
        <w:rPr>
          <w:sz w:val="20"/>
          <w:szCs w:val="20"/>
        </w:rPr>
      </w:pPr>
      <w:r w:rsidRPr="002075FC">
        <w:rPr>
          <w:sz w:val="20"/>
          <w:szCs w:val="20"/>
        </w:rPr>
        <w:t xml:space="preserve">Following laryngoscopy and. intubation, the highest rise in mean SBP in both the </w:t>
      </w:r>
      <w:proofErr w:type="spellStart"/>
      <w:r w:rsidRPr="002075FC">
        <w:rPr>
          <w:sz w:val="20"/>
          <w:szCs w:val="20"/>
        </w:rPr>
        <w:t>groups</w:t>
      </w:r>
      <w:proofErr w:type="gramStart"/>
      <w:r w:rsidRPr="002075FC">
        <w:rPr>
          <w:sz w:val="20"/>
          <w:szCs w:val="20"/>
        </w:rPr>
        <w:t>,was</w:t>
      </w:r>
      <w:proofErr w:type="spellEnd"/>
      <w:proofErr w:type="gramEnd"/>
      <w:r w:rsidRPr="002075FC">
        <w:rPr>
          <w:sz w:val="20"/>
          <w:szCs w:val="20"/>
        </w:rPr>
        <w:t xml:space="preserve"> seen at 1 minute </w:t>
      </w:r>
      <w:r w:rsidR="00E87DB7" w:rsidRPr="002075FC">
        <w:rPr>
          <w:sz w:val="20"/>
          <w:szCs w:val="20"/>
        </w:rPr>
        <w:t xml:space="preserve">In Group D, SBP raised to 143.73 ± 22.05 mm Hg, i.e. by 11.61% over the preoperative value. The mean SBP reached to </w:t>
      </w:r>
      <w:r w:rsidR="003F1598" w:rsidRPr="002075FC">
        <w:rPr>
          <w:sz w:val="20"/>
          <w:szCs w:val="20"/>
        </w:rPr>
        <w:t>p</w:t>
      </w:r>
      <w:r w:rsidR="007006DD" w:rsidRPr="002075FC">
        <w:rPr>
          <w:sz w:val="20"/>
          <w:szCs w:val="20"/>
        </w:rPr>
        <w:t>reoperative value by 3 minutes</w:t>
      </w:r>
      <w:r w:rsidR="00E87DB7" w:rsidRPr="002075FC">
        <w:rPr>
          <w:sz w:val="20"/>
          <w:szCs w:val="20"/>
        </w:rPr>
        <w:t xml:space="preserve">. Our finding is in accordance with Lee JH, </w:t>
      </w:r>
      <w:proofErr w:type="gramStart"/>
      <w:r w:rsidR="00E87DB7" w:rsidRPr="002075FC">
        <w:rPr>
          <w:sz w:val="20"/>
          <w:szCs w:val="20"/>
        </w:rPr>
        <w:t>et</w:t>
      </w:r>
      <w:proofErr w:type="gramEnd"/>
      <w:r w:rsidR="00E87DB7" w:rsidRPr="002075FC">
        <w:rPr>
          <w:sz w:val="20"/>
          <w:szCs w:val="20"/>
        </w:rPr>
        <w:t xml:space="preserve"> </w:t>
      </w:r>
      <w:r w:rsidR="00B6098E" w:rsidRPr="002075FC">
        <w:rPr>
          <w:sz w:val="20"/>
          <w:szCs w:val="20"/>
          <w:vertAlign w:val="superscript"/>
        </w:rPr>
        <w:t>19</w:t>
      </w:r>
      <w:r w:rsidR="00E87DB7" w:rsidRPr="002075FC">
        <w:rPr>
          <w:sz w:val="20"/>
          <w:szCs w:val="20"/>
        </w:rPr>
        <w:t xml:space="preserve">, they found maximum rise in SBP was at 1 minute and increased from preoperative value by 14.6%. </w:t>
      </w:r>
    </w:p>
    <w:p w:rsidR="00E87DB7" w:rsidRPr="002075FC" w:rsidRDefault="00E87DB7" w:rsidP="002075FC">
      <w:pPr>
        <w:spacing w:line="360" w:lineRule="auto"/>
        <w:jc w:val="both"/>
        <w:rPr>
          <w:sz w:val="20"/>
          <w:szCs w:val="20"/>
        </w:rPr>
      </w:pPr>
      <w:r w:rsidRPr="002075FC">
        <w:rPr>
          <w:sz w:val="20"/>
          <w:szCs w:val="20"/>
        </w:rPr>
        <w:t xml:space="preserve">In Group P, the maximum rise in SBP was </w:t>
      </w:r>
      <w:proofErr w:type="spellStart"/>
      <w:r w:rsidRPr="002075FC">
        <w:rPr>
          <w:sz w:val="20"/>
          <w:szCs w:val="20"/>
        </w:rPr>
        <w:t>upto</w:t>
      </w:r>
      <w:proofErr w:type="spellEnd"/>
      <w:r w:rsidRPr="002075FC">
        <w:rPr>
          <w:sz w:val="20"/>
          <w:szCs w:val="20"/>
        </w:rPr>
        <w:t xml:space="preserve"> 160.23 ± 20.62 mm Hg, i.e. by 26.36% over preoperative value which was found at 1 minute. The raised SBP returned to preoperative value by 4 minutes. These findings are contrary to findings of </w:t>
      </w:r>
      <w:proofErr w:type="spellStart"/>
      <w:r w:rsidRPr="002075FC">
        <w:rPr>
          <w:sz w:val="20"/>
          <w:szCs w:val="20"/>
        </w:rPr>
        <w:t>Sundar</w:t>
      </w:r>
      <w:proofErr w:type="spellEnd"/>
      <w:r w:rsidRPr="002075FC">
        <w:rPr>
          <w:sz w:val="20"/>
          <w:szCs w:val="20"/>
        </w:rPr>
        <w:t xml:space="preserve"> AS et al</w:t>
      </w:r>
      <w:r w:rsidR="00B6098E" w:rsidRPr="002075FC">
        <w:rPr>
          <w:sz w:val="20"/>
          <w:szCs w:val="20"/>
          <w:vertAlign w:val="superscript"/>
        </w:rPr>
        <w:t>18</w:t>
      </w:r>
      <w:r w:rsidRPr="002075FC">
        <w:rPr>
          <w:sz w:val="20"/>
          <w:szCs w:val="20"/>
        </w:rPr>
        <w:t xml:space="preserve">, where they found significant decrease in SBP at 1 minute of </w:t>
      </w:r>
      <w:proofErr w:type="gramStart"/>
      <w:r w:rsidRPr="002075FC">
        <w:rPr>
          <w:sz w:val="20"/>
          <w:szCs w:val="20"/>
        </w:rPr>
        <w:t>intubation.,</w:t>
      </w:r>
      <w:proofErr w:type="gramEnd"/>
      <w:r w:rsidRPr="002075FC">
        <w:rPr>
          <w:sz w:val="20"/>
          <w:szCs w:val="20"/>
        </w:rPr>
        <w:t xml:space="preserve"> the study was done on the patients scheduled </w:t>
      </w:r>
      <w:r w:rsidR="000A76B0" w:rsidRPr="002075FC">
        <w:rPr>
          <w:sz w:val="20"/>
          <w:szCs w:val="20"/>
        </w:rPr>
        <w:t xml:space="preserve"> for bypass surgery who were</w:t>
      </w:r>
      <w:r w:rsidRPr="002075FC">
        <w:rPr>
          <w:sz w:val="20"/>
          <w:szCs w:val="20"/>
        </w:rPr>
        <w:t xml:space="preserve"> on antihypertensive drugs and t also received  fentanyl during induction.</w:t>
      </w:r>
    </w:p>
    <w:p w:rsidR="000A76B0" w:rsidRPr="002075FC" w:rsidRDefault="00E87DB7" w:rsidP="002075FC">
      <w:pPr>
        <w:spacing w:line="360" w:lineRule="auto"/>
        <w:jc w:val="both"/>
        <w:rPr>
          <w:sz w:val="20"/>
          <w:szCs w:val="20"/>
        </w:rPr>
      </w:pPr>
      <w:r w:rsidRPr="002075FC">
        <w:rPr>
          <w:sz w:val="20"/>
          <w:szCs w:val="20"/>
        </w:rPr>
        <w:t xml:space="preserve">In intergroup comparison between Group D and Group P, the mean SBP was significantly lower in Group </w:t>
      </w:r>
      <w:r w:rsidR="007006DD" w:rsidRPr="002075FC">
        <w:rPr>
          <w:sz w:val="20"/>
          <w:szCs w:val="20"/>
        </w:rPr>
        <w:t>D following intubation (Table 3</w:t>
      </w:r>
      <w:r w:rsidRPr="002075FC">
        <w:rPr>
          <w:sz w:val="20"/>
          <w:szCs w:val="20"/>
        </w:rPr>
        <w:t xml:space="preserve">). The readings were statistically significant (P&lt; 0.05) at 1 minute interval and not significant (P&gt; 0.05) at 2, 3 and 5 minutes. </w:t>
      </w:r>
    </w:p>
    <w:p w:rsidR="00E87DB7" w:rsidRPr="002075FC" w:rsidRDefault="00E87DB7" w:rsidP="002075FC">
      <w:pPr>
        <w:spacing w:line="360" w:lineRule="auto"/>
        <w:jc w:val="both"/>
        <w:rPr>
          <w:sz w:val="20"/>
          <w:szCs w:val="20"/>
        </w:rPr>
      </w:pPr>
      <w:r w:rsidRPr="002075FC">
        <w:rPr>
          <w:sz w:val="20"/>
          <w:szCs w:val="20"/>
        </w:rPr>
        <w:t>After giving the test drug but, immediately before induction (</w:t>
      </w:r>
      <w:proofErr w:type="spellStart"/>
      <w:r w:rsidRPr="002075FC">
        <w:rPr>
          <w:sz w:val="20"/>
          <w:szCs w:val="20"/>
        </w:rPr>
        <w:t>p</w:t>
      </w:r>
      <w:r w:rsidR="000A76B0" w:rsidRPr="002075FC">
        <w:rPr>
          <w:sz w:val="20"/>
          <w:szCs w:val="20"/>
        </w:rPr>
        <w:t>reinduction</w:t>
      </w:r>
      <w:proofErr w:type="spellEnd"/>
      <w:r w:rsidR="000A76B0" w:rsidRPr="002075FC">
        <w:rPr>
          <w:sz w:val="20"/>
          <w:szCs w:val="20"/>
        </w:rPr>
        <w:t xml:space="preserve">), in Group D, mean </w:t>
      </w:r>
      <w:proofErr w:type="spellStart"/>
      <w:r w:rsidR="000A76B0" w:rsidRPr="002075FC">
        <w:rPr>
          <w:sz w:val="20"/>
          <w:szCs w:val="20"/>
        </w:rPr>
        <w:t>D</w:t>
      </w:r>
      <w:r w:rsidRPr="002075FC">
        <w:rPr>
          <w:sz w:val="20"/>
          <w:szCs w:val="20"/>
        </w:rPr>
        <w:t>astolic</w:t>
      </w:r>
      <w:proofErr w:type="spellEnd"/>
      <w:r w:rsidRPr="002075FC">
        <w:rPr>
          <w:sz w:val="20"/>
          <w:szCs w:val="20"/>
        </w:rPr>
        <w:t xml:space="preserve"> blood pressure decreased to 71.07 (i.e. by 10.49%), which is sta</w:t>
      </w:r>
      <w:r w:rsidR="00A5653E" w:rsidRPr="002075FC">
        <w:rPr>
          <w:sz w:val="20"/>
          <w:szCs w:val="20"/>
        </w:rPr>
        <w:t>tistically significant (Table 4</w:t>
      </w:r>
      <w:r w:rsidRPr="002075FC">
        <w:rPr>
          <w:sz w:val="20"/>
          <w:szCs w:val="20"/>
        </w:rPr>
        <w:t xml:space="preserve">). The finding is in accordance with </w:t>
      </w:r>
      <w:proofErr w:type="spellStart"/>
      <w:r w:rsidRPr="002075FC">
        <w:rPr>
          <w:sz w:val="20"/>
          <w:szCs w:val="20"/>
        </w:rPr>
        <w:t>Suparto</w:t>
      </w:r>
      <w:proofErr w:type="spellEnd"/>
      <w:r w:rsidRPr="002075FC">
        <w:rPr>
          <w:sz w:val="20"/>
          <w:szCs w:val="20"/>
        </w:rPr>
        <w:t xml:space="preserve"> </w:t>
      </w:r>
      <w:proofErr w:type="gramStart"/>
      <w:r w:rsidRPr="002075FC">
        <w:rPr>
          <w:sz w:val="20"/>
          <w:szCs w:val="20"/>
        </w:rPr>
        <w:t>et</w:t>
      </w:r>
      <w:proofErr w:type="gramEnd"/>
      <w:r w:rsidRPr="002075FC">
        <w:rPr>
          <w:sz w:val="20"/>
          <w:szCs w:val="20"/>
        </w:rPr>
        <w:t xml:space="preserve"> al</w:t>
      </w:r>
      <w:r w:rsidR="00B6098E" w:rsidRPr="002075FC">
        <w:rPr>
          <w:sz w:val="20"/>
          <w:szCs w:val="20"/>
          <w:vertAlign w:val="superscript"/>
        </w:rPr>
        <w:t>1</w:t>
      </w:r>
      <w:r w:rsidR="007006DD" w:rsidRPr="002075FC">
        <w:rPr>
          <w:sz w:val="20"/>
          <w:szCs w:val="20"/>
          <w:vertAlign w:val="superscript"/>
        </w:rPr>
        <w:t>1</w:t>
      </w:r>
      <w:r w:rsidRPr="002075FC">
        <w:rPr>
          <w:sz w:val="20"/>
          <w:szCs w:val="20"/>
        </w:rPr>
        <w:t>, as they found 11% decrease in DBP before laryngoscopy. The DBP in Group P was nearly equal</w:t>
      </w:r>
      <w:r w:rsidR="00A5653E" w:rsidRPr="002075FC">
        <w:rPr>
          <w:sz w:val="20"/>
          <w:szCs w:val="20"/>
        </w:rPr>
        <w:t xml:space="preserve"> to preoperative value (Table 4</w:t>
      </w:r>
      <w:r w:rsidRPr="002075FC">
        <w:rPr>
          <w:sz w:val="20"/>
          <w:szCs w:val="20"/>
        </w:rPr>
        <w:t xml:space="preserve">). The finding of </w:t>
      </w:r>
      <w:proofErr w:type="spellStart"/>
      <w:r w:rsidRPr="002075FC">
        <w:rPr>
          <w:sz w:val="20"/>
          <w:szCs w:val="20"/>
        </w:rPr>
        <w:t>pregabalin</w:t>
      </w:r>
      <w:proofErr w:type="spellEnd"/>
      <w:r w:rsidRPr="002075FC">
        <w:rPr>
          <w:sz w:val="20"/>
          <w:szCs w:val="20"/>
        </w:rPr>
        <w:t xml:space="preserve"> group is in accordance with </w:t>
      </w:r>
      <w:proofErr w:type="spellStart"/>
      <w:r w:rsidRPr="002075FC">
        <w:rPr>
          <w:sz w:val="20"/>
          <w:szCs w:val="20"/>
        </w:rPr>
        <w:t>Sundar</w:t>
      </w:r>
      <w:proofErr w:type="spellEnd"/>
      <w:r w:rsidRPr="002075FC">
        <w:rPr>
          <w:sz w:val="20"/>
          <w:szCs w:val="20"/>
        </w:rPr>
        <w:t xml:space="preserve"> AS, et al</w:t>
      </w:r>
      <w:r w:rsidR="00B6098E" w:rsidRPr="002075FC">
        <w:rPr>
          <w:sz w:val="20"/>
          <w:szCs w:val="20"/>
          <w:vertAlign w:val="superscript"/>
        </w:rPr>
        <w:t>18</w:t>
      </w:r>
      <w:proofErr w:type="gramStart"/>
      <w:r w:rsidRPr="002075FC">
        <w:rPr>
          <w:sz w:val="20"/>
          <w:szCs w:val="20"/>
        </w:rPr>
        <w:t>,.</w:t>
      </w:r>
      <w:proofErr w:type="gramEnd"/>
      <w:r w:rsidRPr="002075FC">
        <w:rPr>
          <w:sz w:val="20"/>
          <w:szCs w:val="20"/>
        </w:rPr>
        <w:t xml:space="preserve"> Following laryngoscopy</w:t>
      </w:r>
      <w:r w:rsidR="007006DD" w:rsidRPr="002075FC">
        <w:rPr>
          <w:sz w:val="20"/>
          <w:szCs w:val="20"/>
        </w:rPr>
        <w:t xml:space="preserve"> and</w:t>
      </w:r>
      <w:r w:rsidRPr="002075FC">
        <w:rPr>
          <w:sz w:val="20"/>
          <w:szCs w:val="20"/>
        </w:rPr>
        <w:t xml:space="preserve">. intubation, the highest rise in mean DBP in both the </w:t>
      </w:r>
      <w:proofErr w:type="spellStart"/>
      <w:r w:rsidRPr="002075FC">
        <w:rPr>
          <w:sz w:val="20"/>
          <w:szCs w:val="20"/>
        </w:rPr>
        <w:t>groups</w:t>
      </w:r>
      <w:proofErr w:type="gramStart"/>
      <w:r w:rsidR="007006DD" w:rsidRPr="002075FC">
        <w:rPr>
          <w:sz w:val="20"/>
          <w:szCs w:val="20"/>
        </w:rPr>
        <w:t>,was</w:t>
      </w:r>
      <w:proofErr w:type="spellEnd"/>
      <w:proofErr w:type="gramEnd"/>
      <w:r w:rsidR="007006DD" w:rsidRPr="002075FC">
        <w:rPr>
          <w:sz w:val="20"/>
          <w:szCs w:val="20"/>
        </w:rPr>
        <w:t xml:space="preserve"> seen at 1 minute</w:t>
      </w:r>
      <w:r w:rsidRPr="002075FC">
        <w:rPr>
          <w:sz w:val="20"/>
          <w:szCs w:val="20"/>
        </w:rPr>
        <w:t xml:space="preserve">. In Group D, DBP increased to 98.83 ± 12.55 mm Hg, (i.e. by 24.47 %) over the preoperative value. The mean DBP returned back to preoperative value by 4 minutes. </w:t>
      </w:r>
      <w:proofErr w:type="gramStart"/>
      <w:r w:rsidR="00C72729" w:rsidRPr="002075FC">
        <w:rPr>
          <w:sz w:val="20"/>
          <w:szCs w:val="20"/>
        </w:rPr>
        <w:t>t</w:t>
      </w:r>
      <w:r w:rsidRPr="002075FC">
        <w:rPr>
          <w:sz w:val="20"/>
          <w:szCs w:val="20"/>
        </w:rPr>
        <w:t>hese</w:t>
      </w:r>
      <w:proofErr w:type="gramEnd"/>
      <w:r w:rsidRPr="002075FC">
        <w:rPr>
          <w:sz w:val="20"/>
          <w:szCs w:val="20"/>
        </w:rPr>
        <w:t xml:space="preserve"> findings are contrary to the findings of Lee JH, et al</w:t>
      </w:r>
      <w:r w:rsidR="007006DD" w:rsidRPr="002075FC">
        <w:rPr>
          <w:sz w:val="20"/>
          <w:szCs w:val="20"/>
          <w:vertAlign w:val="superscript"/>
        </w:rPr>
        <w:t>19</w:t>
      </w:r>
      <w:r w:rsidRPr="002075FC">
        <w:rPr>
          <w:sz w:val="20"/>
          <w:szCs w:val="20"/>
        </w:rPr>
        <w:t xml:space="preserve">. They used </w:t>
      </w:r>
      <w:proofErr w:type="spellStart"/>
      <w:r w:rsidRPr="002075FC">
        <w:rPr>
          <w:sz w:val="20"/>
          <w:szCs w:val="20"/>
        </w:rPr>
        <w:t>dexmedetomidine</w:t>
      </w:r>
      <w:proofErr w:type="spellEnd"/>
      <w:r w:rsidRPr="002075FC">
        <w:rPr>
          <w:sz w:val="20"/>
          <w:szCs w:val="20"/>
        </w:rPr>
        <w:t xml:space="preserve"> infusion at 1 </w:t>
      </w:r>
      <w:proofErr w:type="spellStart"/>
      <w:r w:rsidRPr="002075FC">
        <w:rPr>
          <w:sz w:val="20"/>
          <w:szCs w:val="20"/>
        </w:rPr>
        <w:t>μg</w:t>
      </w:r>
      <w:proofErr w:type="spellEnd"/>
      <w:r w:rsidRPr="002075FC">
        <w:rPr>
          <w:sz w:val="20"/>
          <w:szCs w:val="20"/>
        </w:rPr>
        <w:t xml:space="preserve">/kg and found maximum rise in DBP by 15.7% was </w:t>
      </w:r>
      <w:r w:rsidRPr="002075FC">
        <w:rPr>
          <w:sz w:val="20"/>
          <w:szCs w:val="20"/>
        </w:rPr>
        <w:lastRenderedPageBreak/>
        <w:t xml:space="preserve">at 1 minute. They also found </w:t>
      </w:r>
      <w:proofErr w:type="spellStart"/>
      <w:r w:rsidRPr="002075FC">
        <w:rPr>
          <w:sz w:val="20"/>
          <w:szCs w:val="20"/>
        </w:rPr>
        <w:t>bradycardia</w:t>
      </w:r>
      <w:proofErr w:type="spellEnd"/>
      <w:r w:rsidRPr="002075FC">
        <w:rPr>
          <w:sz w:val="20"/>
          <w:szCs w:val="20"/>
        </w:rPr>
        <w:t xml:space="preserve"> very frequently, whereas in our study </w:t>
      </w:r>
      <w:proofErr w:type="spellStart"/>
      <w:r w:rsidRPr="002075FC">
        <w:rPr>
          <w:sz w:val="20"/>
          <w:szCs w:val="20"/>
        </w:rPr>
        <w:t>bradycardia</w:t>
      </w:r>
      <w:proofErr w:type="spellEnd"/>
      <w:r w:rsidRPr="002075FC">
        <w:rPr>
          <w:sz w:val="20"/>
          <w:szCs w:val="20"/>
        </w:rPr>
        <w:t xml:space="preserve"> not seen. The difference might have been due to the use of higher drug dose.  </w:t>
      </w:r>
    </w:p>
    <w:p w:rsidR="00E87DB7" w:rsidRPr="002075FC" w:rsidRDefault="00E87DB7" w:rsidP="002075FC">
      <w:pPr>
        <w:spacing w:line="360" w:lineRule="auto"/>
        <w:jc w:val="both"/>
        <w:rPr>
          <w:sz w:val="20"/>
          <w:szCs w:val="20"/>
        </w:rPr>
      </w:pPr>
      <w:r w:rsidRPr="002075FC">
        <w:rPr>
          <w:sz w:val="20"/>
          <w:szCs w:val="20"/>
        </w:rPr>
        <w:t>In Group P, the maximum rise in DBP was to 105.37 ± 14.39 mm Hg, i.e. by 31.91% over preoperative value</w:t>
      </w:r>
      <w:r w:rsidR="00A5653E" w:rsidRPr="002075FC">
        <w:rPr>
          <w:sz w:val="20"/>
          <w:szCs w:val="20"/>
        </w:rPr>
        <w:t xml:space="preserve"> was found at 1 minute (Table 3</w:t>
      </w:r>
      <w:r w:rsidRPr="002075FC">
        <w:rPr>
          <w:sz w:val="20"/>
          <w:szCs w:val="20"/>
        </w:rPr>
        <w:t xml:space="preserve">). The raised DBP did not return to preoperative value by 5 minutes. These findings are contrary to findings of </w:t>
      </w:r>
      <w:proofErr w:type="spellStart"/>
      <w:r w:rsidRPr="002075FC">
        <w:rPr>
          <w:sz w:val="20"/>
          <w:szCs w:val="20"/>
        </w:rPr>
        <w:t>Sundar</w:t>
      </w:r>
      <w:proofErr w:type="spellEnd"/>
      <w:r w:rsidR="003970B7" w:rsidRPr="002075FC">
        <w:rPr>
          <w:sz w:val="20"/>
          <w:szCs w:val="20"/>
        </w:rPr>
        <w:t xml:space="preserve"> </w:t>
      </w:r>
      <w:r w:rsidRPr="002075FC">
        <w:rPr>
          <w:sz w:val="20"/>
          <w:szCs w:val="20"/>
        </w:rPr>
        <w:t>AS, et al</w:t>
      </w:r>
      <w:r w:rsidR="00B6098E" w:rsidRPr="002075FC">
        <w:rPr>
          <w:sz w:val="20"/>
          <w:szCs w:val="20"/>
          <w:vertAlign w:val="superscript"/>
        </w:rPr>
        <w:t>18</w:t>
      </w:r>
      <w:r w:rsidRPr="002075FC">
        <w:rPr>
          <w:sz w:val="20"/>
          <w:szCs w:val="20"/>
          <w:vertAlign w:val="superscript"/>
        </w:rPr>
        <w:t xml:space="preserve"> </w:t>
      </w:r>
      <w:r w:rsidRPr="002075FC">
        <w:rPr>
          <w:sz w:val="20"/>
          <w:szCs w:val="20"/>
        </w:rPr>
        <w:t xml:space="preserve">because the study population selected by them were on antihypertensive </w:t>
      </w:r>
      <w:proofErr w:type="gramStart"/>
      <w:r w:rsidRPr="002075FC">
        <w:rPr>
          <w:sz w:val="20"/>
          <w:szCs w:val="20"/>
        </w:rPr>
        <w:t>drugs .</w:t>
      </w:r>
      <w:proofErr w:type="gramEnd"/>
      <w:r w:rsidRPr="002075FC">
        <w:rPr>
          <w:sz w:val="20"/>
          <w:szCs w:val="20"/>
        </w:rPr>
        <w:t xml:space="preserve">   </w:t>
      </w:r>
    </w:p>
    <w:p w:rsidR="00C72729" w:rsidRPr="002075FC" w:rsidRDefault="00E87DB7" w:rsidP="002075FC">
      <w:pPr>
        <w:spacing w:line="360" w:lineRule="auto"/>
        <w:jc w:val="both"/>
        <w:rPr>
          <w:sz w:val="20"/>
          <w:szCs w:val="20"/>
        </w:rPr>
      </w:pPr>
      <w:r w:rsidRPr="002075FC">
        <w:rPr>
          <w:sz w:val="20"/>
          <w:szCs w:val="20"/>
        </w:rPr>
        <w:t xml:space="preserve">In intergroup comparison between Group D and Group P, the mean DBP were significantly lower in Group </w:t>
      </w:r>
      <w:r w:rsidR="00A5653E" w:rsidRPr="002075FC">
        <w:rPr>
          <w:sz w:val="20"/>
          <w:szCs w:val="20"/>
        </w:rPr>
        <w:t>D following intubation (Table 4</w:t>
      </w:r>
      <w:r w:rsidRPr="002075FC">
        <w:rPr>
          <w:sz w:val="20"/>
          <w:szCs w:val="20"/>
        </w:rPr>
        <w:t>). The readings were statistically significant (P&lt; 0.05) at 1 minute interval and not significant (P&gt; 0.05) at 2, 3, 4 and 5 minutes of intubation.</w:t>
      </w:r>
    </w:p>
    <w:p w:rsidR="00E87DB7" w:rsidRPr="002075FC" w:rsidRDefault="00C72729" w:rsidP="002075FC">
      <w:pPr>
        <w:spacing w:line="360" w:lineRule="auto"/>
        <w:jc w:val="both"/>
        <w:rPr>
          <w:sz w:val="20"/>
          <w:szCs w:val="20"/>
        </w:rPr>
      </w:pPr>
      <w:r w:rsidRPr="002075FC">
        <w:rPr>
          <w:sz w:val="20"/>
          <w:szCs w:val="20"/>
        </w:rPr>
        <w:t xml:space="preserve"> </w:t>
      </w:r>
      <w:r w:rsidR="00E87DB7" w:rsidRPr="002075FC">
        <w:rPr>
          <w:sz w:val="20"/>
          <w:szCs w:val="20"/>
        </w:rPr>
        <w:t>Mean Arterial Pressure before administration of the test drug (preoperative) was 95.86 ± 9.47 mmHg in Group D and 94.33 ± 9.57 mmHg in Group P.</w:t>
      </w:r>
    </w:p>
    <w:p w:rsidR="00E87DB7" w:rsidRPr="002075FC" w:rsidRDefault="00E87DB7" w:rsidP="002075FC">
      <w:pPr>
        <w:spacing w:line="360" w:lineRule="auto"/>
        <w:jc w:val="both"/>
        <w:rPr>
          <w:sz w:val="20"/>
          <w:szCs w:val="20"/>
        </w:rPr>
      </w:pPr>
      <w:r w:rsidRPr="002075FC">
        <w:rPr>
          <w:sz w:val="20"/>
          <w:szCs w:val="20"/>
        </w:rPr>
        <w:t>After giving the test drug but immediately before induction (</w:t>
      </w:r>
      <w:proofErr w:type="spellStart"/>
      <w:r w:rsidRPr="002075FC">
        <w:rPr>
          <w:sz w:val="20"/>
          <w:szCs w:val="20"/>
        </w:rPr>
        <w:t>preinduction</w:t>
      </w:r>
      <w:proofErr w:type="spellEnd"/>
      <w:r w:rsidRPr="002075FC">
        <w:rPr>
          <w:sz w:val="20"/>
          <w:szCs w:val="20"/>
        </w:rPr>
        <w:t>), in Group D, mean MAP decreased to 84.17 (i.e. by 12 %), which is sta</w:t>
      </w:r>
      <w:r w:rsidR="00A5653E" w:rsidRPr="002075FC">
        <w:rPr>
          <w:sz w:val="20"/>
          <w:szCs w:val="20"/>
        </w:rPr>
        <w:t>tistically significant (Table 5</w:t>
      </w:r>
      <w:r w:rsidRPr="002075FC">
        <w:rPr>
          <w:sz w:val="20"/>
          <w:szCs w:val="20"/>
        </w:rPr>
        <w:t xml:space="preserve">).The finding is in accordance with </w:t>
      </w:r>
      <w:proofErr w:type="spellStart"/>
      <w:r w:rsidRPr="002075FC">
        <w:rPr>
          <w:sz w:val="20"/>
          <w:szCs w:val="20"/>
        </w:rPr>
        <w:t>Bajwa</w:t>
      </w:r>
      <w:proofErr w:type="spellEnd"/>
      <w:r w:rsidRPr="002075FC">
        <w:rPr>
          <w:sz w:val="20"/>
          <w:szCs w:val="20"/>
        </w:rPr>
        <w:t xml:space="preserve"> SJS, et al</w:t>
      </w:r>
      <w:r w:rsidR="00B6098E" w:rsidRPr="002075FC">
        <w:rPr>
          <w:sz w:val="20"/>
          <w:szCs w:val="20"/>
          <w:vertAlign w:val="superscript"/>
        </w:rPr>
        <w:t>1</w:t>
      </w:r>
      <w:r w:rsidR="007006DD" w:rsidRPr="002075FC">
        <w:rPr>
          <w:sz w:val="20"/>
          <w:szCs w:val="20"/>
          <w:vertAlign w:val="superscript"/>
        </w:rPr>
        <w:t>6</w:t>
      </w:r>
      <w:r w:rsidRPr="002075FC">
        <w:rPr>
          <w:sz w:val="20"/>
          <w:szCs w:val="20"/>
        </w:rPr>
        <w:t>, as they found  10-15% decrease in MAP before laryngoscopy. The MAP in Group P was nearly equal to preoperative value (Table</w:t>
      </w:r>
      <w:r w:rsidR="00B808FB" w:rsidRPr="002075FC">
        <w:rPr>
          <w:sz w:val="20"/>
          <w:szCs w:val="20"/>
        </w:rPr>
        <w:t>5</w:t>
      </w:r>
      <w:r w:rsidRPr="002075FC">
        <w:rPr>
          <w:sz w:val="20"/>
          <w:szCs w:val="20"/>
        </w:rPr>
        <w:t xml:space="preserve">). The findings of </w:t>
      </w:r>
      <w:proofErr w:type="spellStart"/>
      <w:r w:rsidRPr="002075FC">
        <w:rPr>
          <w:sz w:val="20"/>
          <w:szCs w:val="20"/>
        </w:rPr>
        <w:t>pregabalin</w:t>
      </w:r>
      <w:proofErr w:type="spellEnd"/>
      <w:r w:rsidRPr="002075FC">
        <w:rPr>
          <w:sz w:val="20"/>
          <w:szCs w:val="20"/>
        </w:rPr>
        <w:t xml:space="preserve"> group is in accordance with </w:t>
      </w:r>
      <w:proofErr w:type="spellStart"/>
      <w:r w:rsidRPr="002075FC">
        <w:rPr>
          <w:sz w:val="20"/>
          <w:szCs w:val="20"/>
        </w:rPr>
        <w:t>Sundar</w:t>
      </w:r>
      <w:proofErr w:type="spellEnd"/>
      <w:r w:rsidRPr="002075FC">
        <w:rPr>
          <w:sz w:val="20"/>
          <w:szCs w:val="20"/>
        </w:rPr>
        <w:t xml:space="preserve"> AS, et </w:t>
      </w:r>
      <w:r w:rsidR="007D6A66" w:rsidRPr="002075FC">
        <w:rPr>
          <w:sz w:val="20"/>
          <w:szCs w:val="20"/>
          <w:vertAlign w:val="superscript"/>
        </w:rPr>
        <w:t>18</w:t>
      </w:r>
      <w:r w:rsidRPr="002075FC">
        <w:rPr>
          <w:sz w:val="20"/>
          <w:szCs w:val="20"/>
        </w:rPr>
        <w:t xml:space="preserve">, </w:t>
      </w:r>
      <w:proofErr w:type="spellStart"/>
      <w:r w:rsidRPr="002075FC">
        <w:rPr>
          <w:sz w:val="20"/>
          <w:szCs w:val="20"/>
        </w:rPr>
        <w:t>Rastogi</w:t>
      </w:r>
      <w:proofErr w:type="spellEnd"/>
      <w:r w:rsidRPr="002075FC">
        <w:rPr>
          <w:sz w:val="20"/>
          <w:szCs w:val="20"/>
        </w:rPr>
        <w:t xml:space="preserve"> B, et a</w:t>
      </w:r>
      <w:r w:rsidR="007D6A66" w:rsidRPr="002075FC">
        <w:rPr>
          <w:sz w:val="20"/>
          <w:szCs w:val="20"/>
          <w:vertAlign w:val="superscript"/>
        </w:rPr>
        <w:t>1</w:t>
      </w:r>
      <w:r w:rsidR="007006DD" w:rsidRPr="002075FC">
        <w:rPr>
          <w:sz w:val="20"/>
          <w:szCs w:val="20"/>
          <w:vertAlign w:val="superscript"/>
        </w:rPr>
        <w:t>3</w:t>
      </w:r>
      <w:r w:rsidRPr="002075FC">
        <w:rPr>
          <w:sz w:val="20"/>
          <w:szCs w:val="20"/>
        </w:rPr>
        <w:t xml:space="preserve"> and Gupta K, et al</w:t>
      </w:r>
      <w:r w:rsidR="007D6A66" w:rsidRPr="002075FC">
        <w:rPr>
          <w:sz w:val="20"/>
          <w:szCs w:val="20"/>
          <w:vertAlign w:val="superscript"/>
        </w:rPr>
        <w:t>7</w:t>
      </w:r>
      <w:r w:rsidR="00B6098E" w:rsidRPr="002075FC">
        <w:rPr>
          <w:sz w:val="20"/>
          <w:szCs w:val="20"/>
          <w:vertAlign w:val="superscript"/>
        </w:rPr>
        <w:t>,8</w:t>
      </w:r>
      <w:r w:rsidRPr="002075FC">
        <w:rPr>
          <w:sz w:val="20"/>
          <w:szCs w:val="20"/>
        </w:rPr>
        <w:t>as they found there was no significant difference in mean MAP befo</w:t>
      </w:r>
      <w:r w:rsidR="00006117">
        <w:rPr>
          <w:sz w:val="20"/>
          <w:szCs w:val="20"/>
        </w:rPr>
        <w:t xml:space="preserve">re and after premedication. </w:t>
      </w:r>
      <w:r w:rsidRPr="002075FC">
        <w:rPr>
          <w:sz w:val="20"/>
          <w:szCs w:val="20"/>
        </w:rPr>
        <w:t xml:space="preserve"> </w:t>
      </w:r>
      <w:r w:rsidR="007006DD" w:rsidRPr="002075FC">
        <w:rPr>
          <w:sz w:val="20"/>
          <w:szCs w:val="20"/>
        </w:rPr>
        <w:t xml:space="preserve">Following laryngoscopy and. intubation, the highest rise in mean MAP in both the </w:t>
      </w:r>
      <w:proofErr w:type="spellStart"/>
      <w:r w:rsidR="007006DD" w:rsidRPr="002075FC">
        <w:rPr>
          <w:sz w:val="20"/>
          <w:szCs w:val="20"/>
        </w:rPr>
        <w:t>groups</w:t>
      </w:r>
      <w:proofErr w:type="gramStart"/>
      <w:r w:rsidR="007006DD" w:rsidRPr="002075FC">
        <w:rPr>
          <w:sz w:val="20"/>
          <w:szCs w:val="20"/>
        </w:rPr>
        <w:t>,was</w:t>
      </w:r>
      <w:proofErr w:type="spellEnd"/>
      <w:proofErr w:type="gramEnd"/>
      <w:r w:rsidR="007006DD" w:rsidRPr="002075FC">
        <w:rPr>
          <w:sz w:val="20"/>
          <w:szCs w:val="20"/>
        </w:rPr>
        <w:t xml:space="preserve"> seen at 1 minute</w:t>
      </w:r>
      <w:r w:rsidRPr="002075FC">
        <w:rPr>
          <w:sz w:val="20"/>
          <w:szCs w:val="20"/>
        </w:rPr>
        <w:t xml:space="preserve">. In Group D, MAP maximally increased to 113.80 ± 14.35 mmHg, i.e. by 18.71 </w:t>
      </w:r>
      <w:r w:rsidR="003F1598" w:rsidRPr="002075FC">
        <w:rPr>
          <w:sz w:val="20"/>
          <w:szCs w:val="20"/>
        </w:rPr>
        <w:t xml:space="preserve">% over the preoperative value. </w:t>
      </w:r>
      <w:r w:rsidRPr="002075FC">
        <w:rPr>
          <w:sz w:val="20"/>
          <w:szCs w:val="20"/>
        </w:rPr>
        <w:t>.</w:t>
      </w:r>
      <w:r w:rsidR="003F1598" w:rsidRPr="002075FC">
        <w:rPr>
          <w:sz w:val="20"/>
          <w:szCs w:val="20"/>
        </w:rPr>
        <w:t xml:space="preserve"> </w:t>
      </w:r>
      <w:r w:rsidRPr="002075FC">
        <w:rPr>
          <w:sz w:val="20"/>
          <w:szCs w:val="20"/>
        </w:rPr>
        <w:t>The mean MAP returned back to preoperative value by 4 minutes and is comparative to preoperative value. In Group P, the maximum rise in MAP to 123.66 ± 14.31 mm Hg, i.e. by 31.09% over preoperative value was fou</w:t>
      </w:r>
      <w:r w:rsidR="00A5653E" w:rsidRPr="002075FC">
        <w:rPr>
          <w:sz w:val="20"/>
          <w:szCs w:val="20"/>
        </w:rPr>
        <w:t>nd at 1 minute (Table 5</w:t>
      </w:r>
      <w:r w:rsidR="003F1598" w:rsidRPr="002075FC">
        <w:rPr>
          <w:sz w:val="20"/>
          <w:szCs w:val="20"/>
        </w:rPr>
        <w:t>)</w:t>
      </w:r>
      <w:r w:rsidRPr="002075FC">
        <w:rPr>
          <w:sz w:val="20"/>
          <w:szCs w:val="20"/>
        </w:rPr>
        <w:t xml:space="preserve"> The raised MAP returned to preoperative value by 5 minutes of intubation. These findings are not in accordance with Gupta K, et al</w:t>
      </w:r>
      <w:r w:rsidR="007D6A66" w:rsidRPr="002075FC">
        <w:rPr>
          <w:sz w:val="20"/>
          <w:szCs w:val="20"/>
          <w:vertAlign w:val="superscript"/>
        </w:rPr>
        <w:t>7</w:t>
      </w:r>
      <w:proofErr w:type="gramStart"/>
      <w:r w:rsidR="007006DD" w:rsidRPr="002075FC">
        <w:rPr>
          <w:sz w:val="20"/>
          <w:szCs w:val="20"/>
          <w:vertAlign w:val="superscript"/>
        </w:rPr>
        <w:t>,8</w:t>
      </w:r>
      <w:proofErr w:type="gramEnd"/>
      <w:r w:rsidRPr="002075FC">
        <w:rPr>
          <w:sz w:val="20"/>
          <w:szCs w:val="20"/>
        </w:rPr>
        <w:t xml:space="preserve"> who found maximum rise in MAP only by 15.26% and MAP did not return to preoperative value even after 5 minutes. They found lower rise in MAP, may be because they use fentanyl during premedication and </w:t>
      </w:r>
      <w:proofErr w:type="spellStart"/>
      <w:r w:rsidRPr="002075FC">
        <w:rPr>
          <w:sz w:val="20"/>
          <w:szCs w:val="20"/>
        </w:rPr>
        <w:t>propofol</w:t>
      </w:r>
      <w:proofErr w:type="spellEnd"/>
      <w:r w:rsidRPr="002075FC">
        <w:rPr>
          <w:sz w:val="20"/>
          <w:szCs w:val="20"/>
        </w:rPr>
        <w:t xml:space="preserve"> as induction agent.</w:t>
      </w:r>
      <w:r w:rsidRPr="002075FC">
        <w:rPr>
          <w:b/>
          <w:sz w:val="20"/>
          <w:szCs w:val="20"/>
        </w:rPr>
        <w:t xml:space="preserve"> </w:t>
      </w:r>
      <w:r w:rsidRPr="002075FC">
        <w:rPr>
          <w:sz w:val="20"/>
          <w:szCs w:val="20"/>
        </w:rPr>
        <w:t xml:space="preserve"> </w:t>
      </w:r>
    </w:p>
    <w:p w:rsidR="00E87DB7" w:rsidRPr="002075FC" w:rsidRDefault="00E87DB7" w:rsidP="002075FC">
      <w:pPr>
        <w:spacing w:line="360" w:lineRule="auto"/>
        <w:jc w:val="both"/>
        <w:rPr>
          <w:sz w:val="20"/>
          <w:szCs w:val="20"/>
        </w:rPr>
      </w:pPr>
      <w:r w:rsidRPr="002075FC">
        <w:rPr>
          <w:sz w:val="20"/>
          <w:szCs w:val="20"/>
        </w:rPr>
        <w:t>In the intergroup comparison between G</w:t>
      </w:r>
      <w:r w:rsidR="00545D6B" w:rsidRPr="002075FC">
        <w:rPr>
          <w:sz w:val="20"/>
          <w:szCs w:val="20"/>
        </w:rPr>
        <w:t xml:space="preserve">roup D and Group P, the mean </w:t>
      </w:r>
      <w:proofErr w:type="gramStart"/>
      <w:r w:rsidR="00545D6B" w:rsidRPr="002075FC">
        <w:rPr>
          <w:sz w:val="20"/>
          <w:szCs w:val="20"/>
        </w:rPr>
        <w:t xml:space="preserve">MAP </w:t>
      </w:r>
      <w:r w:rsidRPr="002075FC">
        <w:rPr>
          <w:sz w:val="20"/>
          <w:szCs w:val="20"/>
        </w:rPr>
        <w:t xml:space="preserve"> was</w:t>
      </w:r>
      <w:proofErr w:type="gramEnd"/>
      <w:r w:rsidRPr="002075FC">
        <w:rPr>
          <w:sz w:val="20"/>
          <w:szCs w:val="20"/>
        </w:rPr>
        <w:t xml:space="preserve"> significantly lower in Group </w:t>
      </w:r>
      <w:r w:rsidR="00A5653E" w:rsidRPr="002075FC">
        <w:rPr>
          <w:sz w:val="20"/>
          <w:szCs w:val="20"/>
        </w:rPr>
        <w:t>D following intubation (Table 5</w:t>
      </w:r>
      <w:r w:rsidRPr="002075FC">
        <w:rPr>
          <w:sz w:val="20"/>
          <w:szCs w:val="20"/>
        </w:rPr>
        <w:t xml:space="preserve">). The readings were statistically significant (P&lt; 0.05) only at 1 minute interval and comparable (P&gt; 0.05) </w:t>
      </w:r>
      <w:proofErr w:type="gramStart"/>
      <w:r w:rsidRPr="002075FC">
        <w:rPr>
          <w:sz w:val="20"/>
          <w:szCs w:val="20"/>
        </w:rPr>
        <w:t>at  2</w:t>
      </w:r>
      <w:proofErr w:type="gramEnd"/>
      <w:r w:rsidRPr="002075FC">
        <w:rPr>
          <w:sz w:val="20"/>
          <w:szCs w:val="20"/>
        </w:rPr>
        <w:t xml:space="preserve">, 3, 4 and 5 minutes after intubation. </w:t>
      </w:r>
      <w:proofErr w:type="gramStart"/>
      <w:r w:rsidRPr="002075FC">
        <w:rPr>
          <w:sz w:val="20"/>
          <w:szCs w:val="20"/>
        </w:rPr>
        <w:t>groups</w:t>
      </w:r>
      <w:proofErr w:type="gramEnd"/>
      <w:r w:rsidRPr="002075FC">
        <w:rPr>
          <w:sz w:val="20"/>
          <w:szCs w:val="20"/>
        </w:rPr>
        <w:t xml:space="preserve">. </w:t>
      </w:r>
    </w:p>
    <w:p w:rsidR="00771F17" w:rsidRPr="002075FC" w:rsidRDefault="00006117" w:rsidP="002075FC">
      <w:pPr>
        <w:spacing w:line="360" w:lineRule="auto"/>
        <w:jc w:val="both"/>
        <w:rPr>
          <w:b/>
          <w:sz w:val="20"/>
          <w:szCs w:val="20"/>
        </w:rPr>
      </w:pPr>
      <w:r w:rsidRPr="002075FC">
        <w:rPr>
          <w:b/>
          <w:sz w:val="20"/>
          <w:szCs w:val="20"/>
        </w:rPr>
        <w:t>Conclusion:</w:t>
      </w:r>
    </w:p>
    <w:p w:rsidR="00771F17" w:rsidRPr="002075FC" w:rsidRDefault="00771F17" w:rsidP="002075FC">
      <w:pPr>
        <w:spacing w:line="360" w:lineRule="auto"/>
        <w:jc w:val="both"/>
        <w:rPr>
          <w:sz w:val="20"/>
          <w:szCs w:val="20"/>
        </w:rPr>
      </w:pPr>
      <w:r w:rsidRPr="002075FC">
        <w:rPr>
          <w:sz w:val="20"/>
          <w:szCs w:val="20"/>
        </w:rPr>
        <w:t xml:space="preserve"> </w:t>
      </w:r>
      <w:proofErr w:type="spellStart"/>
      <w:r w:rsidRPr="002075FC">
        <w:rPr>
          <w:sz w:val="20"/>
          <w:szCs w:val="20"/>
        </w:rPr>
        <w:t>Dexmedetomidine</w:t>
      </w:r>
      <w:proofErr w:type="spellEnd"/>
      <w:r w:rsidRPr="002075FC">
        <w:rPr>
          <w:sz w:val="20"/>
          <w:szCs w:val="20"/>
        </w:rPr>
        <w:t xml:space="preserve"> infusion in the dose of 0.6 </w:t>
      </w:r>
      <w:proofErr w:type="spellStart"/>
      <w:r w:rsidRPr="002075FC">
        <w:rPr>
          <w:sz w:val="20"/>
          <w:szCs w:val="20"/>
        </w:rPr>
        <w:t>μg</w:t>
      </w:r>
      <w:proofErr w:type="spellEnd"/>
      <w:r w:rsidRPr="002075FC">
        <w:rPr>
          <w:sz w:val="20"/>
          <w:szCs w:val="20"/>
        </w:rPr>
        <w:t xml:space="preserve">/kg given preoperatively under the present study design condition attenuates the tachycardia and </w:t>
      </w:r>
      <w:proofErr w:type="spellStart"/>
      <w:r w:rsidRPr="002075FC">
        <w:rPr>
          <w:sz w:val="20"/>
          <w:szCs w:val="20"/>
        </w:rPr>
        <w:t>pressor</w:t>
      </w:r>
      <w:proofErr w:type="spellEnd"/>
      <w:r w:rsidRPr="002075FC">
        <w:rPr>
          <w:sz w:val="20"/>
          <w:szCs w:val="20"/>
        </w:rPr>
        <w:t xml:space="preserve"> responses associated with laryngoscopy and intubation more than </w:t>
      </w:r>
      <w:proofErr w:type="spellStart"/>
      <w:r w:rsidRPr="002075FC">
        <w:rPr>
          <w:sz w:val="20"/>
          <w:szCs w:val="20"/>
        </w:rPr>
        <w:t>pregabalin</w:t>
      </w:r>
      <w:proofErr w:type="spellEnd"/>
      <w:r w:rsidRPr="002075FC">
        <w:rPr>
          <w:sz w:val="20"/>
          <w:szCs w:val="20"/>
        </w:rPr>
        <w:t xml:space="preserve"> in the dose of 150 mg administered orally.</w:t>
      </w:r>
    </w:p>
    <w:p w:rsidR="00C72729" w:rsidRPr="002075FC" w:rsidRDefault="00C72729" w:rsidP="002075FC">
      <w:pPr>
        <w:spacing w:line="360" w:lineRule="auto"/>
        <w:jc w:val="both"/>
        <w:rPr>
          <w:sz w:val="20"/>
          <w:szCs w:val="20"/>
        </w:rPr>
      </w:pPr>
    </w:p>
    <w:p w:rsidR="00D56911" w:rsidRPr="002075FC" w:rsidRDefault="002075FC" w:rsidP="002075FC">
      <w:pPr>
        <w:spacing w:line="360" w:lineRule="auto"/>
        <w:jc w:val="both"/>
        <w:rPr>
          <w:b/>
          <w:sz w:val="20"/>
          <w:szCs w:val="20"/>
        </w:rPr>
      </w:pPr>
      <w:r w:rsidRPr="002075FC">
        <w:rPr>
          <w:b/>
          <w:sz w:val="20"/>
          <w:szCs w:val="20"/>
        </w:rPr>
        <w:t xml:space="preserve">References: </w:t>
      </w:r>
    </w:p>
    <w:p w:rsidR="00D56911" w:rsidRPr="002075FC" w:rsidRDefault="00D56911" w:rsidP="002075FC">
      <w:pPr>
        <w:pStyle w:val="ListParagraph"/>
        <w:numPr>
          <w:ilvl w:val="0"/>
          <w:numId w:val="6"/>
        </w:numPr>
        <w:spacing w:line="360" w:lineRule="auto"/>
        <w:jc w:val="both"/>
        <w:rPr>
          <w:rStyle w:val="ref-label"/>
          <w:sz w:val="18"/>
          <w:szCs w:val="18"/>
        </w:rPr>
      </w:pPr>
      <w:r w:rsidRPr="002075FC">
        <w:rPr>
          <w:rStyle w:val="element-citation"/>
          <w:sz w:val="18"/>
          <w:szCs w:val="18"/>
        </w:rPr>
        <w:t xml:space="preserve">Fox EJ, </w:t>
      </w:r>
      <w:proofErr w:type="spellStart"/>
      <w:r w:rsidRPr="002075FC">
        <w:rPr>
          <w:rStyle w:val="element-citation"/>
          <w:sz w:val="18"/>
          <w:szCs w:val="18"/>
        </w:rPr>
        <w:t>Sklar</w:t>
      </w:r>
      <w:proofErr w:type="spellEnd"/>
      <w:r w:rsidRPr="002075FC">
        <w:rPr>
          <w:rStyle w:val="element-citation"/>
          <w:sz w:val="18"/>
          <w:szCs w:val="18"/>
        </w:rPr>
        <w:t xml:space="preserve"> GS, Hill CH, Villanueva R, </w:t>
      </w:r>
      <w:proofErr w:type="gramStart"/>
      <w:r w:rsidRPr="002075FC">
        <w:rPr>
          <w:rStyle w:val="element-citation"/>
          <w:sz w:val="18"/>
          <w:szCs w:val="18"/>
        </w:rPr>
        <w:t>King</w:t>
      </w:r>
      <w:proofErr w:type="gramEnd"/>
      <w:r w:rsidRPr="002075FC">
        <w:rPr>
          <w:rStyle w:val="element-citation"/>
          <w:sz w:val="18"/>
          <w:szCs w:val="18"/>
        </w:rPr>
        <w:t xml:space="preserve"> BD. Complications related to the pressure response to endotracheal intubation. </w:t>
      </w:r>
      <w:proofErr w:type="spellStart"/>
      <w:r w:rsidRPr="002075FC">
        <w:rPr>
          <w:rStyle w:val="ref-journal"/>
          <w:sz w:val="18"/>
          <w:szCs w:val="18"/>
        </w:rPr>
        <w:t>Anesthesiology</w:t>
      </w:r>
      <w:proofErr w:type="spellEnd"/>
      <w:r w:rsidRPr="002075FC">
        <w:rPr>
          <w:rStyle w:val="ref-journal"/>
          <w:sz w:val="18"/>
          <w:szCs w:val="18"/>
        </w:rPr>
        <w:t xml:space="preserve"> </w:t>
      </w:r>
      <w:r w:rsidRPr="002075FC">
        <w:rPr>
          <w:rStyle w:val="element-citation"/>
          <w:sz w:val="18"/>
          <w:szCs w:val="18"/>
        </w:rPr>
        <w:t xml:space="preserve">1977; </w:t>
      </w:r>
      <w:r w:rsidRPr="002075FC">
        <w:rPr>
          <w:rStyle w:val="ref-vol"/>
          <w:sz w:val="18"/>
          <w:szCs w:val="18"/>
        </w:rPr>
        <w:t>47</w:t>
      </w:r>
      <w:r w:rsidRPr="002075FC">
        <w:rPr>
          <w:rStyle w:val="element-citation"/>
          <w:sz w:val="18"/>
          <w:szCs w:val="18"/>
        </w:rPr>
        <w:t>: 524–5.</w:t>
      </w:r>
    </w:p>
    <w:p w:rsidR="00DA7D74" w:rsidRPr="002075FC" w:rsidRDefault="00D56911" w:rsidP="002075FC">
      <w:pPr>
        <w:pStyle w:val="ListParagraph"/>
        <w:numPr>
          <w:ilvl w:val="0"/>
          <w:numId w:val="6"/>
        </w:numPr>
        <w:spacing w:line="360" w:lineRule="auto"/>
        <w:jc w:val="both"/>
        <w:rPr>
          <w:rStyle w:val="element-citation"/>
          <w:sz w:val="18"/>
          <w:szCs w:val="18"/>
        </w:rPr>
      </w:pPr>
      <w:proofErr w:type="spellStart"/>
      <w:r w:rsidRPr="002075FC">
        <w:rPr>
          <w:rStyle w:val="element-citation"/>
          <w:sz w:val="18"/>
          <w:szCs w:val="18"/>
        </w:rPr>
        <w:t>Prys</w:t>
      </w:r>
      <w:proofErr w:type="spellEnd"/>
      <w:r w:rsidRPr="002075FC">
        <w:rPr>
          <w:rStyle w:val="element-citation"/>
          <w:sz w:val="18"/>
          <w:szCs w:val="18"/>
        </w:rPr>
        <w:t xml:space="preserve">-Roberts C, Greene LT, Meloche R, </w:t>
      </w:r>
      <w:proofErr w:type="spellStart"/>
      <w:r w:rsidRPr="002075FC">
        <w:rPr>
          <w:rStyle w:val="element-citation"/>
          <w:sz w:val="18"/>
          <w:szCs w:val="18"/>
        </w:rPr>
        <w:t>Forex</w:t>
      </w:r>
      <w:proofErr w:type="spellEnd"/>
      <w:r w:rsidRPr="002075FC">
        <w:rPr>
          <w:rStyle w:val="element-citation"/>
          <w:sz w:val="18"/>
          <w:szCs w:val="18"/>
        </w:rPr>
        <w:t xml:space="preserve"> P. Studies of anaesthesia in relation to hypertension II: Hemodynamic consequences of induction and endotracheal intubation. </w:t>
      </w:r>
      <w:r w:rsidRPr="002075FC">
        <w:rPr>
          <w:rStyle w:val="ref-journal"/>
          <w:sz w:val="18"/>
          <w:szCs w:val="18"/>
        </w:rPr>
        <w:t xml:space="preserve">Br J </w:t>
      </w:r>
      <w:proofErr w:type="spellStart"/>
      <w:r w:rsidRPr="002075FC">
        <w:rPr>
          <w:rStyle w:val="ref-journal"/>
          <w:sz w:val="18"/>
          <w:szCs w:val="18"/>
        </w:rPr>
        <w:t>Anaesth</w:t>
      </w:r>
      <w:proofErr w:type="spellEnd"/>
      <w:r w:rsidRPr="002075FC">
        <w:rPr>
          <w:rStyle w:val="ref-journal"/>
          <w:sz w:val="18"/>
          <w:szCs w:val="18"/>
        </w:rPr>
        <w:t xml:space="preserve"> </w:t>
      </w:r>
      <w:r w:rsidRPr="002075FC">
        <w:rPr>
          <w:rStyle w:val="element-citation"/>
          <w:sz w:val="18"/>
          <w:szCs w:val="18"/>
        </w:rPr>
        <w:t xml:space="preserve">1971; </w:t>
      </w:r>
      <w:r w:rsidRPr="002075FC">
        <w:rPr>
          <w:rStyle w:val="ref-vol"/>
          <w:sz w:val="18"/>
          <w:szCs w:val="18"/>
        </w:rPr>
        <w:t>43</w:t>
      </w:r>
      <w:r w:rsidR="002075FC">
        <w:rPr>
          <w:rStyle w:val="element-citation"/>
          <w:sz w:val="18"/>
          <w:szCs w:val="18"/>
        </w:rPr>
        <w:t>: 531</w:t>
      </w:r>
      <w:r w:rsidR="00DA7D74" w:rsidRPr="002075FC">
        <w:rPr>
          <w:rStyle w:val="element-citation"/>
          <w:sz w:val="18"/>
          <w:szCs w:val="18"/>
        </w:rPr>
        <w:t>.</w:t>
      </w:r>
    </w:p>
    <w:p w:rsidR="00DA7D74" w:rsidRPr="002075FC" w:rsidRDefault="00DA7D74" w:rsidP="002075FC">
      <w:pPr>
        <w:pStyle w:val="ListParagraph"/>
        <w:numPr>
          <w:ilvl w:val="0"/>
          <w:numId w:val="6"/>
        </w:numPr>
        <w:spacing w:line="360" w:lineRule="auto"/>
        <w:jc w:val="both"/>
        <w:rPr>
          <w:rStyle w:val="element-citation"/>
          <w:sz w:val="18"/>
          <w:szCs w:val="18"/>
        </w:rPr>
      </w:pPr>
      <w:proofErr w:type="spellStart"/>
      <w:r w:rsidRPr="002075FC">
        <w:rPr>
          <w:rStyle w:val="element-citation"/>
          <w:sz w:val="18"/>
          <w:szCs w:val="18"/>
        </w:rPr>
        <w:t>Vucevic</w:t>
      </w:r>
      <w:proofErr w:type="spellEnd"/>
      <w:r w:rsidRPr="002075FC">
        <w:rPr>
          <w:rStyle w:val="element-citation"/>
          <w:sz w:val="18"/>
          <w:szCs w:val="18"/>
        </w:rPr>
        <w:t xml:space="preserve"> M, Purdy GM, Ellis FR. </w:t>
      </w:r>
      <w:proofErr w:type="spellStart"/>
      <w:r w:rsidRPr="002075FC">
        <w:rPr>
          <w:rStyle w:val="element-citation"/>
          <w:sz w:val="18"/>
          <w:szCs w:val="18"/>
        </w:rPr>
        <w:t>Esmolol</w:t>
      </w:r>
      <w:proofErr w:type="spellEnd"/>
      <w:r w:rsidRPr="002075FC">
        <w:rPr>
          <w:rStyle w:val="element-citation"/>
          <w:sz w:val="18"/>
          <w:szCs w:val="18"/>
        </w:rPr>
        <w:t xml:space="preserve"> hydrochloride for management of cardiovascular stress response to laryngoscopy and tracheal intubation. </w:t>
      </w:r>
      <w:r w:rsidRPr="002075FC">
        <w:rPr>
          <w:rStyle w:val="ref-journal"/>
          <w:sz w:val="18"/>
          <w:szCs w:val="18"/>
        </w:rPr>
        <w:t xml:space="preserve">Br J </w:t>
      </w:r>
      <w:proofErr w:type="spellStart"/>
      <w:r w:rsidRPr="002075FC">
        <w:rPr>
          <w:rStyle w:val="ref-journal"/>
          <w:sz w:val="18"/>
          <w:szCs w:val="18"/>
        </w:rPr>
        <w:t>Anaesth</w:t>
      </w:r>
      <w:proofErr w:type="spellEnd"/>
      <w:r w:rsidRPr="002075FC">
        <w:rPr>
          <w:rStyle w:val="ref-journal"/>
          <w:sz w:val="18"/>
          <w:szCs w:val="18"/>
        </w:rPr>
        <w:t xml:space="preserve"> </w:t>
      </w:r>
      <w:r w:rsidRPr="002075FC">
        <w:rPr>
          <w:rStyle w:val="element-citation"/>
          <w:sz w:val="18"/>
          <w:szCs w:val="18"/>
        </w:rPr>
        <w:t xml:space="preserve">1992; </w:t>
      </w:r>
      <w:r w:rsidRPr="002075FC">
        <w:rPr>
          <w:rStyle w:val="ref-vol"/>
          <w:sz w:val="18"/>
          <w:szCs w:val="18"/>
        </w:rPr>
        <w:t>68</w:t>
      </w:r>
      <w:r w:rsidRPr="002075FC">
        <w:rPr>
          <w:rStyle w:val="element-citation"/>
          <w:sz w:val="18"/>
          <w:szCs w:val="18"/>
        </w:rPr>
        <w:t>: 529–30.</w:t>
      </w:r>
    </w:p>
    <w:p w:rsidR="00DA7D74" w:rsidRPr="002075FC" w:rsidRDefault="00DA7D74" w:rsidP="002075FC">
      <w:pPr>
        <w:pStyle w:val="ListParagraph"/>
        <w:numPr>
          <w:ilvl w:val="0"/>
          <w:numId w:val="6"/>
        </w:numPr>
        <w:spacing w:line="360" w:lineRule="auto"/>
        <w:jc w:val="both"/>
        <w:rPr>
          <w:rStyle w:val="element-citation"/>
          <w:sz w:val="18"/>
          <w:szCs w:val="18"/>
        </w:rPr>
      </w:pPr>
      <w:proofErr w:type="spellStart"/>
      <w:r w:rsidRPr="002075FC">
        <w:rPr>
          <w:rStyle w:val="element-citation"/>
          <w:sz w:val="18"/>
          <w:szCs w:val="18"/>
        </w:rPr>
        <w:t>Raval</w:t>
      </w:r>
      <w:proofErr w:type="spellEnd"/>
      <w:r w:rsidRPr="002075FC">
        <w:rPr>
          <w:rStyle w:val="element-citation"/>
          <w:sz w:val="18"/>
          <w:szCs w:val="18"/>
        </w:rPr>
        <w:t xml:space="preserve"> DL, Mehta MK. Oral clonidine pre medication for attenuation of haemodynamic response to laryngoscopy and intubation. </w:t>
      </w:r>
      <w:r w:rsidRPr="002075FC">
        <w:rPr>
          <w:rStyle w:val="ref-journal"/>
          <w:sz w:val="18"/>
          <w:szCs w:val="18"/>
        </w:rPr>
        <w:t xml:space="preserve">Indian J </w:t>
      </w:r>
      <w:proofErr w:type="spellStart"/>
      <w:r w:rsidRPr="002075FC">
        <w:rPr>
          <w:rStyle w:val="ref-journal"/>
          <w:sz w:val="18"/>
          <w:szCs w:val="18"/>
        </w:rPr>
        <w:t>Anaesth</w:t>
      </w:r>
      <w:proofErr w:type="spellEnd"/>
      <w:r w:rsidRPr="002075FC">
        <w:rPr>
          <w:rStyle w:val="ref-journal"/>
          <w:sz w:val="18"/>
          <w:szCs w:val="18"/>
        </w:rPr>
        <w:t xml:space="preserve"> </w:t>
      </w:r>
      <w:r w:rsidRPr="002075FC">
        <w:rPr>
          <w:rStyle w:val="element-citation"/>
          <w:sz w:val="18"/>
          <w:szCs w:val="18"/>
        </w:rPr>
        <w:t xml:space="preserve">2002; </w:t>
      </w:r>
      <w:r w:rsidRPr="002075FC">
        <w:rPr>
          <w:rStyle w:val="ref-vol"/>
          <w:sz w:val="18"/>
          <w:szCs w:val="18"/>
        </w:rPr>
        <w:t xml:space="preserve">46 </w:t>
      </w:r>
      <w:r w:rsidRPr="002075FC">
        <w:rPr>
          <w:rStyle w:val="element-citation"/>
          <w:sz w:val="18"/>
          <w:szCs w:val="18"/>
        </w:rPr>
        <w:t>(2): 124–9.</w:t>
      </w:r>
    </w:p>
    <w:p w:rsidR="00DA7D74" w:rsidRPr="002075FC" w:rsidRDefault="00DA7D74" w:rsidP="002075FC">
      <w:pPr>
        <w:pStyle w:val="ListParagraph"/>
        <w:numPr>
          <w:ilvl w:val="0"/>
          <w:numId w:val="6"/>
        </w:numPr>
        <w:spacing w:line="360" w:lineRule="auto"/>
        <w:jc w:val="both"/>
        <w:rPr>
          <w:sz w:val="18"/>
          <w:szCs w:val="18"/>
        </w:rPr>
      </w:pPr>
      <w:r w:rsidRPr="002075FC">
        <w:rPr>
          <w:sz w:val="18"/>
          <w:szCs w:val="18"/>
        </w:rPr>
        <w:lastRenderedPageBreak/>
        <w:t xml:space="preserve">Abbott </w:t>
      </w:r>
      <w:proofErr w:type="spellStart"/>
      <w:r w:rsidRPr="002075FC">
        <w:rPr>
          <w:sz w:val="18"/>
          <w:szCs w:val="18"/>
        </w:rPr>
        <w:t>Labaratories</w:t>
      </w:r>
      <w:proofErr w:type="spellEnd"/>
      <w:r w:rsidRPr="002075FC">
        <w:rPr>
          <w:sz w:val="18"/>
          <w:szCs w:val="18"/>
        </w:rPr>
        <w:t xml:space="preserve">. </w:t>
      </w:r>
      <w:proofErr w:type="spellStart"/>
      <w:r w:rsidRPr="002075FC">
        <w:rPr>
          <w:sz w:val="18"/>
          <w:szCs w:val="18"/>
        </w:rPr>
        <w:t>Precedex</w:t>
      </w:r>
      <w:proofErr w:type="spellEnd"/>
      <w:r w:rsidRPr="002075FC">
        <w:rPr>
          <w:sz w:val="18"/>
          <w:szCs w:val="18"/>
        </w:rPr>
        <w:t xml:space="preserve">. </w:t>
      </w:r>
      <w:proofErr w:type="spellStart"/>
      <w:r w:rsidRPr="002075FC">
        <w:rPr>
          <w:sz w:val="18"/>
          <w:szCs w:val="18"/>
        </w:rPr>
        <w:t>Dexmedetomidine</w:t>
      </w:r>
      <w:proofErr w:type="spellEnd"/>
      <w:r w:rsidRPr="002075FC">
        <w:rPr>
          <w:sz w:val="18"/>
          <w:szCs w:val="18"/>
        </w:rPr>
        <w:t xml:space="preserve"> hydrochloride injection prescribing information. Abbott Laboratories, USA, 2000.</w:t>
      </w:r>
    </w:p>
    <w:p w:rsidR="00BC2F74" w:rsidRPr="002075FC" w:rsidRDefault="00BC2F74" w:rsidP="002075FC">
      <w:pPr>
        <w:pStyle w:val="ListParagraph"/>
        <w:numPr>
          <w:ilvl w:val="0"/>
          <w:numId w:val="6"/>
        </w:numPr>
        <w:spacing w:line="360" w:lineRule="auto"/>
        <w:jc w:val="both"/>
        <w:rPr>
          <w:sz w:val="18"/>
          <w:szCs w:val="18"/>
        </w:rPr>
      </w:pPr>
      <w:r w:rsidRPr="002075FC">
        <w:rPr>
          <w:sz w:val="18"/>
          <w:szCs w:val="18"/>
        </w:rPr>
        <w:t xml:space="preserve">Lee JH, Kim H, Kim HT, Kim MH, Cho K, Lim SH, et al. Comparison of </w:t>
      </w:r>
      <w:proofErr w:type="spellStart"/>
      <w:r w:rsidRPr="002075FC">
        <w:rPr>
          <w:sz w:val="18"/>
          <w:szCs w:val="18"/>
        </w:rPr>
        <w:t>dexmedetomidine</w:t>
      </w:r>
      <w:proofErr w:type="spellEnd"/>
      <w:r w:rsidRPr="002075FC">
        <w:rPr>
          <w:sz w:val="18"/>
          <w:szCs w:val="18"/>
        </w:rPr>
        <w:t xml:space="preserve"> and </w:t>
      </w:r>
      <w:proofErr w:type="spellStart"/>
      <w:r w:rsidRPr="002075FC">
        <w:rPr>
          <w:sz w:val="18"/>
          <w:szCs w:val="18"/>
        </w:rPr>
        <w:t>remifentanil</w:t>
      </w:r>
      <w:proofErr w:type="spellEnd"/>
      <w:r w:rsidRPr="002075FC">
        <w:rPr>
          <w:sz w:val="18"/>
          <w:szCs w:val="18"/>
        </w:rPr>
        <w:t xml:space="preserve"> for attenuation of hemodynamic responses to laryngoscopy and tracheal intubation. Korean J </w:t>
      </w:r>
      <w:proofErr w:type="spellStart"/>
      <w:r w:rsidRPr="002075FC">
        <w:rPr>
          <w:sz w:val="18"/>
          <w:szCs w:val="18"/>
        </w:rPr>
        <w:t>Anesthesiol</w:t>
      </w:r>
      <w:proofErr w:type="spellEnd"/>
      <w:r w:rsidRPr="002075FC">
        <w:rPr>
          <w:sz w:val="18"/>
          <w:szCs w:val="18"/>
        </w:rPr>
        <w:t xml:space="preserve"> 2012; 63 (2): 124-9.</w:t>
      </w:r>
    </w:p>
    <w:p w:rsidR="00281342" w:rsidRPr="002075FC" w:rsidRDefault="00DA7D74" w:rsidP="002075FC">
      <w:pPr>
        <w:pStyle w:val="ListParagraph"/>
        <w:numPr>
          <w:ilvl w:val="0"/>
          <w:numId w:val="6"/>
        </w:numPr>
        <w:spacing w:line="360" w:lineRule="auto"/>
        <w:jc w:val="both"/>
        <w:rPr>
          <w:sz w:val="18"/>
          <w:szCs w:val="18"/>
        </w:rPr>
      </w:pPr>
      <w:r w:rsidRPr="002075FC">
        <w:rPr>
          <w:sz w:val="18"/>
          <w:szCs w:val="18"/>
        </w:rPr>
        <w:t xml:space="preserve">Frampton JE, Foster RH. </w:t>
      </w:r>
      <w:proofErr w:type="spellStart"/>
      <w:r w:rsidRPr="002075FC">
        <w:rPr>
          <w:sz w:val="18"/>
          <w:szCs w:val="18"/>
        </w:rPr>
        <w:t>Pregabalin</w:t>
      </w:r>
      <w:proofErr w:type="spellEnd"/>
      <w:r w:rsidRPr="002075FC">
        <w:rPr>
          <w:sz w:val="18"/>
          <w:szCs w:val="18"/>
        </w:rPr>
        <w:t xml:space="preserve">: In the treatment of </w:t>
      </w:r>
      <w:proofErr w:type="spellStart"/>
      <w:r w:rsidRPr="002075FC">
        <w:rPr>
          <w:sz w:val="18"/>
          <w:szCs w:val="18"/>
        </w:rPr>
        <w:t>postherpetic</w:t>
      </w:r>
      <w:proofErr w:type="spellEnd"/>
      <w:r w:rsidRPr="002075FC">
        <w:rPr>
          <w:sz w:val="18"/>
          <w:szCs w:val="18"/>
        </w:rPr>
        <w:t xml:space="preserve"> neuralgia. Drugs 2005; 65: 111-8.</w:t>
      </w:r>
    </w:p>
    <w:p w:rsidR="00BC2F74" w:rsidRPr="002075FC" w:rsidRDefault="00BC2F74" w:rsidP="002075FC">
      <w:pPr>
        <w:pStyle w:val="ListParagraph"/>
        <w:numPr>
          <w:ilvl w:val="0"/>
          <w:numId w:val="6"/>
        </w:numPr>
        <w:spacing w:line="360" w:lineRule="auto"/>
        <w:jc w:val="both"/>
        <w:rPr>
          <w:sz w:val="18"/>
          <w:szCs w:val="18"/>
        </w:rPr>
      </w:pPr>
      <w:r w:rsidRPr="002075FC">
        <w:rPr>
          <w:sz w:val="18"/>
          <w:szCs w:val="18"/>
        </w:rPr>
        <w:t xml:space="preserve">Gupta K, Sharma D, Gupta PK. Oral premedication with </w:t>
      </w:r>
      <w:proofErr w:type="spellStart"/>
      <w:r w:rsidRPr="002075FC">
        <w:rPr>
          <w:sz w:val="18"/>
          <w:szCs w:val="18"/>
        </w:rPr>
        <w:t>pregabalin</w:t>
      </w:r>
      <w:proofErr w:type="spellEnd"/>
      <w:r w:rsidRPr="002075FC">
        <w:rPr>
          <w:sz w:val="18"/>
          <w:szCs w:val="18"/>
        </w:rPr>
        <w:t xml:space="preserve"> or clonidine for hemodynamic stability during laryngoscopy and </w:t>
      </w:r>
      <w:proofErr w:type="spellStart"/>
      <w:r w:rsidRPr="002075FC">
        <w:rPr>
          <w:sz w:val="18"/>
          <w:szCs w:val="18"/>
        </w:rPr>
        <w:t>laproscopic</w:t>
      </w:r>
      <w:proofErr w:type="spellEnd"/>
      <w:r w:rsidRPr="002075FC">
        <w:rPr>
          <w:sz w:val="18"/>
          <w:szCs w:val="18"/>
        </w:rPr>
        <w:t xml:space="preserve"> cholecystectomy: A comparative evaluation. Saudi J </w:t>
      </w:r>
      <w:proofErr w:type="spellStart"/>
      <w:r w:rsidRPr="002075FC">
        <w:rPr>
          <w:sz w:val="18"/>
          <w:szCs w:val="18"/>
        </w:rPr>
        <w:t>Anaesth</w:t>
      </w:r>
      <w:proofErr w:type="spellEnd"/>
      <w:r w:rsidRPr="002075FC">
        <w:rPr>
          <w:sz w:val="18"/>
          <w:szCs w:val="18"/>
        </w:rPr>
        <w:t xml:space="preserve"> 2011; 5: 179-84.</w:t>
      </w:r>
    </w:p>
    <w:p w:rsidR="00DA7D74" w:rsidRPr="002075FC" w:rsidRDefault="00BC2F74" w:rsidP="002075FC">
      <w:pPr>
        <w:pStyle w:val="ListParagraph"/>
        <w:numPr>
          <w:ilvl w:val="0"/>
          <w:numId w:val="6"/>
        </w:numPr>
        <w:spacing w:line="360" w:lineRule="auto"/>
        <w:jc w:val="both"/>
        <w:rPr>
          <w:sz w:val="18"/>
          <w:szCs w:val="18"/>
        </w:rPr>
      </w:pPr>
      <w:r w:rsidRPr="002075FC">
        <w:rPr>
          <w:sz w:val="18"/>
          <w:szCs w:val="18"/>
        </w:rPr>
        <w:t xml:space="preserve">Gupta K, </w:t>
      </w:r>
      <w:proofErr w:type="spellStart"/>
      <w:r w:rsidRPr="002075FC">
        <w:rPr>
          <w:sz w:val="18"/>
          <w:szCs w:val="18"/>
        </w:rPr>
        <w:t>Bansal</w:t>
      </w:r>
      <w:proofErr w:type="spellEnd"/>
      <w:r w:rsidRPr="002075FC">
        <w:rPr>
          <w:sz w:val="18"/>
          <w:szCs w:val="18"/>
        </w:rPr>
        <w:t xml:space="preserve"> P, Gupta PK, Singh YP. </w:t>
      </w:r>
      <w:proofErr w:type="spellStart"/>
      <w:r w:rsidRPr="002075FC">
        <w:rPr>
          <w:sz w:val="18"/>
          <w:szCs w:val="18"/>
        </w:rPr>
        <w:t>Pregabalin</w:t>
      </w:r>
      <w:proofErr w:type="spellEnd"/>
      <w:r w:rsidRPr="002075FC">
        <w:rPr>
          <w:sz w:val="18"/>
          <w:szCs w:val="18"/>
        </w:rPr>
        <w:t xml:space="preserve"> premedication- A new treatment option for hemodynamic stability during general </w:t>
      </w:r>
      <w:proofErr w:type="spellStart"/>
      <w:r w:rsidRPr="002075FC">
        <w:rPr>
          <w:sz w:val="18"/>
          <w:szCs w:val="18"/>
        </w:rPr>
        <w:t>anesthesia</w:t>
      </w:r>
      <w:proofErr w:type="spellEnd"/>
      <w:r w:rsidRPr="002075FC">
        <w:rPr>
          <w:sz w:val="18"/>
          <w:szCs w:val="18"/>
        </w:rPr>
        <w:t xml:space="preserve">: A prospective study. </w:t>
      </w:r>
      <w:proofErr w:type="spellStart"/>
      <w:r w:rsidRPr="002075FC">
        <w:rPr>
          <w:sz w:val="18"/>
          <w:szCs w:val="18"/>
        </w:rPr>
        <w:t>Anesth</w:t>
      </w:r>
      <w:proofErr w:type="spellEnd"/>
      <w:r w:rsidRPr="002075FC">
        <w:rPr>
          <w:sz w:val="18"/>
          <w:szCs w:val="18"/>
        </w:rPr>
        <w:t xml:space="preserve"> Essays Res 2011; 5: 57-62.</w:t>
      </w:r>
    </w:p>
    <w:p w:rsidR="004E398F" w:rsidRPr="002075FC" w:rsidRDefault="004E398F" w:rsidP="002075FC">
      <w:pPr>
        <w:pStyle w:val="ListParagraph"/>
        <w:numPr>
          <w:ilvl w:val="0"/>
          <w:numId w:val="6"/>
        </w:numPr>
        <w:spacing w:line="360" w:lineRule="auto"/>
        <w:jc w:val="both"/>
        <w:rPr>
          <w:sz w:val="18"/>
          <w:szCs w:val="18"/>
        </w:rPr>
      </w:pPr>
      <w:proofErr w:type="spellStart"/>
      <w:r w:rsidRPr="002075FC">
        <w:rPr>
          <w:sz w:val="18"/>
          <w:szCs w:val="18"/>
        </w:rPr>
        <w:t>Jaakola</w:t>
      </w:r>
      <w:proofErr w:type="spellEnd"/>
      <w:r w:rsidRPr="002075FC">
        <w:rPr>
          <w:sz w:val="18"/>
          <w:szCs w:val="18"/>
        </w:rPr>
        <w:t xml:space="preserve"> ML, </w:t>
      </w:r>
      <w:proofErr w:type="spellStart"/>
      <w:r w:rsidRPr="002075FC">
        <w:rPr>
          <w:sz w:val="18"/>
          <w:szCs w:val="18"/>
        </w:rPr>
        <w:t>Salonen</w:t>
      </w:r>
      <w:proofErr w:type="spellEnd"/>
      <w:r w:rsidRPr="002075FC">
        <w:rPr>
          <w:sz w:val="18"/>
          <w:szCs w:val="18"/>
        </w:rPr>
        <w:t xml:space="preserve"> M, </w:t>
      </w:r>
      <w:proofErr w:type="spellStart"/>
      <w:r w:rsidRPr="002075FC">
        <w:rPr>
          <w:sz w:val="18"/>
          <w:szCs w:val="18"/>
        </w:rPr>
        <w:t>Lehtinen</w:t>
      </w:r>
      <w:proofErr w:type="spellEnd"/>
      <w:r w:rsidRPr="002075FC">
        <w:rPr>
          <w:sz w:val="18"/>
          <w:szCs w:val="18"/>
        </w:rPr>
        <w:t xml:space="preserve"> R, </w:t>
      </w:r>
      <w:proofErr w:type="spellStart"/>
      <w:r w:rsidRPr="002075FC">
        <w:rPr>
          <w:sz w:val="18"/>
          <w:szCs w:val="18"/>
        </w:rPr>
        <w:t>Scheinin</w:t>
      </w:r>
      <w:proofErr w:type="spellEnd"/>
      <w:r w:rsidRPr="002075FC">
        <w:rPr>
          <w:sz w:val="18"/>
          <w:szCs w:val="18"/>
        </w:rPr>
        <w:t xml:space="preserve"> H. The analgesic action of </w:t>
      </w:r>
      <w:proofErr w:type="spellStart"/>
      <w:r w:rsidRPr="002075FC">
        <w:rPr>
          <w:sz w:val="18"/>
          <w:szCs w:val="18"/>
        </w:rPr>
        <w:t>dexmedetomidine</w:t>
      </w:r>
      <w:proofErr w:type="spellEnd"/>
      <w:r w:rsidRPr="002075FC">
        <w:rPr>
          <w:sz w:val="18"/>
          <w:szCs w:val="18"/>
        </w:rPr>
        <w:t xml:space="preserve">- a novel ᾁ2 </w:t>
      </w:r>
      <w:proofErr w:type="spellStart"/>
      <w:r w:rsidRPr="002075FC">
        <w:rPr>
          <w:sz w:val="18"/>
          <w:szCs w:val="18"/>
        </w:rPr>
        <w:t>adrenoceptor</w:t>
      </w:r>
      <w:proofErr w:type="spellEnd"/>
      <w:r w:rsidRPr="002075FC">
        <w:rPr>
          <w:sz w:val="18"/>
          <w:szCs w:val="18"/>
        </w:rPr>
        <w:t xml:space="preserve"> agonist in healthy volunteers. Pain 1991; 46: 281-5.</w:t>
      </w:r>
    </w:p>
    <w:p w:rsidR="004E398F" w:rsidRPr="002075FC" w:rsidRDefault="004E398F" w:rsidP="002075FC">
      <w:pPr>
        <w:pStyle w:val="ListParagraph"/>
        <w:numPr>
          <w:ilvl w:val="0"/>
          <w:numId w:val="6"/>
        </w:numPr>
        <w:spacing w:line="360" w:lineRule="auto"/>
        <w:jc w:val="both"/>
        <w:rPr>
          <w:sz w:val="18"/>
          <w:szCs w:val="18"/>
        </w:rPr>
      </w:pPr>
      <w:proofErr w:type="spellStart"/>
      <w:r w:rsidRPr="002075FC">
        <w:rPr>
          <w:sz w:val="18"/>
          <w:szCs w:val="18"/>
        </w:rPr>
        <w:t>Suparto</w:t>
      </w:r>
      <w:proofErr w:type="spellEnd"/>
      <w:r w:rsidRPr="002075FC">
        <w:rPr>
          <w:sz w:val="18"/>
          <w:szCs w:val="18"/>
        </w:rPr>
        <w:t xml:space="preserve">, Flores OC, </w:t>
      </w:r>
      <w:proofErr w:type="spellStart"/>
      <w:r w:rsidRPr="002075FC">
        <w:rPr>
          <w:sz w:val="18"/>
          <w:szCs w:val="18"/>
        </w:rPr>
        <w:t>Layusa</w:t>
      </w:r>
      <w:proofErr w:type="spellEnd"/>
      <w:r w:rsidRPr="002075FC">
        <w:rPr>
          <w:sz w:val="18"/>
          <w:szCs w:val="18"/>
        </w:rPr>
        <w:t xml:space="preserve"> CAA. A Randomized Control Trial on the Effectiveness of </w:t>
      </w:r>
      <w:proofErr w:type="spellStart"/>
      <w:r w:rsidRPr="002075FC">
        <w:rPr>
          <w:sz w:val="18"/>
          <w:szCs w:val="18"/>
        </w:rPr>
        <w:t>Dexmedetomidine</w:t>
      </w:r>
      <w:proofErr w:type="spellEnd"/>
      <w:r w:rsidRPr="002075FC">
        <w:rPr>
          <w:sz w:val="18"/>
          <w:szCs w:val="18"/>
        </w:rPr>
        <w:t xml:space="preserve"> </w:t>
      </w:r>
      <w:proofErr w:type="gramStart"/>
      <w:r w:rsidRPr="002075FC">
        <w:rPr>
          <w:sz w:val="18"/>
          <w:szCs w:val="18"/>
        </w:rPr>
        <w:t>Versus</w:t>
      </w:r>
      <w:proofErr w:type="gramEnd"/>
      <w:r w:rsidRPr="002075FC">
        <w:rPr>
          <w:sz w:val="18"/>
          <w:szCs w:val="18"/>
        </w:rPr>
        <w:t xml:space="preserve"> Fentanyl in </w:t>
      </w:r>
      <w:proofErr w:type="spellStart"/>
      <w:r w:rsidRPr="002075FC">
        <w:rPr>
          <w:sz w:val="18"/>
          <w:szCs w:val="18"/>
        </w:rPr>
        <w:t>Attenuting</w:t>
      </w:r>
      <w:proofErr w:type="spellEnd"/>
      <w:r w:rsidRPr="002075FC">
        <w:rPr>
          <w:sz w:val="18"/>
          <w:szCs w:val="18"/>
        </w:rPr>
        <w:t xml:space="preserve"> the Sympathetic Response to Direct Laryngoscopy and Endotracheal Intubation. </w:t>
      </w:r>
      <w:proofErr w:type="spellStart"/>
      <w:r w:rsidRPr="002075FC">
        <w:rPr>
          <w:sz w:val="18"/>
          <w:szCs w:val="18"/>
        </w:rPr>
        <w:t>Maj</w:t>
      </w:r>
      <w:proofErr w:type="spellEnd"/>
      <w:r w:rsidRPr="002075FC">
        <w:rPr>
          <w:sz w:val="18"/>
          <w:szCs w:val="18"/>
        </w:rPr>
        <w:t xml:space="preserve"> </w:t>
      </w:r>
      <w:proofErr w:type="spellStart"/>
      <w:r w:rsidRPr="002075FC">
        <w:rPr>
          <w:sz w:val="18"/>
          <w:szCs w:val="18"/>
        </w:rPr>
        <w:t>Kedokt</w:t>
      </w:r>
      <w:proofErr w:type="spellEnd"/>
      <w:r w:rsidRPr="002075FC">
        <w:rPr>
          <w:sz w:val="18"/>
          <w:szCs w:val="18"/>
        </w:rPr>
        <w:t xml:space="preserve"> </w:t>
      </w:r>
      <w:proofErr w:type="spellStart"/>
      <w:r w:rsidRPr="002075FC">
        <w:rPr>
          <w:sz w:val="18"/>
          <w:szCs w:val="18"/>
        </w:rPr>
        <w:t>Indon</w:t>
      </w:r>
      <w:proofErr w:type="spellEnd"/>
      <w:r w:rsidRPr="002075FC">
        <w:rPr>
          <w:sz w:val="18"/>
          <w:szCs w:val="18"/>
        </w:rPr>
        <w:t xml:space="preserve"> 2010; 60(3): 126-32.</w:t>
      </w:r>
    </w:p>
    <w:p w:rsidR="004E398F" w:rsidRPr="002075FC" w:rsidRDefault="004E398F" w:rsidP="002075FC">
      <w:pPr>
        <w:pStyle w:val="ListParagraph"/>
        <w:numPr>
          <w:ilvl w:val="0"/>
          <w:numId w:val="6"/>
        </w:numPr>
        <w:spacing w:line="360" w:lineRule="auto"/>
        <w:jc w:val="both"/>
        <w:rPr>
          <w:sz w:val="18"/>
          <w:szCs w:val="18"/>
        </w:rPr>
      </w:pPr>
      <w:r w:rsidRPr="002075FC">
        <w:rPr>
          <w:sz w:val="18"/>
          <w:szCs w:val="18"/>
        </w:rPr>
        <w:t xml:space="preserve">Hall JE, </w:t>
      </w:r>
      <w:proofErr w:type="spellStart"/>
      <w:r w:rsidRPr="002075FC">
        <w:rPr>
          <w:sz w:val="18"/>
          <w:szCs w:val="18"/>
        </w:rPr>
        <w:t>Uhrich</w:t>
      </w:r>
      <w:proofErr w:type="spellEnd"/>
      <w:r w:rsidRPr="002075FC">
        <w:rPr>
          <w:sz w:val="18"/>
          <w:szCs w:val="18"/>
        </w:rPr>
        <w:t xml:space="preserve"> TD, Barney JA, </w:t>
      </w:r>
      <w:proofErr w:type="spellStart"/>
      <w:r w:rsidRPr="002075FC">
        <w:rPr>
          <w:sz w:val="18"/>
          <w:szCs w:val="18"/>
        </w:rPr>
        <w:t>Arain</w:t>
      </w:r>
      <w:proofErr w:type="spellEnd"/>
      <w:r w:rsidRPr="002075FC">
        <w:rPr>
          <w:sz w:val="18"/>
          <w:szCs w:val="18"/>
        </w:rPr>
        <w:t xml:space="preserve"> SR, Ebert TJ. Sedative, amnestic and analgesic properties of small dose </w:t>
      </w:r>
      <w:proofErr w:type="spellStart"/>
      <w:r w:rsidRPr="002075FC">
        <w:rPr>
          <w:sz w:val="18"/>
          <w:szCs w:val="18"/>
        </w:rPr>
        <w:t>dexmedetomidine</w:t>
      </w:r>
      <w:proofErr w:type="spellEnd"/>
      <w:r w:rsidRPr="002075FC">
        <w:rPr>
          <w:sz w:val="18"/>
          <w:szCs w:val="18"/>
        </w:rPr>
        <w:t xml:space="preserve"> infusions. </w:t>
      </w:r>
      <w:proofErr w:type="spellStart"/>
      <w:r w:rsidRPr="002075FC">
        <w:rPr>
          <w:sz w:val="18"/>
          <w:szCs w:val="18"/>
        </w:rPr>
        <w:t>Anesth</w:t>
      </w:r>
      <w:proofErr w:type="spellEnd"/>
      <w:r w:rsidRPr="002075FC">
        <w:rPr>
          <w:sz w:val="18"/>
          <w:szCs w:val="18"/>
        </w:rPr>
        <w:t xml:space="preserve"> </w:t>
      </w:r>
      <w:proofErr w:type="spellStart"/>
      <w:r w:rsidRPr="002075FC">
        <w:rPr>
          <w:sz w:val="18"/>
          <w:szCs w:val="18"/>
        </w:rPr>
        <w:t>Analg</w:t>
      </w:r>
      <w:proofErr w:type="spellEnd"/>
      <w:r w:rsidRPr="002075FC">
        <w:rPr>
          <w:sz w:val="18"/>
          <w:szCs w:val="18"/>
        </w:rPr>
        <w:t xml:space="preserve"> 2000; 90: 699-705.</w:t>
      </w:r>
    </w:p>
    <w:p w:rsidR="005C5E49" w:rsidRPr="002075FC" w:rsidRDefault="005C5E49" w:rsidP="002075FC">
      <w:pPr>
        <w:pStyle w:val="ListParagraph"/>
        <w:numPr>
          <w:ilvl w:val="0"/>
          <w:numId w:val="6"/>
        </w:numPr>
        <w:spacing w:line="360" w:lineRule="auto"/>
        <w:jc w:val="both"/>
        <w:rPr>
          <w:sz w:val="18"/>
          <w:szCs w:val="18"/>
        </w:rPr>
      </w:pPr>
      <w:proofErr w:type="spellStart"/>
      <w:r w:rsidRPr="002075FC">
        <w:rPr>
          <w:sz w:val="18"/>
          <w:szCs w:val="18"/>
        </w:rPr>
        <w:t>Rastogi</w:t>
      </w:r>
      <w:proofErr w:type="spellEnd"/>
      <w:r w:rsidRPr="002075FC">
        <w:rPr>
          <w:sz w:val="18"/>
          <w:szCs w:val="18"/>
        </w:rPr>
        <w:t xml:space="preserve"> B, Gupta K, Gupta PK, </w:t>
      </w:r>
      <w:proofErr w:type="spellStart"/>
      <w:r w:rsidRPr="002075FC">
        <w:rPr>
          <w:sz w:val="18"/>
          <w:szCs w:val="18"/>
        </w:rPr>
        <w:t>Agarwal</w:t>
      </w:r>
      <w:proofErr w:type="spellEnd"/>
      <w:r w:rsidRPr="002075FC">
        <w:rPr>
          <w:sz w:val="18"/>
          <w:szCs w:val="18"/>
        </w:rPr>
        <w:t xml:space="preserve"> S, Jain M, </w:t>
      </w:r>
      <w:proofErr w:type="spellStart"/>
      <w:r w:rsidRPr="002075FC">
        <w:rPr>
          <w:sz w:val="18"/>
          <w:szCs w:val="18"/>
        </w:rPr>
        <w:t>Chauhan</w:t>
      </w:r>
      <w:proofErr w:type="spellEnd"/>
      <w:r w:rsidRPr="002075FC">
        <w:rPr>
          <w:sz w:val="18"/>
          <w:szCs w:val="18"/>
        </w:rPr>
        <w:t xml:space="preserve"> H. Oral </w:t>
      </w:r>
      <w:proofErr w:type="spellStart"/>
      <w:r w:rsidRPr="002075FC">
        <w:rPr>
          <w:sz w:val="18"/>
          <w:szCs w:val="18"/>
        </w:rPr>
        <w:t>pregabalin</w:t>
      </w:r>
      <w:proofErr w:type="spellEnd"/>
      <w:r w:rsidRPr="002075FC">
        <w:rPr>
          <w:sz w:val="18"/>
          <w:szCs w:val="18"/>
        </w:rPr>
        <w:t xml:space="preserve"> premedication for attenuation of haemodynamic </w:t>
      </w:r>
      <w:proofErr w:type="spellStart"/>
      <w:r w:rsidRPr="002075FC">
        <w:rPr>
          <w:sz w:val="18"/>
          <w:szCs w:val="18"/>
        </w:rPr>
        <w:t>pressor</w:t>
      </w:r>
      <w:proofErr w:type="spellEnd"/>
      <w:r w:rsidRPr="002075FC">
        <w:rPr>
          <w:sz w:val="18"/>
          <w:szCs w:val="18"/>
        </w:rPr>
        <w:t xml:space="preserve"> response of airway instrumentation during general anaesthesia: A dose response study. Indian J </w:t>
      </w:r>
      <w:proofErr w:type="spellStart"/>
      <w:r w:rsidRPr="002075FC">
        <w:rPr>
          <w:sz w:val="18"/>
          <w:szCs w:val="18"/>
        </w:rPr>
        <w:t>Anaesth</w:t>
      </w:r>
      <w:proofErr w:type="spellEnd"/>
      <w:r w:rsidRPr="002075FC">
        <w:rPr>
          <w:sz w:val="18"/>
          <w:szCs w:val="18"/>
        </w:rPr>
        <w:t xml:space="preserve"> 2012; 56: 49-54.</w:t>
      </w:r>
    </w:p>
    <w:p w:rsidR="005C5E49" w:rsidRPr="002075FC" w:rsidRDefault="005C5E49" w:rsidP="002075FC">
      <w:pPr>
        <w:pStyle w:val="ListParagraph"/>
        <w:numPr>
          <w:ilvl w:val="0"/>
          <w:numId w:val="6"/>
        </w:numPr>
        <w:spacing w:line="360" w:lineRule="auto"/>
        <w:jc w:val="both"/>
        <w:rPr>
          <w:sz w:val="18"/>
          <w:szCs w:val="18"/>
        </w:rPr>
      </w:pPr>
      <w:r w:rsidRPr="002075FC">
        <w:rPr>
          <w:sz w:val="18"/>
          <w:szCs w:val="18"/>
          <w:lang w:eastAsia="en-US"/>
        </w:rPr>
        <w:t xml:space="preserve">White PF, </w:t>
      </w:r>
      <w:proofErr w:type="spellStart"/>
      <w:r w:rsidRPr="002075FC">
        <w:rPr>
          <w:sz w:val="18"/>
          <w:szCs w:val="18"/>
          <w:lang w:eastAsia="en-US"/>
        </w:rPr>
        <w:t>Tufanogullari</w:t>
      </w:r>
      <w:proofErr w:type="spellEnd"/>
      <w:r w:rsidRPr="002075FC">
        <w:rPr>
          <w:sz w:val="18"/>
          <w:szCs w:val="18"/>
          <w:lang w:eastAsia="en-US"/>
        </w:rPr>
        <w:t xml:space="preserve"> </w:t>
      </w:r>
      <w:proofErr w:type="spellStart"/>
      <w:r w:rsidRPr="002075FC">
        <w:rPr>
          <w:sz w:val="18"/>
          <w:szCs w:val="18"/>
          <w:lang w:eastAsia="en-US"/>
        </w:rPr>
        <w:t>Burcu</w:t>
      </w:r>
      <w:proofErr w:type="spellEnd"/>
      <w:r w:rsidRPr="002075FC">
        <w:rPr>
          <w:sz w:val="18"/>
          <w:szCs w:val="18"/>
          <w:lang w:eastAsia="en-US"/>
        </w:rPr>
        <w:t xml:space="preserve">, Taylor J, Klein K. The Effect of </w:t>
      </w:r>
      <w:proofErr w:type="spellStart"/>
      <w:r w:rsidRPr="002075FC">
        <w:rPr>
          <w:sz w:val="18"/>
          <w:szCs w:val="18"/>
          <w:lang w:eastAsia="en-US"/>
        </w:rPr>
        <w:t>Pregabalin</w:t>
      </w:r>
      <w:proofErr w:type="spellEnd"/>
      <w:r w:rsidRPr="002075FC">
        <w:rPr>
          <w:sz w:val="18"/>
          <w:szCs w:val="18"/>
          <w:lang w:eastAsia="en-US"/>
        </w:rPr>
        <w:t xml:space="preserve"> on Preoperative Anxiety and Sedation Levels: A Dose-Ranging Study. </w:t>
      </w:r>
      <w:proofErr w:type="spellStart"/>
      <w:r w:rsidRPr="002075FC">
        <w:rPr>
          <w:sz w:val="18"/>
          <w:szCs w:val="18"/>
          <w:lang w:eastAsia="en-US"/>
        </w:rPr>
        <w:t>Anesth</w:t>
      </w:r>
      <w:proofErr w:type="spellEnd"/>
      <w:r w:rsidRPr="002075FC">
        <w:rPr>
          <w:sz w:val="18"/>
          <w:szCs w:val="18"/>
          <w:lang w:eastAsia="en-US"/>
        </w:rPr>
        <w:t xml:space="preserve"> </w:t>
      </w:r>
      <w:proofErr w:type="spellStart"/>
      <w:r w:rsidRPr="002075FC">
        <w:rPr>
          <w:sz w:val="18"/>
          <w:szCs w:val="18"/>
          <w:lang w:eastAsia="en-US"/>
        </w:rPr>
        <w:t>Analg</w:t>
      </w:r>
      <w:proofErr w:type="spellEnd"/>
      <w:r w:rsidRPr="002075FC">
        <w:rPr>
          <w:sz w:val="18"/>
          <w:szCs w:val="18"/>
          <w:lang w:eastAsia="en-US"/>
        </w:rPr>
        <w:t xml:space="preserve"> 2009; 108 (4): 1140-5.</w:t>
      </w:r>
    </w:p>
    <w:p w:rsidR="005C5E49" w:rsidRPr="002075FC" w:rsidRDefault="005C5E49" w:rsidP="002075FC">
      <w:pPr>
        <w:pStyle w:val="ListParagraph"/>
        <w:numPr>
          <w:ilvl w:val="0"/>
          <w:numId w:val="6"/>
        </w:numPr>
        <w:shd w:val="clear" w:color="auto" w:fill="FFFFFF"/>
        <w:spacing w:line="360" w:lineRule="auto"/>
        <w:jc w:val="both"/>
        <w:rPr>
          <w:sz w:val="18"/>
          <w:szCs w:val="18"/>
        </w:rPr>
      </w:pPr>
      <w:r w:rsidRPr="002075FC">
        <w:rPr>
          <w:sz w:val="18"/>
          <w:szCs w:val="18"/>
          <w:lang w:eastAsia="en-US"/>
        </w:rPr>
        <w:t xml:space="preserve">Hill C, </w:t>
      </w:r>
      <w:proofErr w:type="spellStart"/>
      <w:r w:rsidRPr="002075FC">
        <w:rPr>
          <w:sz w:val="18"/>
          <w:szCs w:val="18"/>
          <w:lang w:eastAsia="en-US"/>
        </w:rPr>
        <w:t>Balkenohl</w:t>
      </w:r>
      <w:proofErr w:type="spellEnd"/>
      <w:r w:rsidRPr="002075FC">
        <w:rPr>
          <w:sz w:val="18"/>
          <w:szCs w:val="18"/>
          <w:lang w:eastAsia="en-US"/>
        </w:rPr>
        <w:t xml:space="preserve"> M, Thomas D, Walker R, </w:t>
      </w:r>
      <w:proofErr w:type="spellStart"/>
      <w:r w:rsidRPr="002075FC">
        <w:rPr>
          <w:sz w:val="18"/>
          <w:szCs w:val="18"/>
          <w:lang w:eastAsia="en-US"/>
        </w:rPr>
        <w:t>Mathe</w:t>
      </w:r>
      <w:proofErr w:type="spellEnd"/>
      <w:r w:rsidRPr="002075FC">
        <w:rPr>
          <w:sz w:val="18"/>
          <w:szCs w:val="18"/>
          <w:lang w:eastAsia="en-US"/>
        </w:rPr>
        <w:t xml:space="preserve"> H, Murray </w:t>
      </w:r>
      <w:proofErr w:type="spellStart"/>
      <w:r w:rsidRPr="002075FC">
        <w:rPr>
          <w:sz w:val="18"/>
          <w:szCs w:val="18"/>
          <w:lang w:eastAsia="en-US"/>
        </w:rPr>
        <w:t>G.Pregabalin</w:t>
      </w:r>
      <w:proofErr w:type="spellEnd"/>
      <w:r w:rsidRPr="002075FC">
        <w:rPr>
          <w:sz w:val="18"/>
          <w:szCs w:val="18"/>
          <w:lang w:eastAsia="en-US"/>
        </w:rPr>
        <w:t xml:space="preserve"> in patients with postoperative dental pain. </w:t>
      </w:r>
      <w:proofErr w:type="spellStart"/>
      <w:r w:rsidRPr="002075FC">
        <w:rPr>
          <w:sz w:val="18"/>
          <w:szCs w:val="18"/>
          <w:lang w:eastAsia="en-US"/>
        </w:rPr>
        <w:t>Eur</w:t>
      </w:r>
      <w:proofErr w:type="spellEnd"/>
      <w:r w:rsidRPr="002075FC">
        <w:rPr>
          <w:sz w:val="18"/>
          <w:szCs w:val="18"/>
          <w:lang w:eastAsia="en-US"/>
        </w:rPr>
        <w:t xml:space="preserve"> </w:t>
      </w:r>
      <w:proofErr w:type="spellStart"/>
      <w:r w:rsidRPr="002075FC">
        <w:rPr>
          <w:sz w:val="18"/>
          <w:szCs w:val="18"/>
          <w:lang w:eastAsia="en-US"/>
        </w:rPr>
        <w:t>J</w:t>
      </w:r>
      <w:r w:rsidRPr="002075FC">
        <w:rPr>
          <w:sz w:val="18"/>
          <w:szCs w:val="18"/>
        </w:rPr>
        <w:t>AZ</w:t>
      </w:r>
      <w:r w:rsidRPr="002075FC">
        <w:rPr>
          <w:sz w:val="18"/>
          <w:szCs w:val="18"/>
          <w:lang w:eastAsia="en-US"/>
        </w:rPr>
        <w:t>Pain</w:t>
      </w:r>
      <w:proofErr w:type="spellEnd"/>
      <w:r w:rsidRPr="002075FC">
        <w:rPr>
          <w:sz w:val="18"/>
          <w:szCs w:val="18"/>
          <w:lang w:eastAsia="en-US"/>
        </w:rPr>
        <w:t xml:space="preserve"> 2001; 5: 119–24.</w:t>
      </w:r>
    </w:p>
    <w:p w:rsidR="005C5E49" w:rsidRPr="002075FC" w:rsidRDefault="005C5E49" w:rsidP="002075FC">
      <w:pPr>
        <w:pStyle w:val="ListParagraph"/>
        <w:numPr>
          <w:ilvl w:val="0"/>
          <w:numId w:val="6"/>
        </w:numPr>
        <w:spacing w:line="360" w:lineRule="auto"/>
        <w:jc w:val="both"/>
        <w:rPr>
          <w:sz w:val="18"/>
          <w:szCs w:val="18"/>
        </w:rPr>
      </w:pPr>
      <w:proofErr w:type="spellStart"/>
      <w:r w:rsidRPr="002075FC">
        <w:rPr>
          <w:sz w:val="18"/>
          <w:szCs w:val="18"/>
        </w:rPr>
        <w:t>Bajwa</w:t>
      </w:r>
      <w:proofErr w:type="spellEnd"/>
      <w:r w:rsidRPr="002075FC">
        <w:rPr>
          <w:sz w:val="18"/>
          <w:szCs w:val="18"/>
        </w:rPr>
        <w:t xml:space="preserve"> SJS, </w:t>
      </w:r>
      <w:proofErr w:type="spellStart"/>
      <w:r w:rsidRPr="002075FC">
        <w:rPr>
          <w:sz w:val="18"/>
          <w:szCs w:val="18"/>
        </w:rPr>
        <w:t>Kaur</w:t>
      </w:r>
      <w:proofErr w:type="spellEnd"/>
      <w:r w:rsidRPr="002075FC">
        <w:rPr>
          <w:sz w:val="18"/>
          <w:szCs w:val="18"/>
        </w:rPr>
        <w:t xml:space="preserve"> J, Singh A, </w:t>
      </w:r>
      <w:proofErr w:type="spellStart"/>
      <w:r w:rsidRPr="002075FC">
        <w:rPr>
          <w:sz w:val="18"/>
          <w:szCs w:val="18"/>
        </w:rPr>
        <w:t>Parmar</w:t>
      </w:r>
      <w:proofErr w:type="spellEnd"/>
      <w:r w:rsidRPr="002075FC">
        <w:rPr>
          <w:sz w:val="18"/>
          <w:szCs w:val="18"/>
        </w:rPr>
        <w:t xml:space="preserve"> SS, Sigh G, </w:t>
      </w:r>
      <w:proofErr w:type="spellStart"/>
      <w:r w:rsidRPr="002075FC">
        <w:rPr>
          <w:sz w:val="18"/>
          <w:szCs w:val="18"/>
        </w:rPr>
        <w:t>Kulshrestha</w:t>
      </w:r>
      <w:proofErr w:type="spellEnd"/>
      <w:r w:rsidRPr="002075FC">
        <w:rPr>
          <w:sz w:val="18"/>
          <w:szCs w:val="18"/>
        </w:rPr>
        <w:t xml:space="preserve"> A, et al. Attenuation of </w:t>
      </w:r>
      <w:proofErr w:type="spellStart"/>
      <w:r w:rsidRPr="002075FC">
        <w:rPr>
          <w:sz w:val="18"/>
          <w:szCs w:val="18"/>
        </w:rPr>
        <w:t>pressor</w:t>
      </w:r>
      <w:proofErr w:type="spellEnd"/>
      <w:r w:rsidRPr="002075FC">
        <w:rPr>
          <w:sz w:val="18"/>
          <w:szCs w:val="18"/>
        </w:rPr>
        <w:t xml:space="preserve"> response and dose sparing of opioids and anaesthetics with pre-operative </w:t>
      </w:r>
      <w:proofErr w:type="spellStart"/>
      <w:r w:rsidRPr="002075FC">
        <w:rPr>
          <w:sz w:val="18"/>
          <w:szCs w:val="18"/>
        </w:rPr>
        <w:t>dexmedetomidine</w:t>
      </w:r>
      <w:proofErr w:type="spellEnd"/>
      <w:r w:rsidRPr="002075FC">
        <w:rPr>
          <w:sz w:val="18"/>
          <w:szCs w:val="18"/>
        </w:rPr>
        <w:t xml:space="preserve">. Indian J </w:t>
      </w:r>
      <w:proofErr w:type="spellStart"/>
      <w:r w:rsidRPr="002075FC">
        <w:rPr>
          <w:sz w:val="18"/>
          <w:szCs w:val="18"/>
        </w:rPr>
        <w:t>Anaesth</w:t>
      </w:r>
      <w:proofErr w:type="spellEnd"/>
      <w:r w:rsidRPr="002075FC">
        <w:rPr>
          <w:sz w:val="18"/>
          <w:szCs w:val="18"/>
        </w:rPr>
        <w:t xml:space="preserve"> 2012; 56: 123-8.</w:t>
      </w:r>
    </w:p>
    <w:p w:rsidR="00B6098E" w:rsidRPr="002075FC" w:rsidRDefault="005C5E49" w:rsidP="002075FC">
      <w:pPr>
        <w:pStyle w:val="ListParagraph"/>
        <w:numPr>
          <w:ilvl w:val="0"/>
          <w:numId w:val="6"/>
        </w:numPr>
        <w:spacing w:line="360" w:lineRule="auto"/>
        <w:jc w:val="both"/>
        <w:rPr>
          <w:sz w:val="18"/>
          <w:szCs w:val="18"/>
        </w:rPr>
      </w:pPr>
      <w:proofErr w:type="spellStart"/>
      <w:r w:rsidRPr="002075FC">
        <w:rPr>
          <w:sz w:val="18"/>
          <w:szCs w:val="18"/>
        </w:rPr>
        <w:t>Sulaiman</w:t>
      </w:r>
      <w:proofErr w:type="spellEnd"/>
      <w:r w:rsidRPr="002075FC">
        <w:rPr>
          <w:sz w:val="18"/>
          <w:szCs w:val="18"/>
        </w:rPr>
        <w:t xml:space="preserve"> S, </w:t>
      </w:r>
      <w:proofErr w:type="spellStart"/>
      <w:r w:rsidRPr="002075FC">
        <w:rPr>
          <w:sz w:val="18"/>
          <w:szCs w:val="18"/>
        </w:rPr>
        <w:t>Karthekeyan</w:t>
      </w:r>
      <w:proofErr w:type="spellEnd"/>
      <w:r w:rsidRPr="002075FC">
        <w:rPr>
          <w:sz w:val="18"/>
          <w:szCs w:val="18"/>
        </w:rPr>
        <w:t xml:space="preserve"> RB, </w:t>
      </w:r>
      <w:proofErr w:type="spellStart"/>
      <w:r w:rsidRPr="002075FC">
        <w:rPr>
          <w:sz w:val="18"/>
          <w:szCs w:val="18"/>
        </w:rPr>
        <w:t>Vakamudi</w:t>
      </w:r>
      <w:proofErr w:type="spellEnd"/>
      <w:r w:rsidRPr="002075FC">
        <w:rPr>
          <w:sz w:val="18"/>
          <w:szCs w:val="18"/>
        </w:rPr>
        <w:t xml:space="preserve"> M, </w:t>
      </w:r>
      <w:proofErr w:type="spellStart"/>
      <w:r w:rsidRPr="002075FC">
        <w:rPr>
          <w:sz w:val="18"/>
          <w:szCs w:val="18"/>
        </w:rPr>
        <w:t>Sundar</w:t>
      </w:r>
      <w:proofErr w:type="spellEnd"/>
      <w:r w:rsidRPr="002075FC">
        <w:rPr>
          <w:sz w:val="18"/>
          <w:szCs w:val="18"/>
        </w:rPr>
        <w:t xml:space="preserve"> AS, </w:t>
      </w:r>
      <w:proofErr w:type="spellStart"/>
      <w:r w:rsidRPr="002075FC">
        <w:rPr>
          <w:sz w:val="18"/>
          <w:szCs w:val="18"/>
        </w:rPr>
        <w:t>Ravullapalli</w:t>
      </w:r>
      <w:proofErr w:type="spellEnd"/>
      <w:r w:rsidRPr="002075FC">
        <w:rPr>
          <w:sz w:val="18"/>
          <w:szCs w:val="18"/>
        </w:rPr>
        <w:t xml:space="preserve"> H, </w:t>
      </w:r>
      <w:proofErr w:type="spellStart"/>
      <w:r w:rsidRPr="002075FC">
        <w:rPr>
          <w:sz w:val="18"/>
          <w:szCs w:val="18"/>
        </w:rPr>
        <w:t>Gandham</w:t>
      </w:r>
      <w:proofErr w:type="spellEnd"/>
      <w:r w:rsidRPr="002075FC">
        <w:rPr>
          <w:sz w:val="18"/>
          <w:szCs w:val="18"/>
        </w:rPr>
        <w:t xml:space="preserve"> R. The effects of </w:t>
      </w:r>
      <w:proofErr w:type="spellStart"/>
      <w:r w:rsidRPr="002075FC">
        <w:rPr>
          <w:sz w:val="18"/>
          <w:szCs w:val="18"/>
        </w:rPr>
        <w:t>dexmedetomidine</w:t>
      </w:r>
      <w:proofErr w:type="spellEnd"/>
      <w:r w:rsidRPr="002075FC">
        <w:rPr>
          <w:sz w:val="18"/>
          <w:szCs w:val="18"/>
        </w:rPr>
        <w:t xml:space="preserve"> on attenuation of stress response to endotracheal intubation in patients undergoing elective off pump coronary artery bypass grafting. Ann Card </w:t>
      </w:r>
      <w:proofErr w:type="spellStart"/>
      <w:r w:rsidRPr="002075FC">
        <w:rPr>
          <w:sz w:val="18"/>
          <w:szCs w:val="18"/>
        </w:rPr>
        <w:t>Anaesth</w:t>
      </w:r>
      <w:proofErr w:type="spellEnd"/>
      <w:r w:rsidRPr="002075FC">
        <w:rPr>
          <w:sz w:val="18"/>
          <w:szCs w:val="18"/>
        </w:rPr>
        <w:t xml:space="preserve"> 2012; 15: 39-43.</w:t>
      </w:r>
      <w:r w:rsidR="00B6098E" w:rsidRPr="002075FC">
        <w:rPr>
          <w:sz w:val="18"/>
          <w:szCs w:val="18"/>
        </w:rPr>
        <w:t xml:space="preserve"> </w:t>
      </w:r>
    </w:p>
    <w:p w:rsidR="00B6098E" w:rsidRPr="002075FC" w:rsidRDefault="00B6098E" w:rsidP="002075FC">
      <w:pPr>
        <w:pStyle w:val="ListParagraph"/>
        <w:numPr>
          <w:ilvl w:val="0"/>
          <w:numId w:val="6"/>
        </w:numPr>
        <w:spacing w:line="360" w:lineRule="auto"/>
        <w:jc w:val="both"/>
        <w:rPr>
          <w:sz w:val="18"/>
          <w:szCs w:val="18"/>
        </w:rPr>
      </w:pPr>
      <w:r w:rsidRPr="002075FC">
        <w:rPr>
          <w:sz w:val="18"/>
          <w:szCs w:val="18"/>
        </w:rPr>
        <w:t xml:space="preserve">Sunder AS, </w:t>
      </w:r>
      <w:proofErr w:type="spellStart"/>
      <w:r w:rsidRPr="002075FC">
        <w:rPr>
          <w:sz w:val="18"/>
          <w:szCs w:val="18"/>
        </w:rPr>
        <w:t>Kodali</w:t>
      </w:r>
      <w:proofErr w:type="spellEnd"/>
      <w:r w:rsidRPr="002075FC">
        <w:rPr>
          <w:sz w:val="18"/>
          <w:szCs w:val="18"/>
        </w:rPr>
        <w:t xml:space="preserve"> R, </w:t>
      </w:r>
      <w:proofErr w:type="spellStart"/>
      <w:r w:rsidRPr="002075FC">
        <w:rPr>
          <w:sz w:val="18"/>
          <w:szCs w:val="18"/>
        </w:rPr>
        <w:t>Sulaiman</w:t>
      </w:r>
      <w:proofErr w:type="spellEnd"/>
      <w:r w:rsidRPr="002075FC">
        <w:rPr>
          <w:sz w:val="18"/>
          <w:szCs w:val="18"/>
        </w:rPr>
        <w:t xml:space="preserve"> S, </w:t>
      </w:r>
      <w:proofErr w:type="spellStart"/>
      <w:r w:rsidRPr="002075FC">
        <w:rPr>
          <w:sz w:val="18"/>
          <w:szCs w:val="18"/>
        </w:rPr>
        <w:t>Ravullapalli</w:t>
      </w:r>
      <w:proofErr w:type="spellEnd"/>
      <w:r w:rsidRPr="002075FC">
        <w:rPr>
          <w:sz w:val="18"/>
          <w:szCs w:val="18"/>
        </w:rPr>
        <w:t xml:space="preserve"> H, </w:t>
      </w:r>
      <w:proofErr w:type="spellStart"/>
      <w:r w:rsidRPr="002075FC">
        <w:rPr>
          <w:sz w:val="18"/>
          <w:szCs w:val="18"/>
        </w:rPr>
        <w:t>Karthekeyan</w:t>
      </w:r>
      <w:proofErr w:type="spellEnd"/>
      <w:r w:rsidRPr="002075FC">
        <w:rPr>
          <w:sz w:val="18"/>
          <w:szCs w:val="18"/>
        </w:rPr>
        <w:t xml:space="preserve"> R, </w:t>
      </w:r>
      <w:proofErr w:type="spellStart"/>
      <w:r w:rsidRPr="002075FC">
        <w:rPr>
          <w:sz w:val="18"/>
          <w:szCs w:val="18"/>
        </w:rPr>
        <w:t>Vakamudi</w:t>
      </w:r>
      <w:proofErr w:type="spellEnd"/>
      <w:r w:rsidRPr="002075FC">
        <w:rPr>
          <w:sz w:val="18"/>
          <w:szCs w:val="18"/>
        </w:rPr>
        <w:t xml:space="preserve"> M. The effects of </w:t>
      </w:r>
      <w:proofErr w:type="spellStart"/>
      <w:r w:rsidRPr="002075FC">
        <w:rPr>
          <w:sz w:val="18"/>
          <w:szCs w:val="18"/>
        </w:rPr>
        <w:t>preemptive</w:t>
      </w:r>
      <w:proofErr w:type="spellEnd"/>
      <w:r w:rsidRPr="002075FC">
        <w:rPr>
          <w:sz w:val="18"/>
          <w:szCs w:val="18"/>
        </w:rPr>
        <w:t xml:space="preserve"> </w:t>
      </w:r>
      <w:proofErr w:type="spellStart"/>
      <w:r w:rsidRPr="002075FC">
        <w:rPr>
          <w:sz w:val="18"/>
          <w:szCs w:val="18"/>
        </w:rPr>
        <w:t>pregabalin</w:t>
      </w:r>
      <w:proofErr w:type="spellEnd"/>
      <w:r w:rsidRPr="002075FC">
        <w:rPr>
          <w:sz w:val="18"/>
          <w:szCs w:val="18"/>
        </w:rPr>
        <w:t xml:space="preserve"> on attenuation of stress response to endotracheal intubation and opioid- sparing effect in patients undergoing off-pump coronary artery bypass grafting. Ann Card </w:t>
      </w:r>
      <w:proofErr w:type="spellStart"/>
      <w:r w:rsidRPr="002075FC">
        <w:rPr>
          <w:sz w:val="18"/>
          <w:szCs w:val="18"/>
        </w:rPr>
        <w:t>Anaesth</w:t>
      </w:r>
      <w:proofErr w:type="spellEnd"/>
      <w:r w:rsidRPr="002075FC">
        <w:rPr>
          <w:sz w:val="18"/>
          <w:szCs w:val="18"/>
        </w:rPr>
        <w:t xml:space="preserve"> 2012; 15:18-25.</w:t>
      </w:r>
    </w:p>
    <w:p w:rsidR="005C5E49" w:rsidRPr="002075FC" w:rsidRDefault="00B6098E" w:rsidP="002075FC">
      <w:pPr>
        <w:pStyle w:val="ListParagraph"/>
        <w:numPr>
          <w:ilvl w:val="0"/>
          <w:numId w:val="6"/>
        </w:numPr>
        <w:spacing w:line="360" w:lineRule="auto"/>
        <w:jc w:val="both"/>
        <w:rPr>
          <w:sz w:val="18"/>
          <w:szCs w:val="18"/>
        </w:rPr>
      </w:pPr>
      <w:r w:rsidRPr="002075FC">
        <w:rPr>
          <w:sz w:val="18"/>
          <w:szCs w:val="18"/>
        </w:rPr>
        <w:t xml:space="preserve">Lee JH, Kim H, Kim HT, Kim MH, Cho K, Lim SH, et al. Comparison of </w:t>
      </w:r>
      <w:proofErr w:type="spellStart"/>
      <w:r w:rsidRPr="002075FC">
        <w:rPr>
          <w:sz w:val="18"/>
          <w:szCs w:val="18"/>
        </w:rPr>
        <w:t>dexmedetomidine</w:t>
      </w:r>
      <w:proofErr w:type="spellEnd"/>
      <w:r w:rsidRPr="002075FC">
        <w:rPr>
          <w:sz w:val="18"/>
          <w:szCs w:val="18"/>
        </w:rPr>
        <w:t xml:space="preserve"> and </w:t>
      </w:r>
      <w:proofErr w:type="spellStart"/>
      <w:r w:rsidRPr="002075FC">
        <w:rPr>
          <w:sz w:val="18"/>
          <w:szCs w:val="18"/>
        </w:rPr>
        <w:t>remifentanil</w:t>
      </w:r>
      <w:proofErr w:type="spellEnd"/>
      <w:r w:rsidRPr="002075FC">
        <w:rPr>
          <w:sz w:val="18"/>
          <w:szCs w:val="18"/>
        </w:rPr>
        <w:t xml:space="preserve"> for attenuation of hemodynamic responses to laryngoscopy and tracheal intubation. Korean J </w:t>
      </w:r>
      <w:proofErr w:type="spellStart"/>
      <w:r w:rsidRPr="002075FC">
        <w:rPr>
          <w:sz w:val="18"/>
          <w:szCs w:val="18"/>
        </w:rPr>
        <w:t>Anesthesiol</w:t>
      </w:r>
      <w:proofErr w:type="spellEnd"/>
      <w:r w:rsidRPr="002075FC">
        <w:rPr>
          <w:sz w:val="18"/>
          <w:szCs w:val="18"/>
        </w:rPr>
        <w:t xml:space="preserve"> 2012; 63 (2): 124-9.</w:t>
      </w:r>
    </w:p>
    <w:p w:rsidR="005C5E49" w:rsidRPr="002075FC" w:rsidRDefault="005C5E49" w:rsidP="002075FC">
      <w:pPr>
        <w:pStyle w:val="ListParagraph"/>
        <w:numPr>
          <w:ilvl w:val="0"/>
          <w:numId w:val="6"/>
        </w:numPr>
        <w:spacing w:line="360" w:lineRule="auto"/>
        <w:jc w:val="both"/>
        <w:rPr>
          <w:sz w:val="18"/>
          <w:szCs w:val="18"/>
        </w:rPr>
      </w:pPr>
      <w:proofErr w:type="spellStart"/>
      <w:r w:rsidRPr="002075FC">
        <w:rPr>
          <w:sz w:val="18"/>
          <w:szCs w:val="18"/>
        </w:rPr>
        <w:t>Kaymak</w:t>
      </w:r>
      <w:proofErr w:type="spellEnd"/>
      <w:r w:rsidRPr="002075FC">
        <w:rPr>
          <w:sz w:val="18"/>
          <w:szCs w:val="18"/>
        </w:rPr>
        <w:t xml:space="preserve"> C, </w:t>
      </w:r>
      <w:proofErr w:type="spellStart"/>
      <w:r w:rsidRPr="002075FC">
        <w:rPr>
          <w:sz w:val="18"/>
          <w:szCs w:val="18"/>
        </w:rPr>
        <w:t>Basar</w:t>
      </w:r>
      <w:proofErr w:type="spellEnd"/>
      <w:r w:rsidRPr="002075FC">
        <w:rPr>
          <w:sz w:val="18"/>
          <w:szCs w:val="18"/>
        </w:rPr>
        <w:t xml:space="preserve"> H, </w:t>
      </w:r>
      <w:proofErr w:type="spellStart"/>
      <w:r w:rsidRPr="002075FC">
        <w:rPr>
          <w:sz w:val="18"/>
          <w:szCs w:val="18"/>
        </w:rPr>
        <w:t>Dognci</w:t>
      </w:r>
      <w:proofErr w:type="spellEnd"/>
      <w:r w:rsidRPr="002075FC">
        <w:rPr>
          <w:sz w:val="18"/>
          <w:szCs w:val="18"/>
        </w:rPr>
        <w:t xml:space="preserve"> N, </w:t>
      </w:r>
      <w:proofErr w:type="spellStart"/>
      <w:r w:rsidRPr="002075FC">
        <w:rPr>
          <w:sz w:val="18"/>
          <w:szCs w:val="18"/>
        </w:rPr>
        <w:t>Sert</w:t>
      </w:r>
      <w:proofErr w:type="spellEnd"/>
      <w:r w:rsidRPr="002075FC">
        <w:rPr>
          <w:sz w:val="18"/>
          <w:szCs w:val="18"/>
        </w:rPr>
        <w:t xml:space="preserve"> O, </w:t>
      </w:r>
      <w:proofErr w:type="spellStart"/>
      <w:r w:rsidRPr="002075FC">
        <w:rPr>
          <w:sz w:val="18"/>
          <w:szCs w:val="18"/>
        </w:rPr>
        <w:t>Apan</w:t>
      </w:r>
      <w:proofErr w:type="spellEnd"/>
      <w:r w:rsidRPr="002075FC">
        <w:rPr>
          <w:sz w:val="18"/>
          <w:szCs w:val="18"/>
        </w:rPr>
        <w:t xml:space="preserve"> A. The Effects of Perioperative Low- Moderate Doses of </w:t>
      </w:r>
      <w:proofErr w:type="spellStart"/>
      <w:r w:rsidRPr="002075FC">
        <w:rPr>
          <w:sz w:val="18"/>
          <w:szCs w:val="18"/>
        </w:rPr>
        <w:t>Dexmedetomidine</w:t>
      </w:r>
      <w:proofErr w:type="spellEnd"/>
      <w:r w:rsidRPr="002075FC">
        <w:rPr>
          <w:sz w:val="18"/>
          <w:szCs w:val="18"/>
        </w:rPr>
        <w:t xml:space="preserve"> Infusion on Hemodynamic and Neuroendocrine Parameters. Turk J Med </w:t>
      </w:r>
      <w:proofErr w:type="spellStart"/>
      <w:r w:rsidRPr="002075FC">
        <w:rPr>
          <w:sz w:val="18"/>
          <w:szCs w:val="18"/>
        </w:rPr>
        <w:t>Sci</w:t>
      </w:r>
      <w:proofErr w:type="spellEnd"/>
      <w:r w:rsidRPr="002075FC">
        <w:rPr>
          <w:sz w:val="18"/>
          <w:szCs w:val="18"/>
        </w:rPr>
        <w:t xml:space="preserve"> 2008; 38(1): 65-71.</w:t>
      </w:r>
    </w:p>
    <w:p w:rsidR="005C5E49" w:rsidRDefault="005C5E49" w:rsidP="002075FC">
      <w:pPr>
        <w:pStyle w:val="ListParagraph"/>
        <w:numPr>
          <w:ilvl w:val="0"/>
          <w:numId w:val="6"/>
        </w:numPr>
        <w:spacing w:line="360" w:lineRule="auto"/>
        <w:jc w:val="both"/>
        <w:rPr>
          <w:sz w:val="18"/>
          <w:szCs w:val="18"/>
        </w:rPr>
      </w:pPr>
      <w:r w:rsidRPr="002075FC">
        <w:rPr>
          <w:sz w:val="18"/>
          <w:szCs w:val="18"/>
        </w:rPr>
        <w:t xml:space="preserve">Lee JH, Kim H, Kim HT, Kim MH, Cho K, Lim SH, et al. Comparison of </w:t>
      </w:r>
      <w:proofErr w:type="spellStart"/>
      <w:r w:rsidRPr="002075FC">
        <w:rPr>
          <w:sz w:val="18"/>
          <w:szCs w:val="18"/>
        </w:rPr>
        <w:t>dexmedetomidine</w:t>
      </w:r>
      <w:proofErr w:type="spellEnd"/>
      <w:r w:rsidRPr="002075FC">
        <w:rPr>
          <w:sz w:val="18"/>
          <w:szCs w:val="18"/>
        </w:rPr>
        <w:t xml:space="preserve"> and </w:t>
      </w:r>
      <w:proofErr w:type="spellStart"/>
      <w:r w:rsidRPr="002075FC">
        <w:rPr>
          <w:sz w:val="18"/>
          <w:szCs w:val="18"/>
        </w:rPr>
        <w:t>remifentanil</w:t>
      </w:r>
      <w:proofErr w:type="spellEnd"/>
      <w:r w:rsidRPr="002075FC">
        <w:rPr>
          <w:sz w:val="18"/>
          <w:szCs w:val="18"/>
        </w:rPr>
        <w:t xml:space="preserve"> for attenuation of hemodynamic responses to laryngoscopy and tracheal intubation. Korean J </w:t>
      </w:r>
      <w:proofErr w:type="spellStart"/>
      <w:r w:rsidRPr="002075FC">
        <w:rPr>
          <w:sz w:val="18"/>
          <w:szCs w:val="18"/>
        </w:rPr>
        <w:t>Anesthesiol</w:t>
      </w:r>
      <w:proofErr w:type="spellEnd"/>
      <w:r w:rsidRPr="002075FC">
        <w:rPr>
          <w:sz w:val="18"/>
          <w:szCs w:val="18"/>
        </w:rPr>
        <w:t xml:space="preserve"> 2012; 63 (2): 124-9.</w:t>
      </w:r>
    </w:p>
    <w:p w:rsidR="00006117" w:rsidRDefault="00006117" w:rsidP="00006117">
      <w:pPr>
        <w:spacing w:line="360" w:lineRule="auto"/>
        <w:jc w:val="both"/>
        <w:rPr>
          <w:sz w:val="18"/>
          <w:szCs w:val="18"/>
        </w:rPr>
      </w:pPr>
    </w:p>
    <w:p w:rsidR="00006117" w:rsidRDefault="00006117" w:rsidP="00006117">
      <w:pPr>
        <w:spacing w:line="360" w:lineRule="auto"/>
        <w:jc w:val="both"/>
        <w:rPr>
          <w:sz w:val="18"/>
          <w:szCs w:val="18"/>
        </w:rPr>
      </w:pPr>
    </w:p>
    <w:p w:rsidR="00006117" w:rsidRDefault="00006117" w:rsidP="00006117">
      <w:pPr>
        <w:pStyle w:val="Default"/>
        <w:spacing w:line="360" w:lineRule="auto"/>
        <w:rPr>
          <w:sz w:val="20"/>
          <w:szCs w:val="20"/>
        </w:rPr>
      </w:pPr>
    </w:p>
    <w:p w:rsidR="00006117" w:rsidRDefault="00006117" w:rsidP="00006117">
      <w:pPr>
        <w:pStyle w:val="Default"/>
        <w:spacing w:line="360" w:lineRule="auto"/>
        <w:rPr>
          <w:sz w:val="20"/>
          <w:szCs w:val="20"/>
        </w:rPr>
      </w:pPr>
    </w:p>
    <w:p w:rsidR="00006117" w:rsidRDefault="00006117" w:rsidP="00006117">
      <w:pPr>
        <w:pStyle w:val="Default"/>
        <w:spacing w:line="360" w:lineRule="auto"/>
        <w:rPr>
          <w:sz w:val="20"/>
          <w:szCs w:val="20"/>
        </w:rPr>
      </w:pPr>
    </w:p>
    <w:p w:rsidR="00006117" w:rsidRPr="009A2AD5" w:rsidRDefault="00006117" w:rsidP="00006117">
      <w:pPr>
        <w:pStyle w:val="Default"/>
        <w:spacing w:line="360" w:lineRule="auto"/>
        <w:rPr>
          <w:sz w:val="20"/>
          <w:szCs w:val="20"/>
        </w:rPr>
      </w:pPr>
      <w:r w:rsidRPr="009A2AD5">
        <w:rPr>
          <w:sz w:val="20"/>
          <w:szCs w:val="20"/>
        </w:rPr>
        <w:t xml:space="preserve">Author Declaration:  Source of support: Nil, Conflict of interest: Nil </w:t>
      </w:r>
    </w:p>
    <w:p w:rsidR="00006117" w:rsidRPr="009A2AD5" w:rsidRDefault="00006117" w:rsidP="00006117">
      <w:pPr>
        <w:pStyle w:val="Default"/>
        <w:spacing w:line="360" w:lineRule="auto"/>
        <w:rPr>
          <w:sz w:val="20"/>
          <w:szCs w:val="20"/>
        </w:rPr>
      </w:pPr>
      <w:r w:rsidRPr="009A2AD5">
        <w:rPr>
          <w:sz w:val="20"/>
          <w:szCs w:val="20"/>
        </w:rPr>
        <w:t>Ethics Committee Approval obtained for this study?  YES</w:t>
      </w:r>
    </w:p>
    <w:p w:rsidR="00006117" w:rsidRPr="009A2AD5" w:rsidRDefault="00006117" w:rsidP="00006117">
      <w:pPr>
        <w:pStyle w:val="Default"/>
        <w:spacing w:line="360" w:lineRule="auto"/>
        <w:rPr>
          <w:sz w:val="20"/>
          <w:szCs w:val="20"/>
        </w:rPr>
      </w:pPr>
      <w:r w:rsidRPr="009A2AD5">
        <w:rPr>
          <w:sz w:val="20"/>
          <w:szCs w:val="20"/>
        </w:rPr>
        <w:t>Was informed consent obtained from the subjects involved in the study?  YES</w:t>
      </w:r>
    </w:p>
    <w:p w:rsidR="00006117" w:rsidRPr="009A2AD5" w:rsidRDefault="00006117" w:rsidP="00006117">
      <w:pPr>
        <w:pStyle w:val="Default"/>
        <w:spacing w:line="360" w:lineRule="auto"/>
        <w:rPr>
          <w:sz w:val="20"/>
          <w:szCs w:val="20"/>
        </w:rPr>
      </w:pPr>
      <w:r w:rsidRPr="009A2AD5">
        <w:rPr>
          <w:sz w:val="20"/>
          <w:szCs w:val="20"/>
        </w:rPr>
        <w:t>For any images presented appropriate consent has been obtained from the subjects: NA</w:t>
      </w:r>
    </w:p>
    <w:p w:rsidR="00006117" w:rsidRPr="009A2AD5" w:rsidRDefault="00006117" w:rsidP="00006117">
      <w:pPr>
        <w:pStyle w:val="Default"/>
        <w:spacing w:line="360" w:lineRule="auto"/>
        <w:rPr>
          <w:sz w:val="20"/>
          <w:szCs w:val="20"/>
        </w:rPr>
      </w:pPr>
      <w:r w:rsidRPr="009A2AD5">
        <w:rPr>
          <w:sz w:val="20"/>
          <w:szCs w:val="20"/>
        </w:rPr>
        <w:t xml:space="preserve">Plagiarism Checked: </w:t>
      </w:r>
      <w:proofErr w:type="spellStart"/>
      <w:r w:rsidRPr="009A2AD5">
        <w:rPr>
          <w:sz w:val="20"/>
          <w:szCs w:val="20"/>
        </w:rPr>
        <w:t>Plagramme</w:t>
      </w:r>
      <w:proofErr w:type="spellEnd"/>
      <w:r w:rsidRPr="009A2AD5">
        <w:rPr>
          <w:sz w:val="20"/>
          <w:szCs w:val="20"/>
        </w:rPr>
        <w:t xml:space="preserve"> Software </w:t>
      </w:r>
    </w:p>
    <w:p w:rsidR="00006117" w:rsidRPr="009A2AD5" w:rsidRDefault="00006117" w:rsidP="00006117">
      <w:pPr>
        <w:pStyle w:val="Default"/>
        <w:spacing w:line="360" w:lineRule="auto"/>
        <w:rPr>
          <w:sz w:val="20"/>
          <w:szCs w:val="20"/>
        </w:rPr>
      </w:pPr>
      <w:r w:rsidRPr="009A2AD5">
        <w:rPr>
          <w:sz w:val="20"/>
          <w:szCs w:val="20"/>
        </w:rPr>
        <w:t>Author work published under a Creative Commons Attribution 4.0 International License</w:t>
      </w:r>
    </w:p>
    <w:p w:rsidR="00006117" w:rsidRPr="009A2AD5" w:rsidRDefault="00006117" w:rsidP="00006117">
      <w:pPr>
        <w:pStyle w:val="Default"/>
        <w:spacing w:line="360" w:lineRule="auto"/>
        <w:rPr>
          <w:sz w:val="20"/>
          <w:szCs w:val="20"/>
        </w:rPr>
      </w:pPr>
      <w:r>
        <w:rPr>
          <w:noProof/>
          <w:sz w:val="20"/>
          <w:szCs w:val="20"/>
          <w:lang w:val="en-IN" w:eastAsia="en-IN"/>
        </w:rPr>
        <w:drawing>
          <wp:inline distT="0" distB="0" distL="0" distR="0" wp14:anchorId="68C24CF8" wp14:editId="010FC0AE">
            <wp:extent cx="646430" cy="48133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 cy="481330"/>
                    </a:xfrm>
                    <a:prstGeom prst="rect">
                      <a:avLst/>
                    </a:prstGeom>
                    <a:noFill/>
                  </pic:spPr>
                </pic:pic>
              </a:graphicData>
            </a:graphic>
          </wp:inline>
        </w:drawing>
      </w:r>
    </w:p>
    <w:p w:rsidR="00006117" w:rsidRPr="00DB3087" w:rsidRDefault="00006117" w:rsidP="00006117">
      <w:pPr>
        <w:pStyle w:val="Default"/>
        <w:spacing w:line="360" w:lineRule="auto"/>
        <w:rPr>
          <w:sz w:val="20"/>
          <w:szCs w:val="20"/>
        </w:rPr>
      </w:pPr>
      <w:r w:rsidRPr="009A2AD5">
        <w:rPr>
          <w:sz w:val="20"/>
          <w:szCs w:val="20"/>
        </w:rPr>
        <w:t xml:space="preserve">DOI: </w:t>
      </w:r>
      <w:r>
        <w:rPr>
          <w:sz w:val="20"/>
          <w:szCs w:val="20"/>
        </w:rPr>
        <w:t>10.36848/IJBAMR/2020/26215.55660</w:t>
      </w:r>
    </w:p>
    <w:p w:rsidR="00006117" w:rsidRPr="00006117" w:rsidRDefault="00006117" w:rsidP="00006117">
      <w:pPr>
        <w:spacing w:line="360" w:lineRule="auto"/>
        <w:jc w:val="both"/>
        <w:rPr>
          <w:sz w:val="18"/>
          <w:szCs w:val="18"/>
        </w:rPr>
      </w:pPr>
    </w:p>
    <w:sectPr w:rsidR="00006117" w:rsidRPr="00006117" w:rsidSect="00006117">
      <w:headerReference w:type="default" r:id="rId11"/>
      <w:footerReference w:type="default" r:id="rId12"/>
      <w:pgSz w:w="11906" w:h="16838"/>
      <w:pgMar w:top="1440" w:right="1440" w:bottom="1440" w:left="1440" w:header="708" w:footer="708" w:gutter="0"/>
      <w:pgNumType w:start="1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1D" w:rsidRDefault="00F4771D" w:rsidP="00300B1A">
      <w:r>
        <w:separator/>
      </w:r>
    </w:p>
  </w:endnote>
  <w:endnote w:type="continuationSeparator" w:id="0">
    <w:p w:rsidR="00F4771D" w:rsidRDefault="00F4771D" w:rsidP="0030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006117">
      <w:trPr>
        <w:trHeight w:val="360"/>
      </w:trPr>
      <w:tc>
        <w:tcPr>
          <w:tcW w:w="3500" w:type="pct"/>
        </w:tcPr>
        <w:p w:rsidR="00006117" w:rsidRPr="00006117" w:rsidRDefault="00006117">
          <w:pPr>
            <w:pStyle w:val="Footer"/>
            <w:jc w:val="right"/>
            <w:rPr>
              <w:sz w:val="18"/>
              <w:szCs w:val="18"/>
            </w:rPr>
          </w:pPr>
          <w:r w:rsidRPr="00006117">
            <w:rPr>
              <w:sz w:val="18"/>
              <w:szCs w:val="18"/>
            </w:rPr>
            <w:t>www.ijbamr.com   P ISSN: 2250-284X, E ISSN: 2250-2858</w:t>
          </w:r>
        </w:p>
      </w:tc>
      <w:tc>
        <w:tcPr>
          <w:tcW w:w="1500" w:type="pct"/>
          <w:shd w:val="clear" w:color="auto" w:fill="FFC000" w:themeFill="accent4"/>
        </w:tcPr>
        <w:p w:rsidR="00006117" w:rsidRDefault="00006117">
          <w:pPr>
            <w:pStyle w:val="Footer"/>
            <w:jc w:val="right"/>
            <w:rPr>
              <w:color w:val="FFFFFF" w:themeColor="background1"/>
            </w:rPr>
          </w:pPr>
          <w:r>
            <w:fldChar w:fldCharType="begin"/>
          </w:r>
          <w:r>
            <w:instrText xml:space="preserve"> PAGE    \* MERGEFORMAT </w:instrText>
          </w:r>
          <w:r>
            <w:fldChar w:fldCharType="separate"/>
          </w:r>
          <w:r w:rsidRPr="00006117">
            <w:rPr>
              <w:noProof/>
              <w:color w:val="FFFFFF" w:themeColor="background1"/>
            </w:rPr>
            <w:t>199</w:t>
          </w:r>
          <w:r>
            <w:rPr>
              <w:noProof/>
              <w:color w:val="FFFFFF" w:themeColor="background1"/>
            </w:rPr>
            <w:fldChar w:fldCharType="end"/>
          </w:r>
        </w:p>
      </w:tc>
    </w:tr>
  </w:tbl>
  <w:p w:rsidR="00006117" w:rsidRDefault="00006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1D" w:rsidRDefault="00F4771D" w:rsidP="00300B1A">
      <w:r>
        <w:separator/>
      </w:r>
    </w:p>
  </w:footnote>
  <w:footnote w:type="continuationSeparator" w:id="0">
    <w:p w:rsidR="00F4771D" w:rsidRDefault="00F4771D" w:rsidP="0030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17" w:rsidRPr="009A2AD5" w:rsidRDefault="00006117" w:rsidP="00006117">
    <w:pPr>
      <w:tabs>
        <w:tab w:val="left" w:pos="496"/>
        <w:tab w:val="center" w:pos="4680"/>
        <w:tab w:val="right" w:pos="9360"/>
      </w:tabs>
      <w:ind w:left="57" w:right="-567"/>
      <w:jc w:val="both"/>
      <w:rPr>
        <w:rFonts w:ascii="Cambria" w:eastAsia="Cambria" w:hAnsi="Cambria"/>
        <w:sz w:val="20"/>
        <w:szCs w:val="20"/>
      </w:rPr>
    </w:pPr>
    <w:r w:rsidRPr="009A2AD5">
      <w:rPr>
        <w:rFonts w:ascii="Cambria" w:eastAsia="Cambria" w:hAnsi="Cambria"/>
        <w:sz w:val="20"/>
        <w:szCs w:val="20"/>
      </w:rPr>
      <w:t>Indian Journal of Basic and Applied Medical Research; March 2021: Vol.-10, Issue- 2</w:t>
    </w:r>
    <w:proofErr w:type="gramStart"/>
    <w:r w:rsidRPr="009A2AD5">
      <w:rPr>
        <w:rFonts w:ascii="Cambria" w:eastAsia="Cambria" w:hAnsi="Cambria"/>
        <w:sz w:val="20"/>
        <w:szCs w:val="20"/>
      </w:rPr>
      <w:t>,  P</w:t>
    </w:r>
    <w:proofErr w:type="gramEnd"/>
    <w:r w:rsidRPr="009A2AD5">
      <w:rPr>
        <w:rFonts w:ascii="Cambria" w:eastAsia="Cambria" w:hAnsi="Cambria"/>
        <w:sz w:val="20"/>
        <w:szCs w:val="20"/>
      </w:rPr>
      <w:t xml:space="preserve">. </w:t>
    </w:r>
    <w:r>
      <w:rPr>
        <w:rFonts w:ascii="Cambria" w:eastAsia="Cambria" w:hAnsi="Cambria"/>
        <w:sz w:val="20"/>
        <w:szCs w:val="20"/>
      </w:rPr>
      <w:t>190 - 199</w:t>
    </w:r>
  </w:p>
  <w:p w:rsidR="00006117" w:rsidRPr="009A2AD5" w:rsidRDefault="00006117" w:rsidP="00006117">
    <w:pPr>
      <w:tabs>
        <w:tab w:val="left" w:pos="496"/>
        <w:tab w:val="center" w:pos="4680"/>
        <w:tab w:val="right" w:pos="9360"/>
      </w:tabs>
      <w:ind w:left="57" w:right="-567"/>
      <w:jc w:val="both"/>
      <w:rPr>
        <w:rFonts w:ascii="Cambria" w:hAnsi="Cambria"/>
        <w:sz w:val="20"/>
        <w:szCs w:val="20"/>
      </w:rPr>
    </w:pPr>
    <w:r w:rsidRPr="009A2AD5">
      <w:rPr>
        <w:rFonts w:ascii="Cambria" w:hAnsi="Cambria"/>
        <w:bCs/>
        <w:sz w:val="20"/>
        <w:szCs w:val="20"/>
        <w:shd w:val="clear" w:color="auto" w:fill="FFFFFF"/>
      </w:rPr>
      <w:t xml:space="preserve">DOI: </w:t>
    </w:r>
    <w:r>
      <w:rPr>
        <w:rFonts w:ascii="Cambria" w:hAnsi="Cambria"/>
        <w:bCs/>
        <w:sz w:val="20"/>
        <w:szCs w:val="20"/>
        <w:shd w:val="clear" w:color="auto" w:fill="FFFFFF"/>
      </w:rPr>
      <w:t>10.36848/IJBAMR/2020/26215.55660</w:t>
    </w:r>
  </w:p>
  <w:p w:rsidR="00006117" w:rsidRDefault="00006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72B"/>
    <w:multiLevelType w:val="hybridMultilevel"/>
    <w:tmpl w:val="6A6041A6"/>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
    <w:nsid w:val="0EB90DE0"/>
    <w:multiLevelType w:val="hybridMultilevel"/>
    <w:tmpl w:val="12A82676"/>
    <w:lvl w:ilvl="0" w:tplc="FE1E5EB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786416"/>
    <w:multiLevelType w:val="hybridMultilevel"/>
    <w:tmpl w:val="BF20A8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4EE4FB9"/>
    <w:multiLevelType w:val="hybridMultilevel"/>
    <w:tmpl w:val="72906BF6"/>
    <w:lvl w:ilvl="0" w:tplc="8B1E65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3350CEC"/>
    <w:multiLevelType w:val="hybridMultilevel"/>
    <w:tmpl w:val="F8E4DE86"/>
    <w:lvl w:ilvl="0" w:tplc="73784B6A">
      <w:start w:val="1"/>
      <w:numFmt w:val="decimal"/>
      <w:lvlText w:val="%1."/>
      <w:lvlJc w:val="left"/>
      <w:pPr>
        <w:tabs>
          <w:tab w:val="num" w:pos="720"/>
        </w:tabs>
        <w:ind w:left="720" w:hanging="720"/>
      </w:pPr>
      <w:rPr>
        <w:rFonts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025A0E"/>
    <w:multiLevelType w:val="hybridMultilevel"/>
    <w:tmpl w:val="3F40C5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6D"/>
    <w:rsid w:val="00006117"/>
    <w:rsid w:val="00055043"/>
    <w:rsid w:val="00072401"/>
    <w:rsid w:val="000A76B0"/>
    <w:rsid w:val="000E0351"/>
    <w:rsid w:val="000E719F"/>
    <w:rsid w:val="001D30C0"/>
    <w:rsid w:val="001D3D33"/>
    <w:rsid w:val="001E1E80"/>
    <w:rsid w:val="001E687D"/>
    <w:rsid w:val="00200E39"/>
    <w:rsid w:val="002075FC"/>
    <w:rsid w:val="00214DE4"/>
    <w:rsid w:val="00281342"/>
    <w:rsid w:val="00297D37"/>
    <w:rsid w:val="002B0D09"/>
    <w:rsid w:val="002B7950"/>
    <w:rsid w:val="002C24DF"/>
    <w:rsid w:val="002F682A"/>
    <w:rsid w:val="00300B1A"/>
    <w:rsid w:val="00342EB4"/>
    <w:rsid w:val="00345F41"/>
    <w:rsid w:val="00396D37"/>
    <w:rsid w:val="003970B7"/>
    <w:rsid w:val="003B0912"/>
    <w:rsid w:val="003D2010"/>
    <w:rsid w:val="003F1598"/>
    <w:rsid w:val="00464BD0"/>
    <w:rsid w:val="004851B7"/>
    <w:rsid w:val="00487A0F"/>
    <w:rsid w:val="004E398F"/>
    <w:rsid w:val="00545D6B"/>
    <w:rsid w:val="00545EAA"/>
    <w:rsid w:val="00580127"/>
    <w:rsid w:val="005B5EDA"/>
    <w:rsid w:val="005C5E49"/>
    <w:rsid w:val="005C6101"/>
    <w:rsid w:val="005D35DE"/>
    <w:rsid w:val="005F5ACC"/>
    <w:rsid w:val="00612801"/>
    <w:rsid w:val="00616525"/>
    <w:rsid w:val="00622FBA"/>
    <w:rsid w:val="0063656D"/>
    <w:rsid w:val="006565C2"/>
    <w:rsid w:val="00670504"/>
    <w:rsid w:val="006B2B5A"/>
    <w:rsid w:val="006F657A"/>
    <w:rsid w:val="007006DD"/>
    <w:rsid w:val="00700923"/>
    <w:rsid w:val="00771F17"/>
    <w:rsid w:val="00776E95"/>
    <w:rsid w:val="007A4F6F"/>
    <w:rsid w:val="007D6A66"/>
    <w:rsid w:val="007E5A8D"/>
    <w:rsid w:val="00863441"/>
    <w:rsid w:val="00870D47"/>
    <w:rsid w:val="00895F58"/>
    <w:rsid w:val="008A2A74"/>
    <w:rsid w:val="00907D85"/>
    <w:rsid w:val="00962BA3"/>
    <w:rsid w:val="009A2FA5"/>
    <w:rsid w:val="009A7A20"/>
    <w:rsid w:val="00A122FC"/>
    <w:rsid w:val="00A5653E"/>
    <w:rsid w:val="00A84435"/>
    <w:rsid w:val="00A85847"/>
    <w:rsid w:val="00AD63A6"/>
    <w:rsid w:val="00B34A18"/>
    <w:rsid w:val="00B421A6"/>
    <w:rsid w:val="00B5533A"/>
    <w:rsid w:val="00B6098E"/>
    <w:rsid w:val="00B808FB"/>
    <w:rsid w:val="00B83FB6"/>
    <w:rsid w:val="00B847D9"/>
    <w:rsid w:val="00BC2F74"/>
    <w:rsid w:val="00C044B0"/>
    <w:rsid w:val="00C71B35"/>
    <w:rsid w:val="00C72729"/>
    <w:rsid w:val="00CD10D8"/>
    <w:rsid w:val="00D14179"/>
    <w:rsid w:val="00D56911"/>
    <w:rsid w:val="00D72CD3"/>
    <w:rsid w:val="00D831E1"/>
    <w:rsid w:val="00D905DE"/>
    <w:rsid w:val="00DA2296"/>
    <w:rsid w:val="00DA6641"/>
    <w:rsid w:val="00DA7D74"/>
    <w:rsid w:val="00DB7251"/>
    <w:rsid w:val="00DC717B"/>
    <w:rsid w:val="00DE4961"/>
    <w:rsid w:val="00DF77C7"/>
    <w:rsid w:val="00E03C86"/>
    <w:rsid w:val="00E661C5"/>
    <w:rsid w:val="00E83767"/>
    <w:rsid w:val="00E87DB7"/>
    <w:rsid w:val="00EA2EBA"/>
    <w:rsid w:val="00EF4913"/>
    <w:rsid w:val="00F01098"/>
    <w:rsid w:val="00F13E5E"/>
    <w:rsid w:val="00F22B07"/>
    <w:rsid w:val="00F264B4"/>
    <w:rsid w:val="00F35DB2"/>
    <w:rsid w:val="00F4237E"/>
    <w:rsid w:val="00F4771D"/>
    <w:rsid w:val="00F529CC"/>
    <w:rsid w:val="00F8486B"/>
    <w:rsid w:val="00F92D60"/>
    <w:rsid w:val="00F959E3"/>
    <w:rsid w:val="00FA2BEB"/>
    <w:rsid w:val="00FD0E70"/>
    <w:rsid w:val="00FD274B"/>
    <w:rsid w:val="00FE24DD"/>
    <w:rsid w:val="00FF1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6D"/>
    <w:pPr>
      <w:spacing w:after="0" w:line="240" w:lineRule="auto"/>
    </w:pPr>
    <w:rPr>
      <w:rFonts w:ascii="Times New Roman" w:eastAsia="Calibri"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5ACC"/>
    <w:pPr>
      <w:ind w:left="720"/>
    </w:pPr>
  </w:style>
  <w:style w:type="character" w:customStyle="1" w:styleId="ref-label">
    <w:name w:val="ref-label"/>
    <w:basedOn w:val="DefaultParagraphFont"/>
    <w:rsid w:val="00DA7D74"/>
    <w:rPr>
      <w:rFonts w:cs="Times New Roman"/>
    </w:rPr>
  </w:style>
  <w:style w:type="character" w:customStyle="1" w:styleId="element-citation">
    <w:name w:val="element-citation"/>
    <w:basedOn w:val="DefaultParagraphFont"/>
    <w:rsid w:val="00DA7D74"/>
    <w:rPr>
      <w:rFonts w:cs="Times New Roman"/>
    </w:rPr>
  </w:style>
  <w:style w:type="character" w:customStyle="1" w:styleId="ref-journal">
    <w:name w:val="ref-journal"/>
    <w:basedOn w:val="DefaultParagraphFont"/>
    <w:rsid w:val="00DA7D74"/>
    <w:rPr>
      <w:rFonts w:cs="Times New Roman"/>
    </w:rPr>
  </w:style>
  <w:style w:type="character" w:customStyle="1" w:styleId="ref-vol">
    <w:name w:val="ref-vol"/>
    <w:basedOn w:val="DefaultParagraphFont"/>
    <w:rsid w:val="00DA7D74"/>
    <w:rPr>
      <w:rFonts w:cs="Times New Roman"/>
    </w:rPr>
  </w:style>
  <w:style w:type="character" w:customStyle="1" w:styleId="ref-journal1">
    <w:name w:val="ref-journal1"/>
    <w:basedOn w:val="DefaultParagraphFont"/>
    <w:rsid w:val="00DA7D74"/>
    <w:rPr>
      <w:rFonts w:cs="Times New Roman"/>
      <w:i/>
      <w:iCs/>
    </w:rPr>
  </w:style>
  <w:style w:type="paragraph" w:styleId="Header">
    <w:name w:val="header"/>
    <w:basedOn w:val="Normal"/>
    <w:link w:val="HeaderChar"/>
    <w:uiPriority w:val="99"/>
    <w:unhideWhenUsed/>
    <w:rsid w:val="00300B1A"/>
    <w:pPr>
      <w:tabs>
        <w:tab w:val="center" w:pos="4680"/>
        <w:tab w:val="right" w:pos="9360"/>
      </w:tabs>
    </w:pPr>
  </w:style>
  <w:style w:type="character" w:customStyle="1" w:styleId="HeaderChar">
    <w:name w:val="Header Char"/>
    <w:basedOn w:val="DefaultParagraphFont"/>
    <w:link w:val="Header"/>
    <w:uiPriority w:val="99"/>
    <w:rsid w:val="00300B1A"/>
    <w:rPr>
      <w:rFonts w:ascii="Times New Roman" w:eastAsia="Calibri" w:hAnsi="Times New Roman" w:cs="Times New Roman"/>
      <w:sz w:val="24"/>
      <w:szCs w:val="24"/>
      <w:lang w:eastAsia="en-IN"/>
    </w:rPr>
  </w:style>
  <w:style w:type="paragraph" w:styleId="Footer">
    <w:name w:val="footer"/>
    <w:basedOn w:val="Normal"/>
    <w:link w:val="FooterChar"/>
    <w:uiPriority w:val="99"/>
    <w:unhideWhenUsed/>
    <w:rsid w:val="00300B1A"/>
    <w:pPr>
      <w:tabs>
        <w:tab w:val="center" w:pos="4680"/>
        <w:tab w:val="right" w:pos="9360"/>
      </w:tabs>
    </w:pPr>
  </w:style>
  <w:style w:type="character" w:customStyle="1" w:styleId="FooterChar">
    <w:name w:val="Footer Char"/>
    <w:basedOn w:val="DefaultParagraphFont"/>
    <w:link w:val="Footer"/>
    <w:uiPriority w:val="99"/>
    <w:rsid w:val="00300B1A"/>
    <w:rPr>
      <w:rFonts w:ascii="Times New Roman" w:eastAsia="Calibri" w:hAnsi="Times New Roman" w:cs="Times New Roman"/>
      <w:sz w:val="24"/>
      <w:szCs w:val="24"/>
      <w:lang w:eastAsia="en-IN"/>
    </w:rPr>
  </w:style>
  <w:style w:type="table" w:styleId="TableGrid">
    <w:name w:val="Table Grid"/>
    <w:basedOn w:val="TableNormal"/>
    <w:uiPriority w:val="59"/>
    <w:rsid w:val="002075F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611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06117"/>
    <w:rPr>
      <w:rFonts w:ascii="Tahoma" w:hAnsi="Tahoma" w:cs="Tahoma"/>
      <w:sz w:val="16"/>
      <w:szCs w:val="16"/>
    </w:rPr>
  </w:style>
  <w:style w:type="character" w:customStyle="1" w:styleId="BalloonTextChar">
    <w:name w:val="Balloon Text Char"/>
    <w:basedOn w:val="DefaultParagraphFont"/>
    <w:link w:val="BalloonText"/>
    <w:uiPriority w:val="99"/>
    <w:semiHidden/>
    <w:rsid w:val="00006117"/>
    <w:rPr>
      <w:rFonts w:ascii="Tahoma" w:eastAsia="Calibri"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6D"/>
    <w:pPr>
      <w:spacing w:after="0" w:line="240" w:lineRule="auto"/>
    </w:pPr>
    <w:rPr>
      <w:rFonts w:ascii="Times New Roman" w:eastAsia="Calibri"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5ACC"/>
    <w:pPr>
      <w:ind w:left="720"/>
    </w:pPr>
  </w:style>
  <w:style w:type="character" w:customStyle="1" w:styleId="ref-label">
    <w:name w:val="ref-label"/>
    <w:basedOn w:val="DefaultParagraphFont"/>
    <w:rsid w:val="00DA7D74"/>
    <w:rPr>
      <w:rFonts w:cs="Times New Roman"/>
    </w:rPr>
  </w:style>
  <w:style w:type="character" w:customStyle="1" w:styleId="element-citation">
    <w:name w:val="element-citation"/>
    <w:basedOn w:val="DefaultParagraphFont"/>
    <w:rsid w:val="00DA7D74"/>
    <w:rPr>
      <w:rFonts w:cs="Times New Roman"/>
    </w:rPr>
  </w:style>
  <w:style w:type="character" w:customStyle="1" w:styleId="ref-journal">
    <w:name w:val="ref-journal"/>
    <w:basedOn w:val="DefaultParagraphFont"/>
    <w:rsid w:val="00DA7D74"/>
    <w:rPr>
      <w:rFonts w:cs="Times New Roman"/>
    </w:rPr>
  </w:style>
  <w:style w:type="character" w:customStyle="1" w:styleId="ref-vol">
    <w:name w:val="ref-vol"/>
    <w:basedOn w:val="DefaultParagraphFont"/>
    <w:rsid w:val="00DA7D74"/>
    <w:rPr>
      <w:rFonts w:cs="Times New Roman"/>
    </w:rPr>
  </w:style>
  <w:style w:type="character" w:customStyle="1" w:styleId="ref-journal1">
    <w:name w:val="ref-journal1"/>
    <w:basedOn w:val="DefaultParagraphFont"/>
    <w:rsid w:val="00DA7D74"/>
    <w:rPr>
      <w:rFonts w:cs="Times New Roman"/>
      <w:i/>
      <w:iCs/>
    </w:rPr>
  </w:style>
  <w:style w:type="paragraph" w:styleId="Header">
    <w:name w:val="header"/>
    <w:basedOn w:val="Normal"/>
    <w:link w:val="HeaderChar"/>
    <w:uiPriority w:val="99"/>
    <w:unhideWhenUsed/>
    <w:rsid w:val="00300B1A"/>
    <w:pPr>
      <w:tabs>
        <w:tab w:val="center" w:pos="4680"/>
        <w:tab w:val="right" w:pos="9360"/>
      </w:tabs>
    </w:pPr>
  </w:style>
  <w:style w:type="character" w:customStyle="1" w:styleId="HeaderChar">
    <w:name w:val="Header Char"/>
    <w:basedOn w:val="DefaultParagraphFont"/>
    <w:link w:val="Header"/>
    <w:uiPriority w:val="99"/>
    <w:rsid w:val="00300B1A"/>
    <w:rPr>
      <w:rFonts w:ascii="Times New Roman" w:eastAsia="Calibri" w:hAnsi="Times New Roman" w:cs="Times New Roman"/>
      <w:sz w:val="24"/>
      <w:szCs w:val="24"/>
      <w:lang w:eastAsia="en-IN"/>
    </w:rPr>
  </w:style>
  <w:style w:type="paragraph" w:styleId="Footer">
    <w:name w:val="footer"/>
    <w:basedOn w:val="Normal"/>
    <w:link w:val="FooterChar"/>
    <w:uiPriority w:val="99"/>
    <w:unhideWhenUsed/>
    <w:rsid w:val="00300B1A"/>
    <w:pPr>
      <w:tabs>
        <w:tab w:val="center" w:pos="4680"/>
        <w:tab w:val="right" w:pos="9360"/>
      </w:tabs>
    </w:pPr>
  </w:style>
  <w:style w:type="character" w:customStyle="1" w:styleId="FooterChar">
    <w:name w:val="Footer Char"/>
    <w:basedOn w:val="DefaultParagraphFont"/>
    <w:link w:val="Footer"/>
    <w:uiPriority w:val="99"/>
    <w:rsid w:val="00300B1A"/>
    <w:rPr>
      <w:rFonts w:ascii="Times New Roman" w:eastAsia="Calibri" w:hAnsi="Times New Roman" w:cs="Times New Roman"/>
      <w:sz w:val="24"/>
      <w:szCs w:val="24"/>
      <w:lang w:eastAsia="en-IN"/>
    </w:rPr>
  </w:style>
  <w:style w:type="table" w:styleId="TableGrid">
    <w:name w:val="Table Grid"/>
    <w:basedOn w:val="TableNormal"/>
    <w:uiPriority w:val="59"/>
    <w:rsid w:val="002075F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611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06117"/>
    <w:rPr>
      <w:rFonts w:ascii="Tahoma" w:hAnsi="Tahoma" w:cs="Tahoma"/>
      <w:sz w:val="16"/>
      <w:szCs w:val="16"/>
    </w:rPr>
  </w:style>
  <w:style w:type="character" w:customStyle="1" w:styleId="BalloonTextChar">
    <w:name w:val="Balloon Text Char"/>
    <w:basedOn w:val="DefaultParagraphFont"/>
    <w:link w:val="BalloonText"/>
    <w:uiPriority w:val="99"/>
    <w:semiHidden/>
    <w:rsid w:val="00006117"/>
    <w:rPr>
      <w:rFonts w:ascii="Tahoma" w:eastAsia="Calibri"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cbi.nlm.nih.gov/pubmed/72944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9186-D69D-4A3A-850E-D9E8595D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shreyan</dc:creator>
  <cp:lastModifiedBy>RDRL</cp:lastModifiedBy>
  <cp:revision>4</cp:revision>
  <cp:lastPrinted>2021-04-22T06:56:00Z</cp:lastPrinted>
  <dcterms:created xsi:type="dcterms:W3CDTF">2021-04-22T06:50:00Z</dcterms:created>
  <dcterms:modified xsi:type="dcterms:W3CDTF">2021-04-22T06:56:00Z</dcterms:modified>
</cp:coreProperties>
</file>