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18" w:rsidRPr="00105C71" w:rsidRDefault="0081595D" w:rsidP="00105C71">
      <w:pPr>
        <w:spacing w:after="0" w:line="360" w:lineRule="auto"/>
        <w:rPr>
          <w:rFonts w:asciiTheme="majorHAnsi" w:hAnsiTheme="majorHAnsi" w:cs="Times New Roman"/>
          <w:b/>
          <w:color w:val="0070C0"/>
          <w:sz w:val="28"/>
          <w:szCs w:val="28"/>
        </w:rPr>
      </w:pPr>
      <w:r w:rsidRPr="00105C71">
        <w:rPr>
          <w:rFonts w:asciiTheme="majorHAnsi" w:hAnsiTheme="majorHAnsi" w:cs="Times New Roman"/>
          <w:b/>
          <w:color w:val="000000"/>
          <w:sz w:val="24"/>
          <w:szCs w:val="24"/>
          <w:highlight w:val="lightGray"/>
        </w:rPr>
        <w:t>Original article:</w:t>
      </w:r>
      <w:r w:rsidRPr="00105C71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</w:t>
      </w:r>
      <w:r w:rsidRPr="00105C71">
        <w:rPr>
          <w:rFonts w:asciiTheme="majorHAnsi" w:hAnsiTheme="majorHAnsi" w:cs="Times New Roman"/>
          <w:b/>
          <w:color w:val="000000"/>
          <w:sz w:val="20"/>
          <w:szCs w:val="20"/>
        </w:rPr>
        <w:br/>
      </w:r>
      <w:r w:rsidR="003B2C43" w:rsidRPr="00105C71">
        <w:rPr>
          <w:rFonts w:asciiTheme="majorHAnsi" w:hAnsiTheme="majorHAnsi" w:cs="Times New Roman"/>
          <w:b/>
          <w:color w:val="0070C0"/>
          <w:sz w:val="28"/>
          <w:szCs w:val="28"/>
        </w:rPr>
        <w:t xml:space="preserve">Study of Complications of Appendicular </w:t>
      </w:r>
      <w:r w:rsidR="008D75FE" w:rsidRPr="00105C71">
        <w:rPr>
          <w:rFonts w:asciiTheme="majorHAnsi" w:hAnsiTheme="majorHAnsi" w:cs="Times New Roman"/>
          <w:b/>
          <w:color w:val="0070C0"/>
          <w:sz w:val="28"/>
          <w:szCs w:val="28"/>
        </w:rPr>
        <w:t>Perforation:</w:t>
      </w:r>
      <w:r w:rsidR="008D75FE">
        <w:rPr>
          <w:rFonts w:asciiTheme="majorHAnsi" w:hAnsiTheme="majorHAnsi" w:cs="Times New Roman"/>
          <w:b/>
          <w:color w:val="0070C0"/>
          <w:sz w:val="28"/>
          <w:szCs w:val="28"/>
        </w:rPr>
        <w:t xml:space="preserve"> Observational study </w:t>
      </w:r>
    </w:p>
    <w:p w:rsidR="008D75FE" w:rsidRPr="008D75FE" w:rsidRDefault="008D75FE" w:rsidP="008D75FE">
      <w:pPr>
        <w:widowControl w:val="0"/>
        <w:autoSpaceDE w:val="0"/>
        <w:autoSpaceDN w:val="0"/>
        <w:spacing w:before="162" w:after="0" w:line="240" w:lineRule="auto"/>
        <w:rPr>
          <w:rFonts w:ascii="Cambria" w:eastAsia="Times New Roman" w:hAnsi="Times New Roman" w:cs="Times New Roman"/>
          <w:b/>
          <w:sz w:val="21"/>
        </w:rPr>
      </w:pPr>
      <w:r w:rsidRPr="008D75FE">
        <w:rPr>
          <w:rFonts w:ascii="Cambria" w:eastAsia="Times New Roman" w:hAnsi="Times New Roman" w:cs="Times New Roman"/>
          <w:b/>
          <w:color w:val="212121"/>
          <w:sz w:val="21"/>
        </w:rPr>
        <w:t>Dr</w:t>
      </w:r>
      <w:r w:rsidRPr="008D75FE">
        <w:rPr>
          <w:rFonts w:ascii="Cambria" w:eastAsia="Times New Roman" w:hAnsi="Times New Roman" w:cs="Times New Roman"/>
          <w:b/>
          <w:color w:val="212121"/>
          <w:spacing w:val="9"/>
          <w:sz w:val="21"/>
        </w:rPr>
        <w:t xml:space="preserve"> </w:t>
      </w:r>
      <w:r w:rsidRPr="008D75FE">
        <w:rPr>
          <w:rFonts w:ascii="Cambria" w:eastAsia="Times New Roman" w:hAnsi="Times New Roman" w:cs="Times New Roman"/>
          <w:b/>
          <w:color w:val="212121"/>
          <w:sz w:val="21"/>
        </w:rPr>
        <w:t>Vijay</w:t>
      </w:r>
      <w:r w:rsidRPr="008D75FE">
        <w:rPr>
          <w:rFonts w:ascii="Cambria" w:eastAsia="Times New Roman" w:hAnsi="Times New Roman" w:cs="Times New Roman"/>
          <w:b/>
          <w:color w:val="212121"/>
          <w:spacing w:val="9"/>
          <w:sz w:val="21"/>
        </w:rPr>
        <w:t xml:space="preserve"> </w:t>
      </w:r>
      <w:r w:rsidRPr="008D75FE">
        <w:rPr>
          <w:rFonts w:ascii="Cambria" w:eastAsia="Times New Roman" w:hAnsi="Times New Roman" w:cs="Times New Roman"/>
          <w:b/>
          <w:color w:val="212121"/>
          <w:sz w:val="21"/>
        </w:rPr>
        <w:t>Murlidhar</w:t>
      </w:r>
      <w:r w:rsidRPr="008D75FE">
        <w:rPr>
          <w:rFonts w:ascii="Cambria" w:eastAsia="Times New Roman" w:hAnsi="Times New Roman" w:cs="Times New Roman"/>
          <w:b/>
          <w:color w:val="212121"/>
          <w:spacing w:val="9"/>
          <w:sz w:val="21"/>
        </w:rPr>
        <w:t xml:space="preserve"> </w:t>
      </w:r>
      <w:r w:rsidRPr="008D75FE">
        <w:rPr>
          <w:rFonts w:ascii="Cambria" w:eastAsia="Times New Roman" w:hAnsi="Times New Roman" w:cs="Times New Roman"/>
          <w:b/>
          <w:color w:val="212121"/>
          <w:sz w:val="21"/>
        </w:rPr>
        <w:t>Thorat</w:t>
      </w:r>
      <w:r w:rsidRPr="008D75FE">
        <w:rPr>
          <w:rFonts w:ascii="Cambria" w:eastAsia="Times New Roman" w:hAnsi="Times New Roman" w:cs="Times New Roman"/>
          <w:b/>
          <w:color w:val="212121"/>
          <w:spacing w:val="10"/>
          <w:sz w:val="21"/>
        </w:rPr>
        <w:t xml:space="preserve"> </w:t>
      </w:r>
      <w:r w:rsidRPr="008D75FE">
        <w:rPr>
          <w:rFonts w:ascii="Cambria" w:eastAsia="Times New Roman" w:hAnsi="Times New Roman" w:cs="Times New Roman"/>
          <w:b/>
          <w:color w:val="212121"/>
          <w:sz w:val="21"/>
        </w:rPr>
        <w:t>*</w:t>
      </w:r>
      <w:r w:rsidRPr="008D75FE">
        <w:rPr>
          <w:rFonts w:ascii="Cambria" w:eastAsia="Times New Roman" w:hAnsi="Times New Roman" w:cs="Times New Roman"/>
          <w:b/>
          <w:color w:val="212121"/>
          <w:spacing w:val="8"/>
          <w:sz w:val="21"/>
        </w:rPr>
        <w:t xml:space="preserve"> </w:t>
      </w:r>
      <w:r w:rsidRPr="008D75FE">
        <w:rPr>
          <w:rFonts w:ascii="Cambria" w:eastAsia="Times New Roman" w:hAnsi="Times New Roman" w:cs="Times New Roman"/>
          <w:b/>
          <w:color w:val="212121"/>
          <w:sz w:val="21"/>
        </w:rPr>
        <w:t>,</w:t>
      </w:r>
      <w:r w:rsidRPr="008D75FE">
        <w:rPr>
          <w:rFonts w:ascii="Cambria" w:eastAsia="Times New Roman" w:hAnsi="Times New Roman" w:cs="Times New Roman"/>
          <w:b/>
          <w:color w:val="212121"/>
          <w:spacing w:val="6"/>
          <w:sz w:val="21"/>
        </w:rPr>
        <w:t xml:space="preserve"> </w:t>
      </w:r>
      <w:r w:rsidRPr="008D75FE">
        <w:rPr>
          <w:rFonts w:ascii="Cambria" w:eastAsia="Times New Roman" w:hAnsi="Times New Roman" w:cs="Times New Roman"/>
          <w:b/>
          <w:color w:val="212121"/>
          <w:sz w:val="21"/>
        </w:rPr>
        <w:t>Dr</w:t>
      </w:r>
      <w:r w:rsidRPr="008D75FE">
        <w:rPr>
          <w:rFonts w:ascii="Cambria" w:eastAsia="Times New Roman" w:hAnsi="Times New Roman" w:cs="Times New Roman"/>
          <w:b/>
          <w:color w:val="212121"/>
          <w:spacing w:val="9"/>
          <w:sz w:val="21"/>
        </w:rPr>
        <w:t xml:space="preserve"> </w:t>
      </w:r>
      <w:r w:rsidRPr="008D75FE">
        <w:rPr>
          <w:rFonts w:ascii="Cambria" w:eastAsia="Times New Roman" w:hAnsi="Times New Roman" w:cs="Times New Roman"/>
          <w:b/>
          <w:color w:val="212121"/>
          <w:sz w:val="21"/>
        </w:rPr>
        <w:t>Satish</w:t>
      </w:r>
      <w:r w:rsidRPr="008D75FE">
        <w:rPr>
          <w:rFonts w:ascii="Cambria" w:eastAsia="Times New Roman" w:hAnsi="Times New Roman" w:cs="Times New Roman"/>
          <w:b/>
          <w:color w:val="212121"/>
          <w:spacing w:val="9"/>
          <w:sz w:val="21"/>
        </w:rPr>
        <w:t xml:space="preserve"> </w:t>
      </w:r>
      <w:r w:rsidRPr="008D75FE">
        <w:rPr>
          <w:rFonts w:ascii="Cambria" w:eastAsia="Times New Roman" w:hAnsi="Times New Roman" w:cs="Times New Roman"/>
          <w:b/>
          <w:color w:val="212121"/>
          <w:sz w:val="21"/>
        </w:rPr>
        <w:t>Sonawane</w:t>
      </w:r>
      <w:r w:rsidRPr="008D75FE">
        <w:rPr>
          <w:rFonts w:ascii="Cambria" w:eastAsia="Times New Roman" w:hAnsi="Times New Roman" w:cs="Times New Roman"/>
          <w:b/>
          <w:color w:val="212121"/>
          <w:spacing w:val="12"/>
          <w:sz w:val="21"/>
        </w:rPr>
        <w:t xml:space="preserve"> </w:t>
      </w:r>
      <w:r w:rsidRPr="008D75FE">
        <w:rPr>
          <w:rFonts w:ascii="Cambria" w:eastAsia="Times New Roman" w:hAnsi="Times New Roman" w:cs="Times New Roman"/>
          <w:b/>
          <w:color w:val="212121"/>
          <w:sz w:val="21"/>
        </w:rPr>
        <w:t>,</w:t>
      </w:r>
      <w:r w:rsidRPr="008D75FE">
        <w:rPr>
          <w:rFonts w:ascii="Cambria" w:eastAsia="Times New Roman" w:hAnsi="Times New Roman" w:cs="Times New Roman"/>
          <w:b/>
          <w:color w:val="212121"/>
          <w:spacing w:val="6"/>
          <w:sz w:val="21"/>
        </w:rPr>
        <w:t xml:space="preserve"> </w:t>
      </w:r>
      <w:r w:rsidRPr="008D75FE">
        <w:rPr>
          <w:rFonts w:ascii="Cambria" w:eastAsia="Times New Roman" w:hAnsi="Times New Roman" w:cs="Times New Roman"/>
          <w:b/>
          <w:color w:val="212121"/>
          <w:sz w:val="21"/>
        </w:rPr>
        <w:t>Dr</w:t>
      </w:r>
      <w:r w:rsidRPr="008D75FE">
        <w:rPr>
          <w:rFonts w:ascii="Cambria" w:eastAsia="Times New Roman" w:hAnsi="Times New Roman" w:cs="Times New Roman"/>
          <w:b/>
          <w:color w:val="212121"/>
          <w:spacing w:val="6"/>
          <w:sz w:val="21"/>
        </w:rPr>
        <w:t xml:space="preserve"> </w:t>
      </w:r>
      <w:r w:rsidRPr="008D75FE">
        <w:rPr>
          <w:rFonts w:ascii="Cambria" w:eastAsia="Times New Roman" w:hAnsi="Times New Roman" w:cs="Times New Roman"/>
          <w:b/>
          <w:color w:val="212121"/>
          <w:sz w:val="21"/>
        </w:rPr>
        <w:t>Veena</w:t>
      </w:r>
      <w:r w:rsidRPr="008D75FE">
        <w:rPr>
          <w:rFonts w:ascii="Cambria" w:eastAsia="Times New Roman" w:hAnsi="Times New Roman" w:cs="Times New Roman"/>
          <w:b/>
          <w:color w:val="212121"/>
          <w:spacing w:val="11"/>
          <w:sz w:val="21"/>
        </w:rPr>
        <w:t xml:space="preserve"> </w:t>
      </w:r>
      <w:r w:rsidRPr="008D75FE">
        <w:rPr>
          <w:rFonts w:ascii="Cambria" w:eastAsia="Times New Roman" w:hAnsi="Times New Roman" w:cs="Times New Roman"/>
          <w:b/>
          <w:color w:val="212121"/>
          <w:sz w:val="21"/>
        </w:rPr>
        <w:t>Sewalikar</w:t>
      </w:r>
    </w:p>
    <w:p w:rsidR="008D75FE" w:rsidRPr="008D75FE" w:rsidRDefault="008D75FE" w:rsidP="008D75FE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b/>
          <w:sz w:val="24"/>
          <w:szCs w:val="19"/>
        </w:rPr>
      </w:pPr>
    </w:p>
    <w:p w:rsidR="008D75FE" w:rsidRPr="008D75FE" w:rsidRDefault="008D75FE" w:rsidP="008D75FE">
      <w:pPr>
        <w:widowControl w:val="0"/>
        <w:autoSpaceDE w:val="0"/>
        <w:autoSpaceDN w:val="0"/>
        <w:spacing w:before="3" w:after="0" w:line="240" w:lineRule="auto"/>
        <w:rPr>
          <w:rFonts w:ascii="Cambria" w:eastAsia="Times New Roman" w:hAnsi="Times New Roman" w:cs="Times New Roman"/>
          <w:b/>
          <w:sz w:val="19"/>
          <w:szCs w:val="19"/>
        </w:rPr>
      </w:pPr>
    </w:p>
    <w:p w:rsidR="008D75FE" w:rsidRDefault="008D75FE" w:rsidP="008D75FE">
      <w:pPr>
        <w:widowControl w:val="0"/>
        <w:autoSpaceDE w:val="0"/>
        <w:autoSpaceDN w:val="0"/>
        <w:spacing w:after="0" w:line="372" w:lineRule="auto"/>
        <w:ind w:right="1196"/>
        <w:rPr>
          <w:rFonts w:ascii="Cambria" w:eastAsia="Times New Roman" w:hAnsi="Times New Roman" w:cs="Times New Roman"/>
          <w:color w:val="212121"/>
          <w:spacing w:val="-34"/>
          <w:sz w:val="17"/>
        </w:rPr>
      </w:pPr>
      <w:r w:rsidRPr="008D75FE">
        <w:rPr>
          <w:rFonts w:ascii="Cambria" w:eastAsia="Times New Roman" w:hAnsi="Times New Roman" w:cs="Times New Roman"/>
          <w:color w:val="212121"/>
          <w:sz w:val="17"/>
        </w:rPr>
        <w:t>Dept.</w:t>
      </w:r>
      <w:r w:rsidRPr="008D75FE">
        <w:rPr>
          <w:rFonts w:ascii="Cambria" w:eastAsia="Times New Roman" w:hAnsi="Times New Roman" w:cs="Times New Roman"/>
          <w:color w:val="212121"/>
          <w:spacing w:val="11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sz w:val="17"/>
        </w:rPr>
        <w:t>of</w:t>
      </w:r>
      <w:r w:rsidRPr="008D75FE">
        <w:rPr>
          <w:rFonts w:ascii="Cambria" w:eastAsia="Times New Roman" w:hAnsi="Times New Roman" w:cs="Times New Roman"/>
          <w:color w:val="212121"/>
          <w:spacing w:val="15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sz w:val="17"/>
        </w:rPr>
        <w:t>Surgery,</w:t>
      </w:r>
      <w:r w:rsidRPr="008D75FE">
        <w:rPr>
          <w:rFonts w:ascii="Cambria" w:eastAsia="Times New Roman" w:hAnsi="Times New Roman" w:cs="Times New Roman"/>
          <w:color w:val="212121"/>
          <w:spacing w:val="15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sz w:val="17"/>
        </w:rPr>
        <w:t>Rural</w:t>
      </w:r>
      <w:r w:rsidRPr="008D75FE">
        <w:rPr>
          <w:rFonts w:ascii="Cambria" w:eastAsia="Times New Roman" w:hAnsi="Times New Roman" w:cs="Times New Roman"/>
          <w:color w:val="212121"/>
          <w:spacing w:val="14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sz w:val="17"/>
        </w:rPr>
        <w:t>Medical</w:t>
      </w:r>
      <w:r w:rsidRPr="008D75FE">
        <w:rPr>
          <w:rFonts w:ascii="Cambria" w:eastAsia="Times New Roman" w:hAnsi="Times New Roman" w:cs="Times New Roman"/>
          <w:color w:val="212121"/>
          <w:spacing w:val="15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sz w:val="17"/>
        </w:rPr>
        <w:t>College,</w:t>
      </w:r>
      <w:r w:rsidRPr="008D75FE">
        <w:rPr>
          <w:rFonts w:ascii="Cambria" w:eastAsia="Times New Roman" w:hAnsi="Times New Roman" w:cs="Times New Roman"/>
          <w:color w:val="212121"/>
          <w:spacing w:val="13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sz w:val="17"/>
        </w:rPr>
        <w:t>A</w:t>
      </w:r>
      <w:r w:rsidRPr="008D75FE">
        <w:rPr>
          <w:rFonts w:ascii="Cambria" w:eastAsia="Times New Roman" w:hAnsi="Times New Roman" w:cs="Times New Roman"/>
          <w:color w:val="212121"/>
          <w:spacing w:val="12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sz w:val="17"/>
        </w:rPr>
        <w:t>P</w:t>
      </w:r>
      <w:r w:rsidRPr="008D75FE">
        <w:rPr>
          <w:rFonts w:ascii="Cambria" w:eastAsia="Times New Roman" w:hAnsi="Times New Roman" w:cs="Times New Roman"/>
          <w:color w:val="212121"/>
          <w:spacing w:val="13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sz w:val="17"/>
        </w:rPr>
        <w:t>Loni,</w:t>
      </w:r>
      <w:r w:rsidRPr="008D75FE">
        <w:rPr>
          <w:rFonts w:ascii="Cambria" w:eastAsia="Times New Roman" w:hAnsi="Times New Roman" w:cs="Times New Roman"/>
          <w:color w:val="212121"/>
          <w:spacing w:val="16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sz w:val="17"/>
        </w:rPr>
        <w:t>Tal.</w:t>
      </w:r>
      <w:r w:rsidRPr="008D75FE">
        <w:rPr>
          <w:rFonts w:ascii="Cambria" w:eastAsia="Times New Roman" w:hAnsi="Times New Roman" w:cs="Times New Roman"/>
          <w:color w:val="212121"/>
          <w:spacing w:val="18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sz w:val="17"/>
        </w:rPr>
        <w:t>Rahata,</w:t>
      </w:r>
      <w:r w:rsidRPr="008D75FE">
        <w:rPr>
          <w:rFonts w:ascii="Cambria" w:eastAsia="Times New Roman" w:hAnsi="Times New Roman" w:cs="Times New Roman"/>
          <w:color w:val="212121"/>
          <w:spacing w:val="12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sz w:val="17"/>
        </w:rPr>
        <w:t>Dist.</w:t>
      </w:r>
      <w:r w:rsidRPr="008D75FE">
        <w:rPr>
          <w:rFonts w:ascii="Cambria" w:eastAsia="Times New Roman" w:hAnsi="Times New Roman" w:cs="Times New Roman"/>
          <w:color w:val="212121"/>
          <w:spacing w:val="14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sz w:val="17"/>
        </w:rPr>
        <w:t>Ahmednager,</w:t>
      </w:r>
      <w:r w:rsidRPr="008D75FE">
        <w:rPr>
          <w:rFonts w:ascii="Cambria" w:eastAsia="Times New Roman" w:hAnsi="Times New Roman" w:cs="Times New Roman"/>
          <w:color w:val="212121"/>
          <w:spacing w:val="12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sz w:val="17"/>
        </w:rPr>
        <w:t>Maharashtra</w:t>
      </w:r>
      <w:r w:rsidRPr="008D75FE">
        <w:rPr>
          <w:rFonts w:ascii="Cambria" w:eastAsia="Times New Roman" w:hAnsi="Times New Roman" w:cs="Times New Roman"/>
          <w:color w:val="212121"/>
          <w:spacing w:val="-34"/>
          <w:sz w:val="17"/>
        </w:rPr>
        <w:t xml:space="preserve"> </w:t>
      </w:r>
    </w:p>
    <w:p w:rsidR="008D75FE" w:rsidRPr="008D75FE" w:rsidRDefault="008D75FE" w:rsidP="008D75FE">
      <w:pPr>
        <w:widowControl w:val="0"/>
        <w:autoSpaceDE w:val="0"/>
        <w:autoSpaceDN w:val="0"/>
        <w:spacing w:after="0" w:line="372" w:lineRule="auto"/>
        <w:ind w:right="1196"/>
        <w:rPr>
          <w:rFonts w:ascii="Cambria" w:eastAsia="Times New Roman" w:hAnsi="Times New Roman" w:cs="Times New Roman"/>
          <w:sz w:val="17"/>
        </w:rPr>
      </w:pPr>
      <w:r w:rsidRPr="008D75FE">
        <w:rPr>
          <w:rFonts w:ascii="Cambria" w:eastAsia="Times New Roman" w:hAnsi="Times New Roman" w:cs="Times New Roman"/>
          <w:color w:val="212121"/>
          <w:w w:val="105"/>
          <w:sz w:val="17"/>
        </w:rPr>
        <w:t>Corresponding</w:t>
      </w:r>
      <w:r w:rsidRPr="008D75FE">
        <w:rPr>
          <w:rFonts w:ascii="Cambria" w:eastAsia="Times New Roman" w:hAnsi="Times New Roman" w:cs="Times New Roman"/>
          <w:color w:val="212121"/>
          <w:spacing w:val="-3"/>
          <w:w w:val="105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w w:val="105"/>
          <w:sz w:val="17"/>
        </w:rPr>
        <w:t>author*</w:t>
      </w:r>
    </w:p>
    <w:p w:rsidR="008D75FE" w:rsidRPr="008D75FE" w:rsidRDefault="008D75FE" w:rsidP="008D75FE">
      <w:pPr>
        <w:widowControl w:val="0"/>
        <w:autoSpaceDE w:val="0"/>
        <w:autoSpaceDN w:val="0"/>
        <w:spacing w:after="0" w:line="198" w:lineRule="exact"/>
        <w:rPr>
          <w:rFonts w:ascii="Cambria" w:eastAsia="Times New Roman" w:hAnsi="Times New Roman" w:cs="Times New Roman"/>
          <w:sz w:val="17"/>
        </w:rPr>
      </w:pPr>
      <w:r w:rsidRPr="008D75FE">
        <w:rPr>
          <w:rFonts w:ascii="Cambria" w:eastAsia="Times New Roman" w:hAnsi="Times New Roman" w:cs="Times New Roman"/>
          <w:color w:val="212121"/>
          <w:sz w:val="17"/>
        </w:rPr>
        <w:t>Date</w:t>
      </w:r>
      <w:r w:rsidRPr="008D75FE">
        <w:rPr>
          <w:rFonts w:ascii="Cambria" w:eastAsia="Times New Roman" w:hAnsi="Times New Roman" w:cs="Times New Roman"/>
          <w:color w:val="212121"/>
          <w:spacing w:val="15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sz w:val="17"/>
        </w:rPr>
        <w:t>of</w:t>
      </w:r>
      <w:r w:rsidRPr="008D75FE">
        <w:rPr>
          <w:rFonts w:ascii="Cambria" w:eastAsia="Times New Roman" w:hAnsi="Times New Roman" w:cs="Times New Roman"/>
          <w:color w:val="212121"/>
          <w:spacing w:val="14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sz w:val="17"/>
        </w:rPr>
        <w:t>submission:</w:t>
      </w:r>
      <w:r w:rsidRPr="008D75FE">
        <w:rPr>
          <w:rFonts w:ascii="Cambria" w:eastAsia="Times New Roman" w:hAnsi="Times New Roman" w:cs="Times New Roman"/>
          <w:color w:val="212121"/>
          <w:spacing w:val="11"/>
          <w:sz w:val="17"/>
        </w:rPr>
        <w:t xml:space="preserve"> </w:t>
      </w:r>
      <w:r>
        <w:rPr>
          <w:rFonts w:ascii="Cambria" w:eastAsia="Times New Roman" w:hAnsi="Times New Roman" w:cs="Times New Roman"/>
          <w:color w:val="212121"/>
          <w:sz w:val="17"/>
        </w:rPr>
        <w:t>12</w:t>
      </w:r>
      <w:r w:rsidRPr="008D75FE">
        <w:rPr>
          <w:rFonts w:ascii="Cambria" w:eastAsia="Times New Roman" w:hAnsi="Times New Roman" w:cs="Times New Roman"/>
          <w:color w:val="212121"/>
          <w:spacing w:val="12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sz w:val="17"/>
        </w:rPr>
        <w:t>October 2011,</w:t>
      </w:r>
      <w:r w:rsidRPr="008D75FE">
        <w:rPr>
          <w:rFonts w:ascii="Cambria" w:eastAsia="Times New Roman" w:hAnsi="Times New Roman" w:cs="Times New Roman"/>
          <w:color w:val="212121"/>
          <w:spacing w:val="12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sz w:val="17"/>
        </w:rPr>
        <w:t>Date</w:t>
      </w:r>
      <w:r w:rsidRPr="008D75FE">
        <w:rPr>
          <w:rFonts w:ascii="Cambria" w:eastAsia="Times New Roman" w:hAnsi="Times New Roman" w:cs="Times New Roman"/>
          <w:color w:val="212121"/>
          <w:spacing w:val="10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sz w:val="17"/>
        </w:rPr>
        <w:t>of</w:t>
      </w:r>
      <w:r w:rsidRPr="008D75FE">
        <w:rPr>
          <w:rFonts w:ascii="Cambria" w:eastAsia="Times New Roman" w:hAnsi="Times New Roman" w:cs="Times New Roman"/>
          <w:color w:val="212121"/>
          <w:spacing w:val="12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sz w:val="17"/>
        </w:rPr>
        <w:t>Final</w:t>
      </w:r>
      <w:r w:rsidRPr="008D75FE">
        <w:rPr>
          <w:rFonts w:ascii="Cambria" w:eastAsia="Times New Roman" w:hAnsi="Times New Roman" w:cs="Times New Roman"/>
          <w:color w:val="212121"/>
          <w:spacing w:val="17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sz w:val="17"/>
        </w:rPr>
        <w:t>acceptance:</w:t>
      </w:r>
      <w:r w:rsidRPr="008D75FE">
        <w:rPr>
          <w:rFonts w:ascii="Cambria" w:eastAsia="Times New Roman" w:hAnsi="Times New Roman" w:cs="Times New Roman"/>
          <w:color w:val="212121"/>
          <w:spacing w:val="12"/>
          <w:sz w:val="17"/>
        </w:rPr>
        <w:t xml:space="preserve"> </w:t>
      </w:r>
      <w:r>
        <w:rPr>
          <w:rFonts w:ascii="Cambria" w:eastAsia="Times New Roman" w:hAnsi="Times New Roman" w:cs="Times New Roman"/>
          <w:color w:val="212121"/>
          <w:sz w:val="17"/>
        </w:rPr>
        <w:t>10</w:t>
      </w:r>
      <w:r w:rsidRPr="008D75FE">
        <w:rPr>
          <w:rFonts w:ascii="Cambria" w:eastAsia="Times New Roman" w:hAnsi="Times New Roman" w:cs="Times New Roman"/>
          <w:color w:val="212121"/>
          <w:sz w:val="17"/>
        </w:rPr>
        <w:t xml:space="preserve"> December 2011</w:t>
      </w:r>
    </w:p>
    <w:p w:rsidR="008D75FE" w:rsidRPr="008D75FE" w:rsidRDefault="008D75FE" w:rsidP="008D75FE">
      <w:pPr>
        <w:widowControl w:val="0"/>
        <w:autoSpaceDE w:val="0"/>
        <w:autoSpaceDN w:val="0"/>
        <w:spacing w:before="111" w:after="0" w:line="240" w:lineRule="auto"/>
        <w:rPr>
          <w:rFonts w:ascii="Cambria" w:eastAsia="Times New Roman" w:hAnsi="Times New Roman" w:cs="Times New Roman"/>
          <w:sz w:val="17"/>
        </w:rPr>
      </w:pPr>
      <w:r w:rsidRPr="008D75FE">
        <w:rPr>
          <w:rFonts w:ascii="Cambria" w:eastAsia="Times New Roman" w:hAnsi="Times New Roman" w:cs="Times New Roman"/>
          <w:color w:val="212121"/>
          <w:spacing w:val="-1"/>
          <w:w w:val="105"/>
          <w:sz w:val="17"/>
        </w:rPr>
        <w:t>Date</w:t>
      </w:r>
      <w:r w:rsidRPr="008D75FE">
        <w:rPr>
          <w:rFonts w:ascii="Cambria" w:eastAsia="Times New Roman" w:hAnsi="Times New Roman" w:cs="Times New Roman"/>
          <w:color w:val="212121"/>
          <w:spacing w:val="-6"/>
          <w:w w:val="105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spacing w:val="-1"/>
          <w:w w:val="105"/>
          <w:sz w:val="17"/>
        </w:rPr>
        <w:t>of</w:t>
      </w:r>
      <w:r w:rsidRPr="008D75FE">
        <w:rPr>
          <w:rFonts w:ascii="Cambria" w:eastAsia="Times New Roman" w:hAnsi="Times New Roman" w:cs="Times New Roman"/>
          <w:color w:val="212121"/>
          <w:spacing w:val="-8"/>
          <w:w w:val="105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spacing w:val="-1"/>
          <w:w w:val="105"/>
          <w:sz w:val="17"/>
        </w:rPr>
        <w:t>Publication:</w:t>
      </w:r>
      <w:r w:rsidRPr="008D75FE">
        <w:rPr>
          <w:rFonts w:ascii="Cambria" w:eastAsia="Times New Roman" w:hAnsi="Times New Roman" w:cs="Times New Roman"/>
          <w:color w:val="212121"/>
          <w:spacing w:val="-7"/>
          <w:w w:val="105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w w:val="105"/>
          <w:sz w:val="17"/>
        </w:rPr>
        <w:t xml:space="preserve">30 </w:t>
      </w:r>
      <w:r w:rsidRPr="008D75FE">
        <w:rPr>
          <w:rFonts w:ascii="Cambria" w:eastAsia="Times New Roman" w:hAnsi="Times New Roman" w:cs="Times New Roman"/>
          <w:color w:val="212121"/>
          <w:spacing w:val="-10"/>
          <w:w w:val="105"/>
          <w:sz w:val="17"/>
        </w:rPr>
        <w:t>December</w:t>
      </w:r>
      <w:r w:rsidRPr="008D75FE">
        <w:rPr>
          <w:rFonts w:ascii="Cambria" w:eastAsia="Times New Roman" w:hAnsi="Times New Roman" w:cs="Times New Roman"/>
          <w:color w:val="212121"/>
          <w:spacing w:val="-6"/>
          <w:w w:val="105"/>
          <w:sz w:val="17"/>
        </w:rPr>
        <w:t xml:space="preserve"> </w:t>
      </w:r>
      <w:r w:rsidRPr="008D75FE">
        <w:rPr>
          <w:rFonts w:ascii="Cambria" w:eastAsia="Times New Roman" w:hAnsi="Times New Roman" w:cs="Times New Roman"/>
          <w:color w:val="212121"/>
          <w:w w:val="105"/>
          <w:sz w:val="17"/>
        </w:rPr>
        <w:t>2011</w:t>
      </w:r>
    </w:p>
    <w:p w:rsidR="0081595D" w:rsidRDefault="0026329B" w:rsidP="0026329B">
      <w:pPr>
        <w:tabs>
          <w:tab w:val="left" w:pos="3984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</w:p>
    <w:p w:rsidR="0081595D" w:rsidRDefault="0081595D" w:rsidP="00105C7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Abstract: </w:t>
      </w:r>
    </w:p>
    <w:p w:rsidR="0081595D" w:rsidRPr="00105C71" w:rsidRDefault="0081595D" w:rsidP="00105C7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05C71">
        <w:rPr>
          <w:rFonts w:ascii="Times New Roman" w:hAnsi="Times New Roman" w:cs="Times New Roman"/>
          <w:b/>
          <w:sz w:val="18"/>
          <w:szCs w:val="18"/>
        </w:rPr>
        <w:t>Introduction:</w:t>
      </w:r>
      <w:r w:rsidRPr="00105C71">
        <w:rPr>
          <w:rFonts w:ascii="Times New Roman" w:hAnsi="Times New Roman" w:cs="Times New Roman"/>
          <w:sz w:val="18"/>
          <w:szCs w:val="18"/>
        </w:rPr>
        <w:t xml:space="preserve"> </w:t>
      </w:r>
      <w:r w:rsidR="008D75FE" w:rsidRPr="008D75FE">
        <w:rPr>
          <w:rFonts w:ascii="Times New Roman" w:hAnsi="Times New Roman" w:cs="Times New Roman"/>
          <w:sz w:val="18"/>
          <w:szCs w:val="18"/>
        </w:rPr>
        <w:t>Much effort has been directed towards early diagnosis and intervention as approximately 6% of the population will suffer from this disease during their life time</w:t>
      </w:r>
      <w:r w:rsidR="008D75FE" w:rsidRPr="008D75FE">
        <w:rPr>
          <w:rFonts w:ascii="Times New Roman" w:hAnsi="Times New Roman" w:cs="Times New Roman"/>
          <w:sz w:val="18"/>
          <w:szCs w:val="18"/>
          <w:vertAlign w:val="superscript"/>
        </w:rPr>
        <w:t xml:space="preserve"> (7)</w:t>
      </w:r>
      <w:r w:rsidR="008D75FE" w:rsidRPr="008D75FE">
        <w:rPr>
          <w:rFonts w:ascii="Times New Roman" w:hAnsi="Times New Roman" w:cs="Times New Roman"/>
          <w:sz w:val="18"/>
          <w:szCs w:val="18"/>
        </w:rPr>
        <w:t>. Delay in diagnosis leads to increase morbidity and costs.</w:t>
      </w:r>
    </w:p>
    <w:p w:rsidR="0081595D" w:rsidRPr="00105C71" w:rsidRDefault="0081595D" w:rsidP="00105C71">
      <w:pPr>
        <w:pStyle w:val="Text"/>
        <w:spacing w:before="0" w:line="360" w:lineRule="auto"/>
        <w:ind w:firstLine="0"/>
        <w:rPr>
          <w:sz w:val="18"/>
          <w:szCs w:val="18"/>
        </w:rPr>
      </w:pPr>
      <w:r w:rsidRPr="00105C71">
        <w:rPr>
          <w:b/>
          <w:bCs/>
          <w:sz w:val="18"/>
          <w:szCs w:val="18"/>
        </w:rPr>
        <w:t xml:space="preserve">Methodology: </w:t>
      </w:r>
      <w:r w:rsidRPr="00105C71">
        <w:rPr>
          <w:bCs/>
          <w:sz w:val="18"/>
          <w:szCs w:val="18"/>
        </w:rPr>
        <w:t xml:space="preserve">This was a </w:t>
      </w:r>
      <w:r w:rsidRPr="00105C71">
        <w:rPr>
          <w:sz w:val="18"/>
          <w:szCs w:val="18"/>
        </w:rPr>
        <w:t>prospective clinicopathological study with included  100 cases. This study included randomly all operated patients (100) suspected of appendicular perforation in the Department Of Surgery.</w:t>
      </w:r>
    </w:p>
    <w:p w:rsidR="0081595D" w:rsidRPr="00105C71" w:rsidRDefault="0081595D" w:rsidP="00105C7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5C71">
        <w:rPr>
          <w:rFonts w:ascii="Times New Roman" w:hAnsi="Times New Roman" w:cs="Times New Roman"/>
          <w:b/>
          <w:sz w:val="18"/>
          <w:szCs w:val="18"/>
        </w:rPr>
        <w:t>Results:</w:t>
      </w:r>
      <w:r w:rsidRPr="00105C71">
        <w:rPr>
          <w:rFonts w:ascii="Times New Roman" w:hAnsi="Times New Roman" w:cs="Times New Roman"/>
          <w:sz w:val="18"/>
          <w:szCs w:val="18"/>
        </w:rPr>
        <w:t xml:space="preserve"> By applying Chi-Square test there is a significant association between Modified Alvarado score and histology report (p&lt;0. 05) Overall s</w:t>
      </w:r>
      <w:r w:rsidR="008D75FE">
        <w:rPr>
          <w:rFonts w:ascii="Times New Roman" w:hAnsi="Times New Roman" w:cs="Times New Roman"/>
          <w:sz w:val="18"/>
          <w:szCs w:val="18"/>
        </w:rPr>
        <w:t>ensitivity of Alvarado score = 82. 8%, specificity= 84. 25%, PPV= 98. 2% and NPV = 69. 01</w:t>
      </w:r>
      <w:r w:rsidRPr="00105C71">
        <w:rPr>
          <w:rFonts w:ascii="Times New Roman" w:hAnsi="Times New Roman" w:cs="Times New Roman"/>
          <w:sz w:val="18"/>
          <w:szCs w:val="18"/>
        </w:rPr>
        <w:t xml:space="preserve">%. </w:t>
      </w:r>
    </w:p>
    <w:p w:rsidR="0081595D" w:rsidRPr="00105C71" w:rsidRDefault="0081595D" w:rsidP="00105C71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05C71">
        <w:rPr>
          <w:rFonts w:ascii="Times New Roman" w:hAnsi="Times New Roman" w:cs="Times New Roman"/>
          <w:b/>
          <w:sz w:val="18"/>
          <w:szCs w:val="18"/>
        </w:rPr>
        <w:t>Conclusion</w:t>
      </w:r>
      <w:r w:rsidR="008D75FE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D75FE" w:rsidRPr="008D75FE">
        <w:rPr>
          <w:rFonts w:ascii="Times New Roman" w:hAnsi="Times New Roman" w:cs="Times New Roman"/>
          <w:sz w:val="18"/>
          <w:szCs w:val="18"/>
        </w:rPr>
        <w:t>Herewith we conclude</w:t>
      </w:r>
      <w:r w:rsidR="008D75F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D75FE" w:rsidRPr="00105C71">
        <w:rPr>
          <w:rFonts w:ascii="Times New Roman" w:hAnsi="Times New Roman" w:cs="Times New Roman"/>
          <w:sz w:val="18"/>
          <w:szCs w:val="18"/>
        </w:rPr>
        <w:t>to</w:t>
      </w:r>
      <w:r w:rsidRPr="00105C71">
        <w:rPr>
          <w:rFonts w:ascii="Times New Roman" w:hAnsi="Times New Roman" w:cs="Times New Roman"/>
          <w:sz w:val="18"/>
          <w:szCs w:val="18"/>
        </w:rPr>
        <w:t xml:space="preserve"> stress that history and clinical examination by a skilled surgeon still remain indispensable in diagnosing appendicular </w:t>
      </w:r>
      <w:r w:rsidR="008D75FE" w:rsidRPr="00105C71">
        <w:rPr>
          <w:rFonts w:ascii="Times New Roman" w:hAnsi="Times New Roman" w:cs="Times New Roman"/>
          <w:sz w:val="18"/>
          <w:szCs w:val="18"/>
        </w:rPr>
        <w:t>perforation.</w:t>
      </w:r>
    </w:p>
    <w:p w:rsidR="0081595D" w:rsidRPr="00105C71" w:rsidRDefault="0081595D" w:rsidP="00105C71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1595D" w:rsidRDefault="0081595D" w:rsidP="00105C7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2C43" w:rsidRPr="0081595D" w:rsidRDefault="0081595D" w:rsidP="00105C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95D">
        <w:rPr>
          <w:rFonts w:ascii="Times New Roman" w:hAnsi="Times New Roman" w:cs="Times New Roman"/>
          <w:b/>
          <w:sz w:val="20"/>
          <w:szCs w:val="20"/>
        </w:rPr>
        <w:t>Introduction:</w:t>
      </w:r>
      <w:r>
        <w:rPr>
          <w:rFonts w:ascii="Times New Roman" w:hAnsi="Times New Roman" w:cs="Times New Roman"/>
          <w:sz w:val="20"/>
          <w:szCs w:val="20"/>
        </w:rPr>
        <w:br/>
      </w:r>
      <w:r w:rsidR="008D75FE">
        <w:rPr>
          <w:rFonts w:ascii="Times New Roman" w:hAnsi="Times New Roman" w:cs="Times New Roman"/>
          <w:sz w:val="20"/>
          <w:szCs w:val="20"/>
        </w:rPr>
        <w:t>Appendicitis is one of the commonest entity and  o</w:t>
      </w:r>
      <w:r w:rsidR="003B2C43" w:rsidRPr="0081595D">
        <w:rPr>
          <w:rFonts w:ascii="Times New Roman" w:hAnsi="Times New Roman" w:cs="Times New Roman"/>
          <w:sz w:val="20"/>
          <w:szCs w:val="20"/>
        </w:rPr>
        <w:t>ne of the commonest clinical presentations that require emergency surgery is appendicular perforation</w:t>
      </w:r>
      <w:r w:rsidR="008D75FE">
        <w:rPr>
          <w:rFonts w:ascii="Times New Roman" w:hAnsi="Times New Roman" w:cs="Times New Roman"/>
          <w:sz w:val="20"/>
          <w:szCs w:val="20"/>
          <w:vertAlign w:val="superscript"/>
        </w:rPr>
        <w:t xml:space="preserve"> (1-</w:t>
      </w:r>
      <w:r w:rsidR="003B2C43" w:rsidRPr="0081595D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="003B2C43" w:rsidRPr="0081595D">
        <w:rPr>
          <w:rFonts w:ascii="Times New Roman" w:hAnsi="Times New Roman" w:cs="Times New Roman"/>
          <w:sz w:val="20"/>
          <w:szCs w:val="20"/>
        </w:rPr>
        <w:t xml:space="preserve">.  It is </w:t>
      </w:r>
      <w:r w:rsidR="008D75FE" w:rsidRPr="0081595D">
        <w:rPr>
          <w:rFonts w:ascii="Times New Roman" w:hAnsi="Times New Roman" w:cs="Times New Roman"/>
          <w:sz w:val="20"/>
          <w:szCs w:val="20"/>
        </w:rPr>
        <w:t>rare amongst the</w:t>
      </w:r>
      <w:r w:rsidR="003B2C43" w:rsidRPr="0081595D">
        <w:rPr>
          <w:rFonts w:ascii="Times New Roman" w:hAnsi="Times New Roman" w:cs="Times New Roman"/>
          <w:sz w:val="20"/>
          <w:szCs w:val="20"/>
        </w:rPr>
        <w:t xml:space="preserve"> elderly</w:t>
      </w:r>
      <w:r w:rsidR="008D75FE" w:rsidRPr="0081595D">
        <w:rPr>
          <w:rFonts w:ascii="Times New Roman" w:hAnsi="Times New Roman" w:cs="Times New Roman"/>
          <w:sz w:val="20"/>
          <w:szCs w:val="20"/>
        </w:rPr>
        <w:t>, but</w:t>
      </w:r>
      <w:r w:rsidR="003B2C43" w:rsidRPr="0081595D">
        <w:rPr>
          <w:rFonts w:ascii="Times New Roman" w:hAnsi="Times New Roman" w:cs="Times New Roman"/>
          <w:sz w:val="20"/>
          <w:szCs w:val="20"/>
        </w:rPr>
        <w:t xml:space="preserve"> is common in children</w:t>
      </w:r>
      <w:r w:rsidR="008D75FE" w:rsidRPr="0081595D">
        <w:rPr>
          <w:rFonts w:ascii="Times New Roman" w:hAnsi="Times New Roman" w:cs="Times New Roman"/>
          <w:sz w:val="20"/>
          <w:szCs w:val="20"/>
        </w:rPr>
        <w:t>, teenagers</w:t>
      </w:r>
      <w:r w:rsidR="003B2C43" w:rsidRPr="0081595D">
        <w:rPr>
          <w:rFonts w:ascii="Times New Roman" w:hAnsi="Times New Roman" w:cs="Times New Roman"/>
          <w:sz w:val="20"/>
          <w:szCs w:val="20"/>
        </w:rPr>
        <w:t xml:space="preserve"> and young adults </w:t>
      </w:r>
      <w:r w:rsidR="003B2C43" w:rsidRPr="0081595D">
        <w:rPr>
          <w:rFonts w:ascii="Times New Roman" w:hAnsi="Times New Roman" w:cs="Times New Roman"/>
          <w:sz w:val="20"/>
          <w:szCs w:val="20"/>
          <w:vertAlign w:val="superscript"/>
        </w:rPr>
        <w:t>(6)</w:t>
      </w:r>
      <w:r w:rsidR="003B2C43" w:rsidRPr="0081595D">
        <w:rPr>
          <w:rFonts w:ascii="Times New Roman" w:hAnsi="Times New Roman" w:cs="Times New Roman"/>
          <w:sz w:val="20"/>
          <w:szCs w:val="20"/>
        </w:rPr>
        <w:t>. Much effort has been directed towards early diagnosis and intervention as approximately 6% of the population will suffer from this disease during their life time</w:t>
      </w:r>
      <w:r w:rsidR="003B2C43" w:rsidRPr="0081595D">
        <w:rPr>
          <w:rFonts w:ascii="Times New Roman" w:hAnsi="Times New Roman" w:cs="Times New Roman"/>
          <w:sz w:val="20"/>
          <w:szCs w:val="20"/>
          <w:vertAlign w:val="superscript"/>
        </w:rPr>
        <w:t xml:space="preserve"> (7)</w:t>
      </w:r>
      <w:r w:rsidR="003B2C43" w:rsidRPr="0081595D">
        <w:rPr>
          <w:rFonts w:ascii="Times New Roman" w:hAnsi="Times New Roman" w:cs="Times New Roman"/>
          <w:sz w:val="20"/>
          <w:szCs w:val="20"/>
        </w:rPr>
        <w:t xml:space="preserve">. Delay in diagnosis leads to increase morbidity and costs. </w:t>
      </w:r>
    </w:p>
    <w:p w:rsidR="003B2C43" w:rsidRPr="0081595D" w:rsidRDefault="0081595D" w:rsidP="00105C71">
      <w:pPr>
        <w:pStyle w:val="Text"/>
        <w:spacing w:before="0" w:line="360" w:lineRule="auto"/>
        <w:ind w:firstLine="0"/>
        <w:rPr>
          <w:sz w:val="20"/>
          <w:szCs w:val="20"/>
        </w:rPr>
      </w:pPr>
      <w:r w:rsidRPr="0081595D">
        <w:rPr>
          <w:b/>
          <w:bCs/>
          <w:sz w:val="20"/>
          <w:szCs w:val="20"/>
        </w:rPr>
        <w:t>Methodology</w:t>
      </w:r>
      <w:r>
        <w:rPr>
          <w:b/>
          <w:bCs/>
          <w:sz w:val="20"/>
          <w:szCs w:val="20"/>
        </w:rPr>
        <w:t>:</w:t>
      </w:r>
      <w:r w:rsidRPr="0081595D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</w:r>
      <w:r w:rsidR="003B2C43" w:rsidRPr="0081595D">
        <w:rPr>
          <w:bCs/>
          <w:sz w:val="20"/>
          <w:szCs w:val="20"/>
        </w:rPr>
        <w:t xml:space="preserve">This was a </w:t>
      </w:r>
      <w:r w:rsidR="003B2C43" w:rsidRPr="0081595D">
        <w:rPr>
          <w:sz w:val="20"/>
          <w:szCs w:val="20"/>
        </w:rPr>
        <w:t xml:space="preserve">prospective clinicopathological </w:t>
      </w:r>
      <w:r w:rsidR="003B2C43" w:rsidRPr="00105C71">
        <w:rPr>
          <w:sz w:val="20"/>
          <w:szCs w:val="20"/>
        </w:rPr>
        <w:t xml:space="preserve">study with </w:t>
      </w:r>
      <w:r w:rsidR="008D75FE" w:rsidRPr="00105C71">
        <w:rPr>
          <w:sz w:val="20"/>
          <w:szCs w:val="20"/>
        </w:rPr>
        <w:t>included 100</w:t>
      </w:r>
      <w:r w:rsidR="003B2C43" w:rsidRPr="00105C71">
        <w:rPr>
          <w:sz w:val="20"/>
          <w:szCs w:val="20"/>
        </w:rPr>
        <w:t xml:space="preserve"> cases. This</w:t>
      </w:r>
      <w:r w:rsidR="003B2C43" w:rsidRPr="0081595D">
        <w:rPr>
          <w:sz w:val="20"/>
          <w:szCs w:val="20"/>
        </w:rPr>
        <w:t xml:space="preserve"> study included randomly all operated patients (100) suspected of appendicular perforation in the Department Of Surgery.</w:t>
      </w:r>
      <w:r w:rsidR="008D75FE">
        <w:rPr>
          <w:sz w:val="20"/>
          <w:szCs w:val="20"/>
        </w:rPr>
        <w:t xml:space="preserve"> Ethic comiitee approval was obtained for it. Sample size was estimated with the help of online sample size estimation calculator. </w:t>
      </w:r>
    </w:p>
    <w:p w:rsidR="003B2C43" w:rsidRPr="0081595D" w:rsidRDefault="008D75FE" w:rsidP="00105C71">
      <w:pPr>
        <w:pStyle w:val="Text"/>
        <w:spacing w:before="0" w:line="36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Patient’s selection criteria: </w:t>
      </w:r>
    </w:p>
    <w:p w:rsidR="003B2C43" w:rsidRPr="0081595D" w:rsidRDefault="003B2C43" w:rsidP="00105C71">
      <w:pPr>
        <w:pStyle w:val="Text"/>
        <w:spacing w:before="0" w:line="360" w:lineRule="auto"/>
        <w:ind w:firstLine="0"/>
        <w:rPr>
          <w:b/>
          <w:sz w:val="20"/>
          <w:szCs w:val="20"/>
        </w:rPr>
      </w:pPr>
      <w:r w:rsidRPr="0081595D">
        <w:rPr>
          <w:b/>
          <w:sz w:val="20"/>
          <w:szCs w:val="20"/>
        </w:rPr>
        <w:t>INCLUSION CRITERIA:</w:t>
      </w:r>
    </w:p>
    <w:p w:rsidR="003B2C43" w:rsidRPr="0081595D" w:rsidRDefault="003B2C43" w:rsidP="00105C71">
      <w:pPr>
        <w:pStyle w:val="Text"/>
        <w:numPr>
          <w:ilvl w:val="0"/>
          <w:numId w:val="1"/>
        </w:numPr>
        <w:spacing w:before="0" w:line="360" w:lineRule="auto"/>
        <w:rPr>
          <w:sz w:val="20"/>
          <w:szCs w:val="20"/>
        </w:rPr>
      </w:pPr>
      <w:r w:rsidRPr="0081595D">
        <w:rPr>
          <w:sz w:val="20"/>
          <w:szCs w:val="20"/>
        </w:rPr>
        <w:t xml:space="preserve">All cases diagnosed as acute appendicitis clinically on admission. </w:t>
      </w:r>
    </w:p>
    <w:p w:rsidR="003B2C43" w:rsidRPr="0081595D" w:rsidRDefault="003B2C43" w:rsidP="00105C71">
      <w:pPr>
        <w:pStyle w:val="Text"/>
        <w:numPr>
          <w:ilvl w:val="0"/>
          <w:numId w:val="1"/>
        </w:numPr>
        <w:spacing w:before="0" w:line="360" w:lineRule="auto"/>
        <w:rPr>
          <w:sz w:val="20"/>
          <w:szCs w:val="20"/>
        </w:rPr>
      </w:pPr>
      <w:r w:rsidRPr="0081595D">
        <w:rPr>
          <w:sz w:val="20"/>
          <w:szCs w:val="20"/>
        </w:rPr>
        <w:t xml:space="preserve">All patients diagnosed as appendicular perforation clinically on admission. </w:t>
      </w:r>
    </w:p>
    <w:p w:rsidR="003B2C43" w:rsidRPr="0081595D" w:rsidRDefault="003B2C43" w:rsidP="00105C71">
      <w:pPr>
        <w:pStyle w:val="Text"/>
        <w:numPr>
          <w:ilvl w:val="0"/>
          <w:numId w:val="1"/>
        </w:numPr>
        <w:spacing w:before="0" w:line="360" w:lineRule="auto"/>
        <w:rPr>
          <w:sz w:val="20"/>
          <w:szCs w:val="20"/>
        </w:rPr>
      </w:pPr>
      <w:r w:rsidRPr="0081595D">
        <w:rPr>
          <w:sz w:val="20"/>
          <w:szCs w:val="20"/>
        </w:rPr>
        <w:t xml:space="preserve">All patients diagnosed on laparotomy. </w:t>
      </w:r>
    </w:p>
    <w:p w:rsidR="003B2C43" w:rsidRPr="0081595D" w:rsidRDefault="003B2C43" w:rsidP="00105C71">
      <w:pPr>
        <w:pStyle w:val="Text"/>
        <w:numPr>
          <w:ilvl w:val="0"/>
          <w:numId w:val="1"/>
        </w:numPr>
        <w:spacing w:before="0" w:line="360" w:lineRule="auto"/>
        <w:rPr>
          <w:sz w:val="20"/>
          <w:szCs w:val="20"/>
        </w:rPr>
      </w:pPr>
      <w:r w:rsidRPr="0081595D">
        <w:rPr>
          <w:sz w:val="20"/>
          <w:szCs w:val="20"/>
          <w:u w:val="dotted"/>
        </w:rPr>
        <w:t xml:space="preserve">Patients ready to give informed written consent. </w:t>
      </w:r>
    </w:p>
    <w:p w:rsidR="003B2C43" w:rsidRPr="0081595D" w:rsidRDefault="003B2C43" w:rsidP="00105C71">
      <w:pPr>
        <w:pStyle w:val="Text"/>
        <w:spacing w:before="0" w:line="360" w:lineRule="auto"/>
        <w:ind w:firstLine="0"/>
        <w:rPr>
          <w:b/>
          <w:sz w:val="20"/>
          <w:szCs w:val="20"/>
        </w:rPr>
      </w:pPr>
      <w:r w:rsidRPr="0081595D">
        <w:rPr>
          <w:b/>
          <w:sz w:val="20"/>
          <w:szCs w:val="20"/>
        </w:rPr>
        <w:lastRenderedPageBreak/>
        <w:t>EXCLUSION CRITERIA:</w:t>
      </w:r>
    </w:p>
    <w:p w:rsidR="003B2C43" w:rsidRPr="0081595D" w:rsidRDefault="003B2C43" w:rsidP="00105C71">
      <w:pPr>
        <w:pStyle w:val="Text"/>
        <w:numPr>
          <w:ilvl w:val="0"/>
          <w:numId w:val="1"/>
        </w:numPr>
        <w:spacing w:before="0" w:line="360" w:lineRule="auto"/>
        <w:rPr>
          <w:sz w:val="20"/>
          <w:szCs w:val="20"/>
        </w:rPr>
      </w:pPr>
      <w:r w:rsidRPr="0081595D">
        <w:rPr>
          <w:sz w:val="20"/>
          <w:szCs w:val="20"/>
        </w:rPr>
        <w:t>All cases with either primary peritonitis or that due to anastomotic dehiscence.</w:t>
      </w:r>
    </w:p>
    <w:p w:rsidR="003B2C43" w:rsidRPr="0081595D" w:rsidRDefault="003B2C43" w:rsidP="00105C71">
      <w:pPr>
        <w:pStyle w:val="Text"/>
        <w:numPr>
          <w:ilvl w:val="0"/>
          <w:numId w:val="1"/>
        </w:numPr>
        <w:spacing w:before="0" w:line="360" w:lineRule="auto"/>
        <w:rPr>
          <w:sz w:val="20"/>
          <w:szCs w:val="20"/>
        </w:rPr>
      </w:pPr>
      <w:r w:rsidRPr="0081595D">
        <w:rPr>
          <w:sz w:val="20"/>
          <w:szCs w:val="20"/>
        </w:rPr>
        <w:t>All patients with Intestinal perforation.</w:t>
      </w:r>
    </w:p>
    <w:p w:rsidR="003B2C43" w:rsidRPr="0081595D" w:rsidRDefault="003B2C43" w:rsidP="00105C71">
      <w:pPr>
        <w:pStyle w:val="Text"/>
        <w:numPr>
          <w:ilvl w:val="0"/>
          <w:numId w:val="1"/>
        </w:numPr>
        <w:spacing w:before="0" w:line="360" w:lineRule="auto"/>
        <w:rPr>
          <w:sz w:val="20"/>
          <w:szCs w:val="20"/>
        </w:rPr>
      </w:pPr>
      <w:r w:rsidRPr="0081595D">
        <w:rPr>
          <w:sz w:val="20"/>
          <w:szCs w:val="20"/>
        </w:rPr>
        <w:t>All patients not willing for operative procedure.</w:t>
      </w:r>
    </w:p>
    <w:p w:rsidR="003B2C43" w:rsidRPr="0081595D" w:rsidRDefault="0081595D" w:rsidP="00105C71">
      <w:pPr>
        <w:pStyle w:val="Text"/>
        <w:spacing w:before="0" w:line="360" w:lineRule="auto"/>
        <w:ind w:firstLine="0"/>
        <w:rPr>
          <w:b/>
          <w:sz w:val="20"/>
          <w:szCs w:val="20"/>
        </w:rPr>
      </w:pPr>
      <w:r w:rsidRPr="0081595D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ethodology:</w:t>
      </w:r>
    </w:p>
    <w:p w:rsidR="003B2C43" w:rsidRPr="0081595D" w:rsidRDefault="003B2C43" w:rsidP="00105C71">
      <w:pPr>
        <w:pStyle w:val="Text"/>
        <w:spacing w:before="0" w:line="360" w:lineRule="auto"/>
        <w:ind w:firstLine="0"/>
        <w:rPr>
          <w:sz w:val="20"/>
          <w:szCs w:val="20"/>
        </w:rPr>
      </w:pPr>
      <w:r w:rsidRPr="0081595D">
        <w:rPr>
          <w:sz w:val="20"/>
          <w:szCs w:val="20"/>
        </w:rPr>
        <w:t>Clinical signs of appendicular perforation determined by the surgeons and the duration of the symptoms were documented on admission. An informed consent was obtained from all registered cases.</w:t>
      </w:r>
    </w:p>
    <w:p w:rsidR="003B2C43" w:rsidRPr="0081595D" w:rsidRDefault="003B2C43" w:rsidP="00105C71">
      <w:pPr>
        <w:pStyle w:val="Text"/>
        <w:spacing w:before="0" w:line="360" w:lineRule="auto"/>
        <w:ind w:firstLine="0"/>
        <w:rPr>
          <w:sz w:val="20"/>
          <w:szCs w:val="20"/>
        </w:rPr>
      </w:pPr>
      <w:r w:rsidRPr="0081595D">
        <w:rPr>
          <w:sz w:val="20"/>
          <w:szCs w:val="20"/>
        </w:rPr>
        <w:t>In all patients with pain in right iliac fossa the provisional diagnosis of appendicular perforation was made on the basis of history, clinical signs and relevant clinical data.</w:t>
      </w:r>
    </w:p>
    <w:p w:rsidR="003B2C43" w:rsidRPr="0081595D" w:rsidRDefault="003B2C43" w:rsidP="00105C71">
      <w:pPr>
        <w:pStyle w:val="Text"/>
        <w:spacing w:before="0" w:line="360" w:lineRule="auto"/>
        <w:ind w:firstLine="0"/>
        <w:rPr>
          <w:sz w:val="20"/>
          <w:szCs w:val="20"/>
        </w:rPr>
      </w:pPr>
      <w:r w:rsidRPr="0081595D">
        <w:rPr>
          <w:sz w:val="20"/>
          <w:szCs w:val="20"/>
        </w:rPr>
        <w:t>Among 100 cases of operated appendectomy in this study patients age group ranged from 0-10 to 90 years. Maximum group of patien</w:t>
      </w:r>
      <w:r w:rsidR="008D75FE">
        <w:rPr>
          <w:sz w:val="20"/>
          <w:szCs w:val="20"/>
        </w:rPr>
        <w:t>ts belonged to 11 to 20 years(42 patients i. e, 42</w:t>
      </w:r>
      <w:r w:rsidRPr="0081595D">
        <w:rPr>
          <w:sz w:val="20"/>
          <w:szCs w:val="20"/>
        </w:rPr>
        <w:t>%)</w:t>
      </w:r>
    </w:p>
    <w:p w:rsidR="003B2C43" w:rsidRDefault="003B2C43" w:rsidP="00105C71">
      <w:pPr>
        <w:pStyle w:val="Text"/>
        <w:spacing w:before="0" w:line="360" w:lineRule="auto"/>
        <w:ind w:firstLine="0"/>
        <w:rPr>
          <w:sz w:val="20"/>
          <w:szCs w:val="20"/>
        </w:rPr>
      </w:pPr>
      <w:r w:rsidRPr="0081595D">
        <w:rPr>
          <w:sz w:val="20"/>
          <w:szCs w:val="20"/>
        </w:rPr>
        <w:t>Among 100 patients of operate</w:t>
      </w:r>
      <w:r w:rsidR="008D75FE">
        <w:rPr>
          <w:sz w:val="20"/>
          <w:szCs w:val="20"/>
        </w:rPr>
        <w:t>d appendectomy in this study, 25</w:t>
      </w:r>
      <w:r w:rsidRPr="0081595D">
        <w:rPr>
          <w:sz w:val="20"/>
          <w:szCs w:val="20"/>
        </w:rPr>
        <w:t xml:space="preserve"> were female (2</w:t>
      </w:r>
      <w:r w:rsidR="008D75FE">
        <w:rPr>
          <w:sz w:val="20"/>
          <w:szCs w:val="20"/>
        </w:rPr>
        <w:t>5%)and 75 were male (75</w:t>
      </w:r>
      <w:r w:rsidRPr="0081595D">
        <w:rPr>
          <w:sz w:val="20"/>
          <w:szCs w:val="20"/>
        </w:rPr>
        <w:t>%).Out o</w:t>
      </w:r>
      <w:r w:rsidR="008D75FE">
        <w:rPr>
          <w:sz w:val="20"/>
          <w:szCs w:val="20"/>
        </w:rPr>
        <w:t>f total 100 operated patients 91</w:t>
      </w:r>
      <w:r w:rsidRPr="0081595D">
        <w:rPr>
          <w:sz w:val="20"/>
          <w:szCs w:val="20"/>
        </w:rPr>
        <w:t xml:space="preserve"> patient</w:t>
      </w:r>
      <w:r w:rsidR="008D75FE">
        <w:rPr>
          <w:sz w:val="20"/>
          <w:szCs w:val="20"/>
        </w:rPr>
        <w:t>s diagnosed as HPE positive ( 91%)Rest 9</w:t>
      </w:r>
      <w:r w:rsidRPr="0081595D">
        <w:rPr>
          <w:sz w:val="20"/>
          <w:szCs w:val="20"/>
        </w:rPr>
        <w:t xml:space="preserve"> patients had HPE ne</w:t>
      </w:r>
      <w:r w:rsidR="008D75FE">
        <w:rPr>
          <w:sz w:val="20"/>
          <w:szCs w:val="20"/>
        </w:rPr>
        <w:t>gative (normal appendix)i. e, 9</w:t>
      </w:r>
      <w:r w:rsidRPr="0081595D">
        <w:rPr>
          <w:sz w:val="20"/>
          <w:szCs w:val="20"/>
        </w:rPr>
        <w:t>%.The negative appendectomy rate in th</w:t>
      </w:r>
      <w:r w:rsidR="008D75FE">
        <w:rPr>
          <w:sz w:val="20"/>
          <w:szCs w:val="20"/>
        </w:rPr>
        <w:t>is study is 9</w:t>
      </w:r>
      <w:r w:rsidRPr="0081595D">
        <w:rPr>
          <w:sz w:val="20"/>
          <w:szCs w:val="20"/>
        </w:rPr>
        <w:t>%</w:t>
      </w:r>
    </w:p>
    <w:p w:rsidR="00513543" w:rsidRDefault="00513543" w:rsidP="00105C71">
      <w:pPr>
        <w:pStyle w:val="Text"/>
        <w:spacing w:before="0" w:line="360" w:lineRule="auto"/>
        <w:ind w:firstLine="0"/>
        <w:rPr>
          <w:b/>
          <w:sz w:val="20"/>
          <w:szCs w:val="20"/>
        </w:rPr>
      </w:pPr>
    </w:p>
    <w:p w:rsidR="0081595D" w:rsidRPr="0081595D" w:rsidRDefault="0081595D" w:rsidP="00105C71">
      <w:pPr>
        <w:pStyle w:val="Text"/>
        <w:spacing w:before="0" w:line="360" w:lineRule="auto"/>
        <w:ind w:firstLine="0"/>
        <w:rPr>
          <w:b/>
          <w:sz w:val="20"/>
          <w:szCs w:val="20"/>
        </w:rPr>
      </w:pPr>
      <w:r w:rsidRPr="0081595D">
        <w:rPr>
          <w:b/>
          <w:sz w:val="20"/>
          <w:szCs w:val="20"/>
        </w:rPr>
        <w:t>Results:</w:t>
      </w:r>
    </w:p>
    <w:p w:rsidR="003B2C43" w:rsidRPr="0081595D" w:rsidRDefault="003B2C43" w:rsidP="00105C71">
      <w:pPr>
        <w:pStyle w:val="Table"/>
        <w:spacing w:before="0" w:line="360" w:lineRule="auto"/>
        <w:jc w:val="both"/>
        <w:rPr>
          <w:sz w:val="20"/>
          <w:szCs w:val="20"/>
        </w:rPr>
      </w:pPr>
      <w:bookmarkStart w:id="1" w:name="_Toc528339470"/>
      <w:r w:rsidRPr="0081595D">
        <w:rPr>
          <w:rFonts w:eastAsiaTheme="minorEastAsia"/>
          <w:sz w:val="20"/>
          <w:szCs w:val="20"/>
        </w:rPr>
        <w:t>T</w:t>
      </w:r>
      <w:r w:rsidR="00105C71" w:rsidRPr="0081595D">
        <w:rPr>
          <w:rFonts w:eastAsiaTheme="minorEastAsia"/>
          <w:sz w:val="20"/>
          <w:szCs w:val="20"/>
        </w:rPr>
        <w:t xml:space="preserve">able </w:t>
      </w:r>
      <w:r w:rsidRPr="0081595D">
        <w:rPr>
          <w:rFonts w:eastAsiaTheme="minorEastAsia"/>
          <w:sz w:val="20"/>
          <w:szCs w:val="20"/>
        </w:rPr>
        <w:t xml:space="preserve">No. </w:t>
      </w:r>
      <w:r w:rsidR="0081595D">
        <w:rPr>
          <w:rFonts w:eastAsiaTheme="minorEastAsia"/>
          <w:sz w:val="20"/>
          <w:szCs w:val="20"/>
        </w:rPr>
        <w:t>1</w:t>
      </w:r>
      <w:r w:rsidRPr="0081595D">
        <w:rPr>
          <w:rFonts w:eastAsiaTheme="minorEastAsia"/>
          <w:sz w:val="20"/>
          <w:szCs w:val="20"/>
        </w:rPr>
        <w:t xml:space="preserve"> P</w:t>
      </w:r>
      <w:r w:rsidR="00105C71" w:rsidRPr="0081595D">
        <w:rPr>
          <w:rFonts w:eastAsiaTheme="minorEastAsia"/>
          <w:sz w:val="20"/>
          <w:szCs w:val="20"/>
        </w:rPr>
        <w:t>ost operative complication</w:t>
      </w:r>
      <w:bookmarkEnd w:id="1"/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2901"/>
        <w:gridCol w:w="1558"/>
        <w:gridCol w:w="2521"/>
      </w:tblGrid>
      <w:tr w:rsidR="003B2C43" w:rsidRPr="0081595D" w:rsidTr="00215D0A">
        <w:trPr>
          <w:jc w:val="center"/>
        </w:trPr>
        <w:tc>
          <w:tcPr>
            <w:tcW w:w="1295" w:type="pct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3B2C43" w:rsidRPr="0081595D" w:rsidRDefault="003B2C43" w:rsidP="00105C71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81595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Complication</w:t>
            </w:r>
          </w:p>
        </w:tc>
        <w:tc>
          <w:tcPr>
            <w:tcW w:w="1540" w:type="pct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3B2C43" w:rsidRPr="0081595D" w:rsidRDefault="003B2C43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81595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wound infection</w:t>
            </w:r>
          </w:p>
        </w:tc>
        <w:tc>
          <w:tcPr>
            <w:tcW w:w="827" w:type="pct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3B2C43" w:rsidRPr="0081595D" w:rsidRDefault="003B2C43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81595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Soakage</w:t>
            </w:r>
          </w:p>
        </w:tc>
        <w:tc>
          <w:tcPr>
            <w:tcW w:w="1338" w:type="pct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3B2C43" w:rsidRPr="0081595D" w:rsidRDefault="003B2C43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81595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paralytic ileus</w:t>
            </w:r>
          </w:p>
        </w:tc>
      </w:tr>
      <w:tr w:rsidR="003B2C43" w:rsidRPr="0081595D" w:rsidTr="00215D0A">
        <w:trPr>
          <w:jc w:val="center"/>
        </w:trPr>
        <w:tc>
          <w:tcPr>
            <w:tcW w:w="1295" w:type="pct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3B2C43" w:rsidRPr="0081595D" w:rsidRDefault="003B2C43" w:rsidP="00105C71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81595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no of patients</w:t>
            </w:r>
          </w:p>
        </w:tc>
        <w:tc>
          <w:tcPr>
            <w:tcW w:w="1540" w:type="pct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3B2C43" w:rsidRPr="0081595D" w:rsidRDefault="008D75FE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7" w:type="pct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3B2C43" w:rsidRPr="0081595D" w:rsidRDefault="008D75FE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8" w:type="pct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3B2C43" w:rsidRPr="0081595D" w:rsidRDefault="008D75FE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3B2C43" w:rsidRPr="0081595D" w:rsidRDefault="003B2C43" w:rsidP="00105C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2C43" w:rsidRPr="0081595D" w:rsidRDefault="003B2C43" w:rsidP="00105C71">
      <w:pPr>
        <w:pStyle w:val="Table"/>
        <w:spacing w:before="0" w:line="360" w:lineRule="auto"/>
        <w:jc w:val="both"/>
        <w:rPr>
          <w:sz w:val="20"/>
          <w:szCs w:val="20"/>
        </w:rPr>
      </w:pPr>
      <w:bookmarkStart w:id="2" w:name="_Toc528339471"/>
      <w:r w:rsidRPr="0081595D">
        <w:rPr>
          <w:sz w:val="20"/>
          <w:szCs w:val="20"/>
        </w:rPr>
        <w:t xml:space="preserve">Table no </w:t>
      </w:r>
      <w:r w:rsidR="0081595D">
        <w:rPr>
          <w:sz w:val="20"/>
          <w:szCs w:val="20"/>
        </w:rPr>
        <w:t>2</w:t>
      </w:r>
      <w:r w:rsidRPr="0081595D">
        <w:rPr>
          <w:sz w:val="20"/>
          <w:szCs w:val="20"/>
        </w:rPr>
        <w:t>. Modified Alvarado score and HPE report</w:t>
      </w:r>
      <w:bookmarkEnd w:id="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888"/>
        <w:gridCol w:w="1610"/>
        <w:gridCol w:w="1784"/>
        <w:gridCol w:w="1136"/>
      </w:tblGrid>
      <w:tr w:rsidR="003B2C43" w:rsidRPr="0081595D" w:rsidTr="00215D0A">
        <w:trPr>
          <w:jc w:val="center"/>
        </w:trPr>
        <w:tc>
          <w:tcPr>
            <w:tcW w:w="25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43" w:rsidRPr="0081595D" w:rsidRDefault="003B2C43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81595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Modified Alvarado score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43" w:rsidRPr="0081595D" w:rsidRDefault="003B2C43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81595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Histology report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C43" w:rsidRPr="0081595D" w:rsidRDefault="003B2C43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81595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3B2C43" w:rsidRPr="0081595D" w:rsidTr="00215D0A">
        <w:trPr>
          <w:jc w:val="center"/>
        </w:trPr>
        <w:tc>
          <w:tcPr>
            <w:tcW w:w="25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43" w:rsidRPr="0081595D" w:rsidRDefault="003B2C43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43" w:rsidRPr="0081595D" w:rsidRDefault="003B2C43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81595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43" w:rsidRPr="0081595D" w:rsidRDefault="003B2C43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81595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Negative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C43" w:rsidRPr="0081595D" w:rsidRDefault="003B2C43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2C43" w:rsidRPr="0081595D" w:rsidTr="00215D0A">
        <w:trPr>
          <w:jc w:val="center"/>
        </w:trPr>
        <w:tc>
          <w:tcPr>
            <w:tcW w:w="2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43" w:rsidRPr="0081595D" w:rsidRDefault="003B2C43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1595D">
              <w:rPr>
                <w:rFonts w:ascii="Times New Roman" w:eastAsiaTheme="minorEastAsia" w:hAnsi="Times New Roman" w:cs="Times New Roman"/>
                <w:sz w:val="20"/>
                <w:szCs w:val="20"/>
              </w:rPr>
              <w:t>&gt;7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43" w:rsidRPr="0081595D" w:rsidRDefault="008D75FE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43" w:rsidRPr="0081595D" w:rsidRDefault="008D75FE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C43" w:rsidRPr="0081595D" w:rsidRDefault="00B26582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70</w:t>
            </w:r>
          </w:p>
        </w:tc>
      </w:tr>
      <w:tr w:rsidR="003B2C43" w:rsidRPr="0081595D" w:rsidTr="00215D0A">
        <w:trPr>
          <w:jc w:val="center"/>
        </w:trPr>
        <w:tc>
          <w:tcPr>
            <w:tcW w:w="2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43" w:rsidRPr="0081595D" w:rsidRDefault="003B2C43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1595D">
              <w:rPr>
                <w:rFonts w:ascii="Times New Roman" w:eastAsiaTheme="minorEastAsia" w:hAnsi="Times New Roman" w:cs="Times New Roman"/>
                <w:sz w:val="20"/>
                <w:szCs w:val="20"/>
              </w:rPr>
              <w:t>&lt;7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43" w:rsidRPr="0081595D" w:rsidRDefault="00B26582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43" w:rsidRPr="0081595D" w:rsidRDefault="00B26582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C43" w:rsidRPr="0081595D" w:rsidRDefault="00B26582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30</w:t>
            </w:r>
          </w:p>
        </w:tc>
      </w:tr>
      <w:tr w:rsidR="003B2C43" w:rsidRPr="0081595D" w:rsidTr="00215D0A">
        <w:trPr>
          <w:jc w:val="center"/>
        </w:trPr>
        <w:tc>
          <w:tcPr>
            <w:tcW w:w="2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43" w:rsidRPr="0081595D" w:rsidRDefault="003B2C43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1595D">
              <w:rPr>
                <w:rFonts w:ascii="Times New Roman" w:eastAsiaTheme="minorEastAsia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43" w:rsidRPr="0081595D" w:rsidRDefault="00B26582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43" w:rsidRPr="0081595D" w:rsidRDefault="00B26582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C43" w:rsidRPr="0081595D" w:rsidRDefault="003B2C43" w:rsidP="008D75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1595D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</w:tr>
    </w:tbl>
    <w:p w:rsidR="003B2C43" w:rsidRPr="0081595D" w:rsidRDefault="00B26582" w:rsidP="00105C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Value of χ² = 47. 0</w:t>
      </w:r>
      <w:r w:rsidR="003B2C43" w:rsidRPr="0081595D">
        <w:rPr>
          <w:rFonts w:ascii="Times New Roman" w:hAnsi="Times New Roman" w:cs="Times New Roman"/>
          <w:sz w:val="20"/>
          <w:szCs w:val="20"/>
        </w:rPr>
        <w:t xml:space="preserve">6, p&lt;0. 05, significant </w:t>
      </w:r>
    </w:p>
    <w:p w:rsidR="003B2C43" w:rsidRPr="0081595D" w:rsidRDefault="003B2C43" w:rsidP="00105C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95D">
        <w:rPr>
          <w:rFonts w:ascii="Times New Roman" w:hAnsi="Times New Roman" w:cs="Times New Roman"/>
          <w:sz w:val="20"/>
          <w:szCs w:val="20"/>
        </w:rPr>
        <w:t xml:space="preserve">By applying Chi-Square test there is a significant association between Modified Alvarado score and histology report (p&lt;0. 05) </w:t>
      </w:r>
    </w:p>
    <w:p w:rsidR="00513543" w:rsidRDefault="008D75FE" w:rsidP="00105C71">
      <w:pPr>
        <w:pStyle w:val="Table"/>
        <w:spacing w:before="0" w:line="360" w:lineRule="auto"/>
        <w:jc w:val="both"/>
        <w:rPr>
          <w:sz w:val="20"/>
          <w:szCs w:val="20"/>
        </w:rPr>
      </w:pPr>
      <w:bookmarkStart w:id="3" w:name="_Toc528339472"/>
      <w:r w:rsidRPr="008D75FE">
        <w:rPr>
          <w:rFonts w:eastAsiaTheme="minorHAnsi"/>
          <w:b w:val="0"/>
          <w:sz w:val="20"/>
          <w:szCs w:val="20"/>
        </w:rPr>
        <w:t>Overall sensitivity of Alvarado score = 82. 8%, specificity= 84. 25%, PPV= 98. 2% and NPV = 69. 01%.</w:t>
      </w:r>
    </w:p>
    <w:p w:rsidR="00513543" w:rsidRDefault="00513543" w:rsidP="00105C71">
      <w:pPr>
        <w:pStyle w:val="Table"/>
        <w:spacing w:before="0" w:line="360" w:lineRule="auto"/>
        <w:jc w:val="both"/>
        <w:rPr>
          <w:sz w:val="20"/>
          <w:szCs w:val="20"/>
        </w:rPr>
      </w:pPr>
    </w:p>
    <w:p w:rsidR="00513543" w:rsidRDefault="00513543" w:rsidP="00105C71">
      <w:pPr>
        <w:pStyle w:val="Table"/>
        <w:spacing w:before="0" w:line="360" w:lineRule="auto"/>
        <w:jc w:val="both"/>
        <w:rPr>
          <w:sz w:val="20"/>
          <w:szCs w:val="20"/>
        </w:rPr>
      </w:pPr>
    </w:p>
    <w:p w:rsidR="00513543" w:rsidRDefault="00513543" w:rsidP="00105C71">
      <w:pPr>
        <w:pStyle w:val="Table"/>
        <w:spacing w:before="0" w:line="360" w:lineRule="auto"/>
        <w:jc w:val="both"/>
        <w:rPr>
          <w:sz w:val="20"/>
          <w:szCs w:val="20"/>
        </w:rPr>
      </w:pPr>
    </w:p>
    <w:p w:rsidR="00513543" w:rsidRDefault="00513543" w:rsidP="00105C71">
      <w:pPr>
        <w:pStyle w:val="Table"/>
        <w:spacing w:before="0" w:line="360" w:lineRule="auto"/>
        <w:jc w:val="both"/>
        <w:rPr>
          <w:sz w:val="20"/>
          <w:szCs w:val="20"/>
        </w:rPr>
      </w:pPr>
    </w:p>
    <w:p w:rsidR="008D75FE" w:rsidRDefault="008D75FE" w:rsidP="00105C71">
      <w:pPr>
        <w:pStyle w:val="Table"/>
        <w:spacing w:before="0" w:line="360" w:lineRule="auto"/>
        <w:jc w:val="both"/>
        <w:rPr>
          <w:sz w:val="20"/>
          <w:szCs w:val="20"/>
        </w:rPr>
      </w:pPr>
    </w:p>
    <w:p w:rsidR="008D75FE" w:rsidRDefault="008D75FE" w:rsidP="00105C71">
      <w:pPr>
        <w:pStyle w:val="Table"/>
        <w:spacing w:before="0" w:line="360" w:lineRule="auto"/>
        <w:jc w:val="both"/>
        <w:rPr>
          <w:sz w:val="20"/>
          <w:szCs w:val="20"/>
        </w:rPr>
      </w:pPr>
    </w:p>
    <w:p w:rsidR="00513543" w:rsidRDefault="00513543" w:rsidP="00105C71">
      <w:pPr>
        <w:pStyle w:val="Table"/>
        <w:spacing w:before="0" w:line="360" w:lineRule="auto"/>
        <w:jc w:val="both"/>
        <w:rPr>
          <w:sz w:val="20"/>
          <w:szCs w:val="20"/>
        </w:rPr>
      </w:pPr>
    </w:p>
    <w:bookmarkEnd w:id="3"/>
    <w:p w:rsidR="0081595D" w:rsidRPr="0081595D" w:rsidRDefault="0081595D" w:rsidP="00B26582">
      <w:pPr>
        <w:pStyle w:val="Text"/>
        <w:spacing w:before="0" w:line="360" w:lineRule="auto"/>
        <w:ind w:firstLine="0"/>
        <w:rPr>
          <w:sz w:val="20"/>
          <w:szCs w:val="20"/>
        </w:rPr>
      </w:pPr>
      <w:r w:rsidRPr="0081595D">
        <w:rPr>
          <w:b/>
          <w:sz w:val="20"/>
          <w:szCs w:val="20"/>
        </w:rPr>
        <w:t>Discussion:</w:t>
      </w:r>
      <w:r>
        <w:rPr>
          <w:sz w:val="20"/>
          <w:szCs w:val="20"/>
        </w:rPr>
        <w:br/>
      </w:r>
      <w:r w:rsidRPr="0081595D">
        <w:rPr>
          <w:sz w:val="20"/>
          <w:szCs w:val="20"/>
        </w:rPr>
        <w:t>In our study total 100 patients underwe</w:t>
      </w:r>
      <w:r w:rsidR="00B26582">
        <w:rPr>
          <w:sz w:val="20"/>
          <w:szCs w:val="20"/>
        </w:rPr>
        <w:t>nt appendicectomy out of which 14</w:t>
      </w:r>
      <w:r w:rsidRPr="0081595D">
        <w:rPr>
          <w:sz w:val="20"/>
          <w:szCs w:val="20"/>
        </w:rPr>
        <w:t>% developed complication. Most co</w:t>
      </w:r>
      <w:r w:rsidR="00B26582">
        <w:rPr>
          <w:sz w:val="20"/>
          <w:szCs w:val="20"/>
        </w:rPr>
        <w:t>mmon POC – wound infection (in 8 patient), 3% had soakage and 3</w:t>
      </w:r>
      <w:r w:rsidRPr="0081595D">
        <w:rPr>
          <w:sz w:val="20"/>
          <w:szCs w:val="20"/>
        </w:rPr>
        <w:t xml:space="preserve">% had paralytic ileus. </w:t>
      </w:r>
      <w:r w:rsidR="00105C71">
        <w:rPr>
          <w:sz w:val="20"/>
          <w:szCs w:val="20"/>
        </w:rPr>
        <w:t xml:space="preserve"> </w:t>
      </w:r>
      <w:r w:rsidRPr="0081595D">
        <w:rPr>
          <w:sz w:val="20"/>
          <w:szCs w:val="20"/>
        </w:rPr>
        <w:t xml:space="preserve">This study was done in Department of General Surgery, Pravara Institute of </w:t>
      </w:r>
      <w:r w:rsidR="00B26582">
        <w:rPr>
          <w:sz w:val="20"/>
          <w:szCs w:val="20"/>
        </w:rPr>
        <w:t xml:space="preserve">Medical Sciences. </w:t>
      </w:r>
    </w:p>
    <w:p w:rsidR="00B26582" w:rsidRPr="0081595D" w:rsidRDefault="00B26582" w:rsidP="00B26582">
      <w:pPr>
        <w:pStyle w:val="Text"/>
        <w:spacing w:before="0" w:line="360" w:lineRule="auto"/>
        <w:ind w:firstLine="0"/>
        <w:rPr>
          <w:sz w:val="20"/>
          <w:szCs w:val="20"/>
        </w:rPr>
      </w:pPr>
      <w:r w:rsidRPr="0081595D">
        <w:rPr>
          <w:sz w:val="20"/>
          <w:szCs w:val="20"/>
        </w:rPr>
        <w:t>Clinical signs of appendicular perforation determined by the surgeons and the duration of the symptoms were documented on admission. An informed consent was obtained from all registered cases.</w:t>
      </w:r>
    </w:p>
    <w:p w:rsidR="00B26582" w:rsidRDefault="00B26582" w:rsidP="00B26582">
      <w:pPr>
        <w:pStyle w:val="Text"/>
        <w:spacing w:before="0" w:line="360" w:lineRule="auto"/>
        <w:ind w:firstLine="0"/>
        <w:rPr>
          <w:sz w:val="20"/>
          <w:szCs w:val="20"/>
        </w:rPr>
      </w:pPr>
      <w:r w:rsidRPr="0081595D">
        <w:rPr>
          <w:sz w:val="20"/>
          <w:szCs w:val="20"/>
        </w:rPr>
        <w:t>In all patients with pain in right iliac fossa the provisional diagnosis of appendicular perforation was made on the basis of history, clinical signs and relevant clinical data.</w:t>
      </w:r>
      <w:r>
        <w:rPr>
          <w:sz w:val="20"/>
          <w:szCs w:val="20"/>
        </w:rPr>
        <w:t xml:space="preserve"> </w:t>
      </w:r>
      <w:r w:rsidRPr="0081595D">
        <w:rPr>
          <w:sz w:val="20"/>
          <w:szCs w:val="20"/>
        </w:rPr>
        <w:t>Among 100 cases of operated appendectomy in this study patients age group ranged from 0-10 to 90 years. Maximum group of patien</w:t>
      </w:r>
      <w:r>
        <w:rPr>
          <w:sz w:val="20"/>
          <w:szCs w:val="20"/>
        </w:rPr>
        <w:t>ts belonged to 11 to 20 years(42 patients i. e, 42</w:t>
      </w:r>
      <w:r w:rsidRPr="0081595D">
        <w:rPr>
          <w:sz w:val="20"/>
          <w:szCs w:val="20"/>
        </w:rPr>
        <w:t>%)</w:t>
      </w:r>
      <w:r>
        <w:rPr>
          <w:sz w:val="20"/>
          <w:szCs w:val="20"/>
        </w:rPr>
        <w:t xml:space="preserve"> </w:t>
      </w:r>
      <w:r w:rsidRPr="0081595D">
        <w:rPr>
          <w:sz w:val="20"/>
          <w:szCs w:val="20"/>
        </w:rPr>
        <w:t>Among 100 patients of operate</w:t>
      </w:r>
      <w:r>
        <w:rPr>
          <w:sz w:val="20"/>
          <w:szCs w:val="20"/>
        </w:rPr>
        <w:t>d appendectomy in this study, 25</w:t>
      </w:r>
      <w:r w:rsidRPr="0081595D">
        <w:rPr>
          <w:sz w:val="20"/>
          <w:szCs w:val="20"/>
        </w:rPr>
        <w:t xml:space="preserve"> were female (2</w:t>
      </w:r>
      <w:r>
        <w:rPr>
          <w:sz w:val="20"/>
          <w:szCs w:val="20"/>
        </w:rPr>
        <w:t>5%)and 75 were male (75</w:t>
      </w:r>
      <w:r w:rsidRPr="0081595D">
        <w:rPr>
          <w:sz w:val="20"/>
          <w:szCs w:val="20"/>
        </w:rPr>
        <w:t>%).Out o</w:t>
      </w:r>
      <w:r>
        <w:rPr>
          <w:sz w:val="20"/>
          <w:szCs w:val="20"/>
        </w:rPr>
        <w:t>f total 100 operated patients 91</w:t>
      </w:r>
      <w:r w:rsidRPr="0081595D">
        <w:rPr>
          <w:sz w:val="20"/>
          <w:szCs w:val="20"/>
        </w:rPr>
        <w:t xml:space="preserve"> patient</w:t>
      </w:r>
      <w:r>
        <w:rPr>
          <w:sz w:val="20"/>
          <w:szCs w:val="20"/>
        </w:rPr>
        <w:t>s diagnosed as HPE positive ( 91%)Rest 9</w:t>
      </w:r>
      <w:r w:rsidRPr="0081595D">
        <w:rPr>
          <w:sz w:val="20"/>
          <w:szCs w:val="20"/>
        </w:rPr>
        <w:t xml:space="preserve"> patients had HPE ne</w:t>
      </w:r>
      <w:r>
        <w:rPr>
          <w:sz w:val="20"/>
          <w:szCs w:val="20"/>
        </w:rPr>
        <w:t>gative (normal appendix)i. e, 9</w:t>
      </w:r>
      <w:r w:rsidRPr="0081595D">
        <w:rPr>
          <w:sz w:val="20"/>
          <w:szCs w:val="20"/>
        </w:rPr>
        <w:t>%.The negative appendectomy rate in th</w:t>
      </w:r>
      <w:r>
        <w:rPr>
          <w:sz w:val="20"/>
          <w:szCs w:val="20"/>
        </w:rPr>
        <w:t>is study is 9</w:t>
      </w:r>
      <w:r w:rsidRPr="0081595D">
        <w:rPr>
          <w:sz w:val="20"/>
          <w:szCs w:val="20"/>
        </w:rPr>
        <w:t>%</w:t>
      </w:r>
      <w:r>
        <w:rPr>
          <w:sz w:val="20"/>
          <w:szCs w:val="20"/>
        </w:rPr>
        <w:t xml:space="preserve">. </w:t>
      </w:r>
      <w:r w:rsidRPr="0081595D">
        <w:rPr>
          <w:sz w:val="20"/>
          <w:szCs w:val="20"/>
        </w:rPr>
        <w:t xml:space="preserve">By applying Chi-Square test there is a significant association between Modified Alvarado score and histology report (p&lt;0. 05) </w:t>
      </w:r>
      <w:r>
        <w:rPr>
          <w:sz w:val="20"/>
          <w:szCs w:val="20"/>
        </w:rPr>
        <w:t xml:space="preserve"> . </w:t>
      </w:r>
      <w:r w:rsidRPr="008D75FE">
        <w:rPr>
          <w:rFonts w:eastAsiaTheme="minorHAnsi"/>
          <w:sz w:val="20"/>
          <w:szCs w:val="20"/>
        </w:rPr>
        <w:t>Overall sensitivity of Alvarado score = 82. 8%, specificity= 84. 25%, PPV= 98. 2% and NPV = 69. 01%.</w:t>
      </w:r>
    </w:p>
    <w:p w:rsidR="0081595D" w:rsidRPr="0081595D" w:rsidRDefault="0081595D" w:rsidP="00105C7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595D">
        <w:rPr>
          <w:rFonts w:ascii="Times New Roman" w:hAnsi="Times New Roman" w:cs="Times New Roman"/>
          <w:b/>
          <w:sz w:val="20"/>
          <w:szCs w:val="20"/>
        </w:rPr>
        <w:t>Conclusion:</w:t>
      </w:r>
    </w:p>
    <w:p w:rsidR="0081595D" w:rsidRDefault="00B26582" w:rsidP="00105C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582">
        <w:rPr>
          <w:rFonts w:ascii="Times New Roman" w:hAnsi="Times New Roman" w:cs="Times New Roman"/>
          <w:sz w:val="20"/>
          <w:szCs w:val="20"/>
        </w:rPr>
        <w:t>Herewith we conclude</w:t>
      </w:r>
      <w:r w:rsidRPr="00B265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6582">
        <w:rPr>
          <w:rFonts w:ascii="Times New Roman" w:hAnsi="Times New Roman" w:cs="Times New Roman"/>
          <w:sz w:val="20"/>
          <w:szCs w:val="20"/>
        </w:rPr>
        <w:t>to stress that history and clinical examination by a skilled surgeon still remain indispensable in diagnosing appendicular perforation.</w:t>
      </w:r>
    </w:p>
    <w:p w:rsidR="00B26582" w:rsidRDefault="00B26582" w:rsidP="00105C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82" w:rsidRDefault="00B26582" w:rsidP="00105C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95D" w:rsidRPr="0081595D" w:rsidRDefault="0081595D" w:rsidP="00105C7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595D">
        <w:rPr>
          <w:rFonts w:ascii="Times New Roman" w:hAnsi="Times New Roman" w:cs="Times New Roman"/>
          <w:b/>
          <w:sz w:val="20"/>
          <w:szCs w:val="20"/>
        </w:rPr>
        <w:t xml:space="preserve">References: </w:t>
      </w:r>
    </w:p>
    <w:p w:rsidR="0081595D" w:rsidRPr="00105C71" w:rsidRDefault="0081595D" w:rsidP="00105C7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05C71">
        <w:rPr>
          <w:rFonts w:ascii="Times New Roman" w:hAnsi="Times New Roman"/>
          <w:sz w:val="20"/>
          <w:szCs w:val="20"/>
        </w:rPr>
        <w:t xml:space="preserve">Williams GR. Presidential address: a history of appendicitis. With anecdotes illustrating its importance. Ann Surg 1983:197:495-506. </w:t>
      </w:r>
    </w:p>
    <w:p w:rsidR="0081595D" w:rsidRPr="00105C71" w:rsidRDefault="0081595D" w:rsidP="00105C7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05C71">
        <w:rPr>
          <w:rFonts w:ascii="Times New Roman" w:hAnsi="Times New Roman"/>
          <w:sz w:val="20"/>
          <w:szCs w:val="20"/>
        </w:rPr>
        <w:t xml:space="preserve">Scott GB. The primate caecum and appendix vermiformis: a comparative study. J Anat 1980;131:549-63. </w:t>
      </w:r>
    </w:p>
    <w:p w:rsidR="0081595D" w:rsidRPr="00105C71" w:rsidRDefault="0081595D" w:rsidP="00105C7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05C71">
        <w:rPr>
          <w:rFonts w:ascii="Times New Roman" w:hAnsi="Times New Roman"/>
          <w:sz w:val="20"/>
          <w:szCs w:val="20"/>
        </w:rPr>
        <w:t xml:space="preserve">Langman J, Sadler TW. Langman's Medical Embryology 9th revised ed. UK:Lippincott williams and Wilkins, 2003. </w:t>
      </w:r>
    </w:p>
    <w:p w:rsidR="0081595D" w:rsidRPr="00105C71" w:rsidRDefault="0081595D" w:rsidP="00105C7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05C71">
        <w:rPr>
          <w:rFonts w:ascii="Times New Roman" w:hAnsi="Times New Roman"/>
          <w:sz w:val="20"/>
          <w:szCs w:val="20"/>
        </w:rPr>
        <w:t xml:space="preserve">Puylaart JB. Acute appendicitis ultrasound evaluation using graded compression. Radiol. 1986; 158: 355-60. </w:t>
      </w:r>
    </w:p>
    <w:p w:rsidR="0081595D" w:rsidRPr="00105C71" w:rsidRDefault="0081595D" w:rsidP="00105C7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05C71">
        <w:rPr>
          <w:rFonts w:ascii="Times New Roman" w:hAnsi="Times New Roman"/>
          <w:sz w:val="20"/>
          <w:szCs w:val="20"/>
        </w:rPr>
        <w:t xml:space="preserve">Pearson RH. Ultrasonography for diagnosing the appendicitis. Br Med J. 1988;297: 309-10. </w:t>
      </w:r>
    </w:p>
    <w:p w:rsidR="0081595D" w:rsidRPr="00105C71" w:rsidRDefault="0081595D" w:rsidP="00105C7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05C71">
        <w:rPr>
          <w:rFonts w:ascii="Times New Roman" w:hAnsi="Times New Roman"/>
          <w:sz w:val="20"/>
          <w:szCs w:val="20"/>
        </w:rPr>
        <w:t xml:space="preserve">Jones DJ. Appendicitis. Br Med J. 1993; 301: 207-10. </w:t>
      </w:r>
    </w:p>
    <w:p w:rsidR="0081595D" w:rsidRPr="00105C71" w:rsidRDefault="0081595D" w:rsidP="00105C7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05C71">
        <w:rPr>
          <w:rFonts w:ascii="Times New Roman" w:hAnsi="Times New Roman"/>
          <w:sz w:val="20"/>
          <w:szCs w:val="20"/>
        </w:rPr>
        <w:t xml:space="preserve">Anonymus. A Sound approach to the diagnosis of acute appendicitis (editorial) lancet. 1987; 1:198-200. </w:t>
      </w:r>
    </w:p>
    <w:p w:rsidR="0081595D" w:rsidRPr="00105C71" w:rsidRDefault="0081595D" w:rsidP="00105C7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05C71">
        <w:rPr>
          <w:rFonts w:ascii="Times New Roman" w:hAnsi="Times New Roman"/>
          <w:sz w:val="20"/>
          <w:szCs w:val="20"/>
        </w:rPr>
        <w:t xml:space="preserve">J Iqbal, M Afzal, F Sami, A G Rehan, C Reactive Protein;A diagnostic tool for acute appendicitis;A. P. M. C;Vol:1 No. 1 2007;p 37-42. </w:t>
      </w:r>
    </w:p>
    <w:p w:rsidR="0081595D" w:rsidRPr="00105C71" w:rsidRDefault="0081595D" w:rsidP="00105C7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05C71">
        <w:rPr>
          <w:rFonts w:ascii="Times New Roman" w:hAnsi="Times New Roman"/>
          <w:sz w:val="20"/>
          <w:szCs w:val="20"/>
        </w:rPr>
        <w:t xml:space="preserve">Khan MN, Davie E, Irshad K, The role of white cell count and c-reactive protein in the diagnosis of acute appendicitis, J Ayub Med Coll Abbottabad. 2004 jul-sep;16(3):17-9. </w:t>
      </w:r>
    </w:p>
    <w:p w:rsidR="0081595D" w:rsidRPr="00105C71" w:rsidRDefault="0081595D" w:rsidP="00105C7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05C71">
        <w:rPr>
          <w:rFonts w:ascii="Times New Roman" w:hAnsi="Times New Roman"/>
          <w:sz w:val="20"/>
          <w:szCs w:val="20"/>
        </w:rPr>
        <w:t xml:space="preserve">Ko et al YS, LH, Chen DF. Laboratory aid and ultrasonography in the diagnosis of appendicitis in children. Zhonghua Min Guo Xiao Er ke Yi Xue Hui Za Zhi 1995;36:415-9. </w:t>
      </w:r>
    </w:p>
    <w:p w:rsidR="003B2C43" w:rsidRDefault="003B2C43" w:rsidP="00105C71">
      <w:pPr>
        <w:spacing w:after="0" w:line="360" w:lineRule="auto"/>
      </w:pPr>
    </w:p>
    <w:sectPr w:rsidR="003B2C43" w:rsidSect="008D75F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3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12" w:rsidRDefault="000C4F12" w:rsidP="00513543">
      <w:pPr>
        <w:spacing w:after="0" w:line="240" w:lineRule="auto"/>
      </w:pPr>
      <w:r>
        <w:separator/>
      </w:r>
    </w:p>
  </w:endnote>
  <w:endnote w:type="continuationSeparator" w:id="0">
    <w:p w:rsidR="000C4F12" w:rsidRDefault="000C4F12" w:rsidP="0051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500610"/>
      <w:docPartObj>
        <w:docPartGallery w:val="Page Numbers (Bottom of Page)"/>
        <w:docPartUnique/>
      </w:docPartObj>
    </w:sdtPr>
    <w:sdtEndPr/>
    <w:sdtContent>
      <w:p w:rsidR="00513543" w:rsidRDefault="00203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F12">
          <w:rPr>
            <w:noProof/>
          </w:rPr>
          <w:t>319</w:t>
        </w:r>
        <w:r>
          <w:rPr>
            <w:noProof/>
          </w:rPr>
          <w:fldChar w:fldCharType="end"/>
        </w:r>
      </w:p>
    </w:sdtContent>
  </w:sdt>
  <w:p w:rsidR="00513543" w:rsidRPr="002A76E2" w:rsidRDefault="00513543" w:rsidP="00513543">
    <w:pPr>
      <w:pStyle w:val="Footer"/>
      <w:jc w:val="center"/>
      <w:rPr>
        <w:rFonts w:ascii="Cambria" w:eastAsia="Times New Roman" w:hAnsi="Cambria" w:cs="Times New Roman"/>
      </w:rPr>
    </w:pPr>
    <w:r w:rsidRPr="002A76E2">
      <w:rPr>
        <w:rFonts w:ascii="Cambria" w:eastAsia="Times New Roman" w:hAnsi="Cambria" w:cs="Times New Roman"/>
      </w:rPr>
      <w:t>www.ijbamr.com   P ISSN: 2250-284X , E ISSN : 2250-2858</w:t>
    </w:r>
  </w:p>
  <w:p w:rsidR="00513543" w:rsidRDefault="00513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12" w:rsidRDefault="000C4F12" w:rsidP="00513543">
      <w:pPr>
        <w:spacing w:after="0" w:line="240" w:lineRule="auto"/>
      </w:pPr>
      <w:r>
        <w:separator/>
      </w:r>
    </w:p>
  </w:footnote>
  <w:footnote w:type="continuationSeparator" w:id="0">
    <w:p w:rsidR="000C4F12" w:rsidRDefault="000C4F12" w:rsidP="0051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FE" w:rsidRPr="008D75FE" w:rsidRDefault="008D75FE" w:rsidP="008D75FE">
    <w:pPr>
      <w:pStyle w:val="Header"/>
      <w:jc w:val="center"/>
      <w:rPr>
        <w:rFonts w:ascii="Times New Roman" w:eastAsia="Cambria" w:hAnsi="Times New Roman" w:cs="Times New Roman"/>
        <w:sz w:val="20"/>
        <w:szCs w:val="20"/>
      </w:rPr>
    </w:pPr>
    <w:r w:rsidRPr="008D75FE">
      <w:rPr>
        <w:rFonts w:ascii="Times New Roman" w:eastAsia="Cambria" w:hAnsi="Times New Roman" w:cs="Times New Roman"/>
        <w:sz w:val="20"/>
        <w:szCs w:val="20"/>
      </w:rPr>
      <w:t xml:space="preserve">Indian Journal of Basic and Applied Medical Research, December 2011 , Volume 01 , Issue 01 , </w:t>
    </w:r>
    <w:r>
      <w:rPr>
        <w:rFonts w:ascii="Times New Roman" w:eastAsia="Cambria" w:hAnsi="Times New Roman" w:cs="Times New Roman"/>
        <w:sz w:val="20"/>
        <w:szCs w:val="20"/>
      </w:rPr>
      <w:t>319 - 32</w:t>
    </w:r>
    <w:r w:rsidR="00B26582">
      <w:rPr>
        <w:rFonts w:ascii="Times New Roman" w:eastAsia="Cambria" w:hAnsi="Times New Roman" w:cs="Times New Roman"/>
        <w:sz w:val="20"/>
        <w:szCs w:val="20"/>
      </w:rPr>
      <w:t>1</w:t>
    </w:r>
  </w:p>
  <w:p w:rsidR="00513543" w:rsidRDefault="00513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7149"/>
    <w:multiLevelType w:val="hybridMultilevel"/>
    <w:tmpl w:val="8210FF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0F7297"/>
    <w:multiLevelType w:val="hybridMultilevel"/>
    <w:tmpl w:val="B0682E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7996FCF"/>
    <w:multiLevelType w:val="hybridMultilevel"/>
    <w:tmpl w:val="477E2BE2"/>
    <w:lvl w:ilvl="0" w:tplc="F88A61F4">
      <w:start w:val="1"/>
      <w:numFmt w:val="decimal"/>
      <w:lvlText w:val="[%1]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C43"/>
    <w:rsid w:val="000C4F12"/>
    <w:rsid w:val="00105C71"/>
    <w:rsid w:val="00203362"/>
    <w:rsid w:val="00216F8B"/>
    <w:rsid w:val="0026329B"/>
    <w:rsid w:val="003B2C43"/>
    <w:rsid w:val="004C0B8B"/>
    <w:rsid w:val="004F204D"/>
    <w:rsid w:val="00513543"/>
    <w:rsid w:val="0081595D"/>
    <w:rsid w:val="008D75FE"/>
    <w:rsid w:val="00B26582"/>
    <w:rsid w:val="00C13C18"/>
    <w:rsid w:val="00C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qFormat/>
    <w:rsid w:val="003B2C43"/>
    <w:pPr>
      <w:spacing w:before="60"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">
    <w:name w:val="Text Char"/>
    <w:link w:val="Text"/>
    <w:locked/>
    <w:rsid w:val="003B2C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Text"/>
    <w:link w:val="TableChar"/>
    <w:qFormat/>
    <w:rsid w:val="003B2C43"/>
    <w:pPr>
      <w:ind w:firstLine="0"/>
      <w:jc w:val="center"/>
    </w:pPr>
    <w:rPr>
      <w:b/>
    </w:rPr>
  </w:style>
  <w:style w:type="character" w:customStyle="1" w:styleId="TableChar">
    <w:name w:val="Table Char"/>
    <w:link w:val="Table"/>
    <w:locked/>
    <w:rsid w:val="003B2C43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1595D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aliases w:val="Char"/>
    <w:basedOn w:val="Normal"/>
    <w:link w:val="HeaderChar"/>
    <w:uiPriority w:val="99"/>
    <w:unhideWhenUsed/>
    <w:qFormat/>
    <w:rsid w:val="0051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qFormat/>
    <w:rsid w:val="00513543"/>
  </w:style>
  <w:style w:type="paragraph" w:styleId="Footer">
    <w:name w:val="footer"/>
    <w:basedOn w:val="Normal"/>
    <w:link w:val="FooterChar"/>
    <w:uiPriority w:val="99"/>
    <w:unhideWhenUsed/>
    <w:rsid w:val="0051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43"/>
  </w:style>
  <w:style w:type="paragraph" w:styleId="BalloonText">
    <w:name w:val="Balloon Text"/>
    <w:basedOn w:val="Normal"/>
    <w:link w:val="BalloonTextChar"/>
    <w:uiPriority w:val="99"/>
    <w:semiHidden/>
    <w:unhideWhenUsed/>
    <w:rsid w:val="002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RDRL</cp:lastModifiedBy>
  <cp:revision>7</cp:revision>
  <cp:lastPrinted>2023-01-19T10:25:00Z</cp:lastPrinted>
  <dcterms:created xsi:type="dcterms:W3CDTF">2020-03-02T09:09:00Z</dcterms:created>
  <dcterms:modified xsi:type="dcterms:W3CDTF">2023-01-19T10:26:00Z</dcterms:modified>
</cp:coreProperties>
</file>