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FFC" w:rsidRPr="003E2FFC" w:rsidRDefault="003E2FFC" w:rsidP="003E2FFC">
      <w:pPr>
        <w:spacing w:after="0" w:line="360" w:lineRule="auto"/>
        <w:rPr>
          <w:rFonts w:asciiTheme="majorHAnsi" w:hAnsiTheme="majorHAnsi" w:cs="Times New Roman"/>
          <w:b/>
          <w:sz w:val="24"/>
          <w:szCs w:val="24"/>
        </w:rPr>
      </w:pPr>
      <w:r w:rsidRPr="003E2FFC">
        <w:rPr>
          <w:rFonts w:asciiTheme="majorHAnsi" w:hAnsiTheme="majorHAnsi" w:cs="Times New Roman"/>
          <w:b/>
          <w:sz w:val="24"/>
          <w:szCs w:val="24"/>
          <w:highlight w:val="lightGray"/>
        </w:rPr>
        <w:t>Original article:</w:t>
      </w:r>
    </w:p>
    <w:p w:rsidR="00973DFB" w:rsidRPr="003E2FFC" w:rsidRDefault="00296AE9" w:rsidP="003E2FFC">
      <w:pPr>
        <w:spacing w:after="0" w:line="360" w:lineRule="auto"/>
        <w:rPr>
          <w:rFonts w:asciiTheme="majorHAnsi" w:hAnsiTheme="majorHAnsi" w:cs="Times New Roman"/>
          <w:b/>
          <w:color w:val="0070C0"/>
          <w:sz w:val="28"/>
          <w:szCs w:val="28"/>
        </w:rPr>
      </w:pPr>
      <w:r w:rsidRPr="003E2FFC">
        <w:rPr>
          <w:rFonts w:asciiTheme="majorHAnsi" w:hAnsiTheme="majorHAnsi" w:cs="Times New Roman"/>
          <w:b/>
          <w:color w:val="0070C0"/>
          <w:sz w:val="28"/>
          <w:szCs w:val="28"/>
        </w:rPr>
        <w:t>Adverse Drug R</w:t>
      </w:r>
      <w:r w:rsidR="006D3E19" w:rsidRPr="003E2FFC">
        <w:rPr>
          <w:rFonts w:asciiTheme="majorHAnsi" w:hAnsiTheme="majorHAnsi" w:cs="Times New Roman"/>
          <w:b/>
          <w:color w:val="0070C0"/>
          <w:sz w:val="28"/>
          <w:szCs w:val="28"/>
        </w:rPr>
        <w:t>eactio</w:t>
      </w:r>
      <w:r w:rsidRPr="003E2FFC">
        <w:rPr>
          <w:rFonts w:asciiTheme="majorHAnsi" w:hAnsiTheme="majorHAnsi" w:cs="Times New Roman"/>
          <w:b/>
          <w:color w:val="0070C0"/>
          <w:sz w:val="28"/>
          <w:szCs w:val="28"/>
        </w:rPr>
        <w:t>ns in patients with first line A</w:t>
      </w:r>
      <w:r w:rsidR="006D3E19" w:rsidRPr="003E2FFC">
        <w:rPr>
          <w:rFonts w:asciiTheme="majorHAnsi" w:hAnsiTheme="majorHAnsi" w:cs="Times New Roman"/>
          <w:b/>
          <w:color w:val="0070C0"/>
          <w:sz w:val="28"/>
          <w:szCs w:val="28"/>
        </w:rPr>
        <w:t>nti-</w:t>
      </w:r>
      <w:r w:rsidRPr="003E2FFC">
        <w:rPr>
          <w:rFonts w:asciiTheme="majorHAnsi" w:hAnsiTheme="majorHAnsi" w:cs="Times New Roman"/>
          <w:b/>
          <w:color w:val="0070C0"/>
          <w:sz w:val="28"/>
          <w:szCs w:val="28"/>
        </w:rPr>
        <w:t>Tuberculosis T</w:t>
      </w:r>
      <w:r w:rsidR="006D3E19" w:rsidRPr="003E2FFC">
        <w:rPr>
          <w:rFonts w:asciiTheme="majorHAnsi" w:hAnsiTheme="majorHAnsi" w:cs="Times New Roman"/>
          <w:b/>
          <w:color w:val="0070C0"/>
          <w:sz w:val="28"/>
          <w:szCs w:val="28"/>
        </w:rPr>
        <w:t>reatment</w:t>
      </w:r>
    </w:p>
    <w:p w:rsidR="00077B40" w:rsidRDefault="00077B40" w:rsidP="003E2FFC">
      <w:pPr>
        <w:spacing w:after="0" w:line="360" w:lineRule="auto"/>
        <w:rPr>
          <w:rFonts w:asciiTheme="majorHAnsi" w:hAnsiTheme="majorHAnsi" w:cs="Times New Roman"/>
          <w:b/>
          <w:sz w:val="20"/>
        </w:rPr>
      </w:pPr>
      <w:proofErr w:type="spellStart"/>
      <w:r w:rsidRPr="00077B40">
        <w:rPr>
          <w:rFonts w:asciiTheme="majorHAnsi" w:hAnsiTheme="majorHAnsi" w:cs="Times New Roman"/>
          <w:b/>
          <w:sz w:val="20"/>
        </w:rPr>
        <w:t>Dr</w:t>
      </w:r>
      <w:proofErr w:type="spellEnd"/>
      <w:r w:rsidRPr="00077B40">
        <w:rPr>
          <w:rFonts w:asciiTheme="majorHAnsi" w:hAnsiTheme="majorHAnsi" w:cs="Times New Roman"/>
          <w:b/>
          <w:sz w:val="20"/>
        </w:rPr>
        <w:t xml:space="preserve"> </w:t>
      </w:r>
      <w:proofErr w:type="spellStart"/>
      <w:r w:rsidRPr="00077B40">
        <w:rPr>
          <w:rFonts w:asciiTheme="majorHAnsi" w:hAnsiTheme="majorHAnsi" w:cs="Times New Roman"/>
          <w:b/>
          <w:sz w:val="20"/>
        </w:rPr>
        <w:t>Deepali</w:t>
      </w:r>
      <w:proofErr w:type="spellEnd"/>
      <w:r w:rsidRPr="00077B40">
        <w:rPr>
          <w:rFonts w:asciiTheme="majorHAnsi" w:hAnsiTheme="majorHAnsi" w:cs="Times New Roman"/>
          <w:b/>
          <w:sz w:val="20"/>
        </w:rPr>
        <w:t xml:space="preserve"> Rahul </w:t>
      </w:r>
      <w:proofErr w:type="spellStart"/>
      <w:r w:rsidRPr="00077B40">
        <w:rPr>
          <w:rFonts w:asciiTheme="majorHAnsi" w:hAnsiTheme="majorHAnsi" w:cs="Times New Roman"/>
          <w:b/>
          <w:sz w:val="20"/>
        </w:rPr>
        <w:t>Gaikwad</w:t>
      </w:r>
      <w:proofErr w:type="spellEnd"/>
      <w:r w:rsidRPr="00077B40">
        <w:rPr>
          <w:rFonts w:asciiTheme="majorHAnsi" w:hAnsiTheme="majorHAnsi" w:cs="Times New Roman"/>
          <w:b/>
          <w:sz w:val="20"/>
        </w:rPr>
        <w:t xml:space="preserve"> </w:t>
      </w:r>
    </w:p>
    <w:p w:rsidR="003E2FFC" w:rsidRPr="00077B40" w:rsidRDefault="003E2FFC" w:rsidP="003E2FFC">
      <w:pPr>
        <w:spacing w:after="0" w:line="360" w:lineRule="auto"/>
        <w:rPr>
          <w:rFonts w:asciiTheme="majorHAnsi" w:hAnsiTheme="majorHAnsi" w:cs="Times New Roman"/>
          <w:b/>
          <w:sz w:val="20"/>
        </w:rPr>
      </w:pPr>
    </w:p>
    <w:p w:rsidR="00077B40" w:rsidRPr="00077B40" w:rsidRDefault="00077B40" w:rsidP="003E2FFC">
      <w:pPr>
        <w:spacing w:after="0" w:line="360" w:lineRule="auto"/>
        <w:rPr>
          <w:rFonts w:asciiTheme="majorHAnsi" w:hAnsiTheme="majorHAnsi" w:cs="Times New Roman"/>
          <w:sz w:val="18"/>
          <w:szCs w:val="18"/>
        </w:rPr>
      </w:pPr>
      <w:r w:rsidRPr="00077B40">
        <w:rPr>
          <w:rFonts w:asciiTheme="majorHAnsi" w:hAnsiTheme="majorHAnsi" w:cs="Times New Roman"/>
          <w:sz w:val="18"/>
          <w:szCs w:val="18"/>
        </w:rPr>
        <w:t xml:space="preserve">DNB (Respiratory Diseases), </w:t>
      </w:r>
      <w:r w:rsidR="003E2FFC" w:rsidRPr="00077B40">
        <w:rPr>
          <w:rFonts w:asciiTheme="majorHAnsi" w:hAnsiTheme="majorHAnsi" w:cs="Times New Roman"/>
          <w:sz w:val="18"/>
          <w:szCs w:val="18"/>
        </w:rPr>
        <w:t>DTCD, Professor</w:t>
      </w:r>
      <w:r w:rsidRPr="00077B40">
        <w:rPr>
          <w:rFonts w:asciiTheme="majorHAnsi" w:hAnsiTheme="majorHAnsi" w:cs="Times New Roman"/>
          <w:sz w:val="18"/>
          <w:szCs w:val="18"/>
        </w:rPr>
        <w:t xml:space="preserve">, Dept. of Pulmonology, </w:t>
      </w:r>
      <w:proofErr w:type="spellStart"/>
      <w:r w:rsidRPr="00077B40">
        <w:rPr>
          <w:rFonts w:asciiTheme="majorHAnsi" w:hAnsiTheme="majorHAnsi" w:cs="Times New Roman"/>
          <w:sz w:val="18"/>
          <w:szCs w:val="18"/>
        </w:rPr>
        <w:t>Pimpri</w:t>
      </w:r>
      <w:proofErr w:type="spellEnd"/>
      <w:r w:rsidRPr="00077B40">
        <w:rPr>
          <w:rFonts w:asciiTheme="majorHAnsi" w:hAnsiTheme="majorHAnsi" w:cs="Times New Roman"/>
          <w:sz w:val="18"/>
          <w:szCs w:val="18"/>
        </w:rPr>
        <w:t xml:space="preserve"> </w:t>
      </w:r>
      <w:proofErr w:type="spellStart"/>
      <w:r w:rsidRPr="00077B40">
        <w:rPr>
          <w:rFonts w:asciiTheme="majorHAnsi" w:hAnsiTheme="majorHAnsi" w:cs="Times New Roman"/>
          <w:sz w:val="18"/>
          <w:szCs w:val="18"/>
        </w:rPr>
        <w:t>Chinchwad</w:t>
      </w:r>
      <w:proofErr w:type="spellEnd"/>
      <w:r w:rsidRPr="00077B40">
        <w:rPr>
          <w:rFonts w:asciiTheme="majorHAnsi" w:hAnsiTheme="majorHAnsi" w:cs="Times New Roman"/>
          <w:sz w:val="18"/>
          <w:szCs w:val="18"/>
        </w:rPr>
        <w:t xml:space="preserve"> Municipal Corporation, Postgraduate Institute </w:t>
      </w:r>
      <w:proofErr w:type="spellStart"/>
      <w:r w:rsidRPr="00077B40">
        <w:rPr>
          <w:rFonts w:asciiTheme="majorHAnsi" w:hAnsiTheme="majorHAnsi" w:cs="Times New Roman"/>
          <w:sz w:val="18"/>
          <w:szCs w:val="18"/>
        </w:rPr>
        <w:t>Yashwantrao</w:t>
      </w:r>
      <w:proofErr w:type="spellEnd"/>
      <w:r w:rsidRPr="00077B40">
        <w:rPr>
          <w:rFonts w:asciiTheme="majorHAnsi" w:hAnsiTheme="majorHAnsi" w:cs="Times New Roman"/>
          <w:sz w:val="18"/>
          <w:szCs w:val="18"/>
        </w:rPr>
        <w:t xml:space="preserve"> </w:t>
      </w:r>
      <w:proofErr w:type="spellStart"/>
      <w:r w:rsidRPr="00077B40">
        <w:rPr>
          <w:rFonts w:asciiTheme="majorHAnsi" w:hAnsiTheme="majorHAnsi" w:cs="Times New Roman"/>
          <w:sz w:val="18"/>
          <w:szCs w:val="18"/>
        </w:rPr>
        <w:t>Chavan</w:t>
      </w:r>
      <w:proofErr w:type="spellEnd"/>
      <w:r w:rsidRPr="00077B40">
        <w:rPr>
          <w:rFonts w:asciiTheme="majorHAnsi" w:hAnsiTheme="majorHAnsi" w:cs="Times New Roman"/>
          <w:sz w:val="18"/>
          <w:szCs w:val="18"/>
        </w:rPr>
        <w:t xml:space="preserve"> Memorial Hospital, </w:t>
      </w:r>
      <w:proofErr w:type="spellStart"/>
      <w:r w:rsidRPr="00077B40">
        <w:rPr>
          <w:rFonts w:asciiTheme="majorHAnsi" w:hAnsiTheme="majorHAnsi" w:cs="Times New Roman"/>
          <w:sz w:val="18"/>
          <w:szCs w:val="18"/>
        </w:rPr>
        <w:t>Pimpri</w:t>
      </w:r>
      <w:proofErr w:type="spellEnd"/>
      <w:r w:rsidRPr="00077B40">
        <w:rPr>
          <w:rFonts w:asciiTheme="majorHAnsi" w:hAnsiTheme="majorHAnsi" w:cs="Times New Roman"/>
          <w:sz w:val="18"/>
          <w:szCs w:val="18"/>
        </w:rPr>
        <w:t xml:space="preserve">, Pune. Pin- </w:t>
      </w:r>
      <w:proofErr w:type="gramStart"/>
      <w:r w:rsidRPr="00077B40">
        <w:rPr>
          <w:rFonts w:asciiTheme="majorHAnsi" w:hAnsiTheme="majorHAnsi" w:cs="Times New Roman"/>
          <w:sz w:val="18"/>
          <w:szCs w:val="18"/>
        </w:rPr>
        <w:t>411018 ,</w:t>
      </w:r>
      <w:proofErr w:type="gramEnd"/>
      <w:r w:rsidRPr="00077B40">
        <w:rPr>
          <w:rFonts w:asciiTheme="majorHAnsi" w:hAnsiTheme="majorHAnsi" w:cs="Times New Roman"/>
          <w:sz w:val="18"/>
          <w:szCs w:val="18"/>
        </w:rPr>
        <w:t xml:space="preserve"> Maharashtra State, India.</w:t>
      </w:r>
    </w:p>
    <w:p w:rsidR="00077B40" w:rsidRPr="00077B40" w:rsidRDefault="00077B40" w:rsidP="003E2FFC">
      <w:pPr>
        <w:spacing w:after="0" w:line="360" w:lineRule="auto"/>
        <w:rPr>
          <w:rFonts w:asciiTheme="majorHAnsi" w:hAnsiTheme="majorHAnsi" w:cs="Times New Roman"/>
          <w:sz w:val="18"/>
          <w:szCs w:val="18"/>
        </w:rPr>
      </w:pPr>
      <w:r w:rsidRPr="00077B40">
        <w:rPr>
          <w:rFonts w:asciiTheme="majorHAnsi" w:hAnsiTheme="majorHAnsi" w:cs="Times New Roman"/>
          <w:sz w:val="18"/>
          <w:szCs w:val="18"/>
        </w:rPr>
        <w:t xml:space="preserve">Corresponding Author- </w:t>
      </w:r>
      <w:proofErr w:type="spellStart"/>
      <w:r w:rsidRPr="00077B40">
        <w:rPr>
          <w:rFonts w:asciiTheme="majorHAnsi" w:hAnsiTheme="majorHAnsi" w:cs="Times New Roman"/>
          <w:sz w:val="18"/>
          <w:szCs w:val="18"/>
        </w:rPr>
        <w:t>Dr</w:t>
      </w:r>
      <w:proofErr w:type="spellEnd"/>
      <w:r w:rsidRPr="00077B40">
        <w:rPr>
          <w:rFonts w:asciiTheme="majorHAnsi" w:hAnsiTheme="majorHAnsi" w:cs="Times New Roman"/>
          <w:sz w:val="18"/>
          <w:szCs w:val="18"/>
        </w:rPr>
        <w:t xml:space="preserve"> </w:t>
      </w:r>
      <w:proofErr w:type="spellStart"/>
      <w:r w:rsidRPr="00077B40">
        <w:rPr>
          <w:rFonts w:asciiTheme="majorHAnsi" w:hAnsiTheme="majorHAnsi" w:cs="Times New Roman"/>
          <w:sz w:val="18"/>
          <w:szCs w:val="18"/>
        </w:rPr>
        <w:t>Deepali</w:t>
      </w:r>
      <w:proofErr w:type="spellEnd"/>
      <w:r w:rsidRPr="00077B40">
        <w:rPr>
          <w:rFonts w:asciiTheme="majorHAnsi" w:hAnsiTheme="majorHAnsi" w:cs="Times New Roman"/>
          <w:sz w:val="18"/>
          <w:szCs w:val="18"/>
        </w:rPr>
        <w:t xml:space="preserve"> R </w:t>
      </w:r>
      <w:proofErr w:type="spellStart"/>
      <w:r w:rsidRPr="00077B40">
        <w:rPr>
          <w:rFonts w:asciiTheme="majorHAnsi" w:hAnsiTheme="majorHAnsi" w:cs="Times New Roman"/>
          <w:sz w:val="18"/>
          <w:szCs w:val="18"/>
        </w:rPr>
        <w:t>Gaikwad</w:t>
      </w:r>
      <w:proofErr w:type="spellEnd"/>
    </w:p>
    <w:p w:rsidR="00077B40" w:rsidRPr="003E2FFC" w:rsidRDefault="00077B40" w:rsidP="003E2FFC">
      <w:pPr>
        <w:spacing w:after="0" w:line="360" w:lineRule="auto"/>
        <w:jc w:val="both"/>
        <w:rPr>
          <w:rFonts w:ascii="Times New Roman" w:hAnsi="Times New Roman" w:cs="Times New Roman"/>
          <w:b/>
          <w:sz w:val="18"/>
          <w:szCs w:val="18"/>
        </w:rPr>
      </w:pPr>
    </w:p>
    <w:p w:rsidR="00077B40" w:rsidRPr="003E2FFC" w:rsidRDefault="00077B40" w:rsidP="003E2FFC">
      <w:pPr>
        <w:spacing w:after="0" w:line="360" w:lineRule="auto"/>
        <w:jc w:val="both"/>
        <w:rPr>
          <w:rFonts w:ascii="Times New Roman" w:hAnsi="Times New Roman" w:cs="Times New Roman"/>
          <w:b/>
          <w:sz w:val="20"/>
        </w:rPr>
      </w:pPr>
    </w:p>
    <w:p w:rsidR="00476D8E" w:rsidRPr="003E2FFC" w:rsidRDefault="00AB319E" w:rsidP="003E2FFC">
      <w:pPr>
        <w:spacing w:after="0" w:line="360" w:lineRule="auto"/>
        <w:jc w:val="both"/>
        <w:rPr>
          <w:rFonts w:ascii="Times New Roman" w:hAnsi="Times New Roman" w:cs="Times New Roman"/>
          <w:b/>
          <w:sz w:val="20"/>
        </w:rPr>
      </w:pPr>
      <w:r w:rsidRPr="003E2FFC">
        <w:rPr>
          <w:rFonts w:ascii="Times New Roman" w:hAnsi="Times New Roman" w:cs="Times New Roman"/>
          <w:b/>
          <w:sz w:val="20"/>
        </w:rPr>
        <w:t>ABSTRACT</w:t>
      </w:r>
    </w:p>
    <w:p w:rsidR="006B4E3B" w:rsidRPr="003E2FFC" w:rsidRDefault="006B4E3B" w:rsidP="003E2FFC">
      <w:pPr>
        <w:spacing w:after="0" w:line="360" w:lineRule="auto"/>
        <w:jc w:val="both"/>
        <w:rPr>
          <w:rFonts w:ascii="Times New Roman" w:hAnsi="Times New Roman" w:cs="Times New Roman"/>
          <w:sz w:val="18"/>
          <w:szCs w:val="18"/>
        </w:rPr>
      </w:pPr>
      <w:r w:rsidRPr="003E2FFC">
        <w:rPr>
          <w:rFonts w:ascii="Times New Roman" w:hAnsi="Times New Roman" w:cs="Times New Roman"/>
          <w:i/>
          <w:sz w:val="18"/>
          <w:szCs w:val="18"/>
        </w:rPr>
        <w:t>Objective</w:t>
      </w:r>
      <w:r w:rsidRPr="003E2FFC">
        <w:rPr>
          <w:rFonts w:ascii="Times New Roman" w:hAnsi="Times New Roman" w:cs="Times New Roman"/>
          <w:sz w:val="18"/>
          <w:szCs w:val="18"/>
        </w:rPr>
        <w:t xml:space="preserve">: To study adverse drug reactions in </w:t>
      </w:r>
      <w:r w:rsidR="00333174" w:rsidRPr="003E2FFC">
        <w:rPr>
          <w:rFonts w:ascii="Times New Roman" w:hAnsi="Times New Roman" w:cs="Times New Roman"/>
          <w:sz w:val="18"/>
          <w:szCs w:val="18"/>
        </w:rPr>
        <w:t>patients of tuberculosis started on first line anti-tuberculosis drugs at Dehuroad Cantonment Hospital, Pune.</w:t>
      </w:r>
    </w:p>
    <w:p w:rsidR="00BB1CD0" w:rsidRPr="003E2FFC" w:rsidRDefault="00333174" w:rsidP="003E2FFC">
      <w:pPr>
        <w:spacing w:after="0" w:line="360" w:lineRule="auto"/>
        <w:jc w:val="both"/>
        <w:rPr>
          <w:rFonts w:ascii="Times New Roman" w:hAnsi="Times New Roman" w:cs="Times New Roman"/>
          <w:sz w:val="18"/>
          <w:szCs w:val="18"/>
        </w:rPr>
      </w:pPr>
      <w:r w:rsidRPr="003E2FFC">
        <w:rPr>
          <w:rFonts w:ascii="Times New Roman" w:hAnsi="Times New Roman" w:cs="Times New Roman"/>
          <w:i/>
          <w:sz w:val="18"/>
          <w:szCs w:val="18"/>
        </w:rPr>
        <w:t>Results</w:t>
      </w:r>
      <w:r w:rsidRPr="003E2FFC">
        <w:rPr>
          <w:rFonts w:ascii="Times New Roman" w:hAnsi="Times New Roman" w:cs="Times New Roman"/>
          <w:sz w:val="18"/>
          <w:szCs w:val="18"/>
        </w:rPr>
        <w:t>: Of 89 cases receiving directly observed anti-</w:t>
      </w:r>
      <w:r w:rsidR="00960B40" w:rsidRPr="003E2FFC">
        <w:rPr>
          <w:rFonts w:ascii="Times New Roman" w:hAnsi="Times New Roman" w:cs="Times New Roman"/>
          <w:sz w:val="18"/>
          <w:szCs w:val="18"/>
        </w:rPr>
        <w:t>tuberculosis</w:t>
      </w:r>
      <w:r w:rsidRPr="003E2FFC">
        <w:rPr>
          <w:rFonts w:ascii="Times New Roman" w:hAnsi="Times New Roman" w:cs="Times New Roman"/>
          <w:sz w:val="18"/>
          <w:szCs w:val="18"/>
        </w:rPr>
        <w:t xml:space="preserve"> treatment with mean age</w:t>
      </w:r>
      <w:r w:rsidR="00CC11FB" w:rsidRPr="003E2FFC">
        <w:rPr>
          <w:rFonts w:ascii="Times New Roman" w:hAnsi="Times New Roman" w:cs="Times New Roman"/>
          <w:sz w:val="18"/>
          <w:szCs w:val="18"/>
        </w:rPr>
        <w:t xml:space="preserve"> 34.3 ± 13.8 years</w:t>
      </w:r>
      <w:r w:rsidR="00B06396" w:rsidRPr="003E2FFC">
        <w:rPr>
          <w:rFonts w:ascii="Times New Roman" w:hAnsi="Times New Roman" w:cs="Times New Roman"/>
          <w:sz w:val="18"/>
          <w:szCs w:val="18"/>
        </w:rPr>
        <w:t xml:space="preserve">. Of 89 cases studied, 60 (67.4%) did not have any adverse effects, </w:t>
      </w:r>
      <w:r w:rsidR="000678F4" w:rsidRPr="003E2FFC">
        <w:rPr>
          <w:rFonts w:ascii="Times New Roman" w:hAnsi="Times New Roman" w:cs="Times New Roman"/>
          <w:sz w:val="18"/>
          <w:szCs w:val="18"/>
        </w:rPr>
        <w:t xml:space="preserve">while 29 (32.6%)  presented with adverse drug reactions; </w:t>
      </w:r>
      <w:r w:rsidR="00B06396" w:rsidRPr="003E2FFC">
        <w:rPr>
          <w:rFonts w:ascii="Times New Roman" w:hAnsi="Times New Roman" w:cs="Times New Roman"/>
          <w:sz w:val="18"/>
          <w:szCs w:val="18"/>
        </w:rPr>
        <w:t xml:space="preserve">10 (11.2%) had hyperuricemia, 7 (7.9%) had gastritis, 3 (3.4%) had Gastritis with hyperuricemia, 3 (3.4%) had Drug induced hepatitis, 3 (3.4%) had skin rash, 1 (1.1%) had neuritis, 1 (1.1%) had ototoxicity and 1 (1.1%) had </w:t>
      </w:r>
      <w:r w:rsidR="006D3E19" w:rsidRPr="003E2FFC">
        <w:rPr>
          <w:rFonts w:ascii="Times New Roman" w:hAnsi="Times New Roman" w:cs="Times New Roman"/>
          <w:sz w:val="18"/>
          <w:szCs w:val="18"/>
        </w:rPr>
        <w:t>t</w:t>
      </w:r>
      <w:r w:rsidR="00B06396" w:rsidRPr="003E2FFC">
        <w:rPr>
          <w:rFonts w:ascii="Times New Roman" w:hAnsi="Times New Roman" w:cs="Times New Roman"/>
          <w:sz w:val="18"/>
          <w:szCs w:val="18"/>
        </w:rPr>
        <w:t>hrombocytopenia in the study group.</w:t>
      </w:r>
      <w:r w:rsidR="00BB1CD0" w:rsidRPr="003E2FFC">
        <w:rPr>
          <w:rFonts w:ascii="Times New Roman" w:hAnsi="Times New Roman" w:cs="Times New Roman"/>
          <w:sz w:val="18"/>
          <w:szCs w:val="18"/>
        </w:rPr>
        <w:t xml:space="preserve"> More number of females (45.7%, n=89, females=46) presented with adverse drug reactions compared to male (18.6%, n</w:t>
      </w:r>
      <w:r w:rsidR="00BE603E" w:rsidRPr="003E2FFC">
        <w:rPr>
          <w:rFonts w:ascii="Times New Roman" w:hAnsi="Times New Roman" w:cs="Times New Roman"/>
          <w:sz w:val="18"/>
          <w:szCs w:val="18"/>
        </w:rPr>
        <w:t>=</w:t>
      </w:r>
      <w:r w:rsidR="00BB1CD0" w:rsidRPr="003E2FFC">
        <w:rPr>
          <w:rFonts w:ascii="Times New Roman" w:hAnsi="Times New Roman" w:cs="Times New Roman"/>
          <w:sz w:val="18"/>
          <w:szCs w:val="18"/>
        </w:rPr>
        <w:t>89, males=43).</w:t>
      </w:r>
    </w:p>
    <w:p w:rsidR="00B06396" w:rsidRPr="003E2FFC" w:rsidRDefault="00267A45" w:rsidP="003E2FFC">
      <w:pPr>
        <w:spacing w:after="0" w:line="360" w:lineRule="auto"/>
        <w:jc w:val="both"/>
        <w:rPr>
          <w:rFonts w:ascii="Times New Roman" w:hAnsi="Times New Roman" w:cs="Times New Roman"/>
          <w:sz w:val="18"/>
          <w:szCs w:val="18"/>
        </w:rPr>
      </w:pPr>
      <w:r w:rsidRPr="003E2FFC">
        <w:rPr>
          <w:rFonts w:ascii="Times New Roman" w:hAnsi="Times New Roman" w:cs="Times New Roman"/>
          <w:i/>
          <w:sz w:val="18"/>
          <w:szCs w:val="18"/>
        </w:rPr>
        <w:t>Conclusion</w:t>
      </w:r>
      <w:r w:rsidR="001832B9" w:rsidRPr="003E2FFC">
        <w:rPr>
          <w:rFonts w:ascii="Times New Roman" w:hAnsi="Times New Roman" w:cs="Times New Roman"/>
          <w:sz w:val="18"/>
          <w:szCs w:val="18"/>
        </w:rPr>
        <w:t xml:space="preserve">: It is very important to closely </w:t>
      </w:r>
      <w:r w:rsidR="00AB319E" w:rsidRPr="003E2FFC">
        <w:rPr>
          <w:rFonts w:ascii="Times New Roman" w:hAnsi="Times New Roman" w:cs="Times New Roman"/>
          <w:sz w:val="18"/>
          <w:szCs w:val="18"/>
        </w:rPr>
        <w:t>observe all</w:t>
      </w:r>
      <w:r w:rsidR="001832B9" w:rsidRPr="003E2FFC">
        <w:rPr>
          <w:rFonts w:ascii="Times New Roman" w:hAnsi="Times New Roman" w:cs="Times New Roman"/>
          <w:sz w:val="18"/>
          <w:szCs w:val="18"/>
        </w:rPr>
        <w:t xml:space="preserve"> patients started on anti-tuberculosis treatment for adverse drug reactions and interfere with these to avoid non-adherence to treatment.</w:t>
      </w:r>
    </w:p>
    <w:p w:rsidR="001C1FDB" w:rsidRPr="003E2FFC" w:rsidRDefault="001C1FDB" w:rsidP="003E2FFC">
      <w:pPr>
        <w:spacing w:after="0" w:line="360" w:lineRule="auto"/>
        <w:jc w:val="both"/>
        <w:rPr>
          <w:rFonts w:ascii="Times New Roman" w:hAnsi="Times New Roman" w:cs="Times New Roman"/>
          <w:sz w:val="18"/>
          <w:szCs w:val="18"/>
        </w:rPr>
      </w:pPr>
      <w:r w:rsidRPr="003E2FFC">
        <w:rPr>
          <w:rFonts w:ascii="Times New Roman" w:hAnsi="Times New Roman" w:cs="Times New Roman"/>
          <w:sz w:val="18"/>
          <w:szCs w:val="18"/>
        </w:rPr>
        <w:t xml:space="preserve">Key words: Tuberculosis, Primary Anti-TB drugs, </w:t>
      </w:r>
      <w:proofErr w:type="gramStart"/>
      <w:r w:rsidRPr="003E2FFC">
        <w:rPr>
          <w:rFonts w:ascii="Times New Roman" w:hAnsi="Times New Roman" w:cs="Times New Roman"/>
          <w:sz w:val="18"/>
          <w:szCs w:val="18"/>
        </w:rPr>
        <w:t>Adverse</w:t>
      </w:r>
      <w:proofErr w:type="gramEnd"/>
      <w:r w:rsidRPr="003E2FFC">
        <w:rPr>
          <w:rFonts w:ascii="Times New Roman" w:hAnsi="Times New Roman" w:cs="Times New Roman"/>
          <w:sz w:val="18"/>
          <w:szCs w:val="18"/>
        </w:rPr>
        <w:t xml:space="preserve"> drug reactions</w:t>
      </w:r>
    </w:p>
    <w:p w:rsidR="00B06396" w:rsidRPr="003E2FFC" w:rsidRDefault="00B06396" w:rsidP="003E2FFC">
      <w:pPr>
        <w:spacing w:after="0" w:line="360" w:lineRule="auto"/>
        <w:jc w:val="both"/>
        <w:rPr>
          <w:rFonts w:ascii="Times New Roman" w:hAnsi="Times New Roman" w:cs="Times New Roman"/>
          <w:sz w:val="20"/>
        </w:rPr>
      </w:pPr>
    </w:p>
    <w:p w:rsidR="003E2FFC" w:rsidRDefault="00476D8E" w:rsidP="003E2FFC">
      <w:pPr>
        <w:pStyle w:val="Default"/>
        <w:spacing w:line="360" w:lineRule="auto"/>
        <w:jc w:val="both"/>
        <w:rPr>
          <w:rFonts w:ascii="Times New Roman" w:hAnsi="Times New Roman" w:cs="Times New Roman"/>
          <w:b/>
          <w:sz w:val="20"/>
          <w:szCs w:val="20"/>
        </w:rPr>
      </w:pPr>
      <w:r w:rsidRPr="003E2FFC">
        <w:rPr>
          <w:rFonts w:ascii="Times New Roman" w:hAnsi="Times New Roman" w:cs="Times New Roman"/>
          <w:b/>
          <w:sz w:val="20"/>
          <w:szCs w:val="20"/>
        </w:rPr>
        <w:t>INTRODUCTION</w:t>
      </w:r>
      <w:r w:rsidR="00974BDD" w:rsidRPr="003E2FFC">
        <w:rPr>
          <w:rFonts w:ascii="Times New Roman" w:hAnsi="Times New Roman" w:cs="Times New Roman"/>
          <w:b/>
          <w:sz w:val="20"/>
          <w:szCs w:val="20"/>
        </w:rPr>
        <w:t xml:space="preserve">:  </w:t>
      </w:r>
    </w:p>
    <w:p w:rsidR="00E5442A" w:rsidRPr="003E2FFC" w:rsidRDefault="00974BDD" w:rsidP="003E2FFC">
      <w:pPr>
        <w:pStyle w:val="Default"/>
        <w:spacing w:line="360" w:lineRule="auto"/>
        <w:jc w:val="both"/>
        <w:rPr>
          <w:rFonts w:ascii="Times New Roman" w:hAnsi="Times New Roman" w:cs="Times New Roman"/>
          <w:b/>
          <w:sz w:val="20"/>
          <w:szCs w:val="20"/>
        </w:rPr>
      </w:pPr>
      <w:r w:rsidRPr="003E2FFC">
        <w:rPr>
          <w:rFonts w:ascii="Times New Roman" w:hAnsi="Times New Roman" w:cs="Times New Roman"/>
          <w:sz w:val="20"/>
          <w:szCs w:val="20"/>
        </w:rPr>
        <w:t xml:space="preserve">Tuberculosis continues to be a major cause of morbidity and mortality </w:t>
      </w:r>
      <w:r w:rsidR="007E709B" w:rsidRPr="003E2FFC">
        <w:rPr>
          <w:rFonts w:ascii="Times New Roman" w:hAnsi="Times New Roman" w:cs="Times New Roman"/>
          <w:sz w:val="20"/>
          <w:szCs w:val="20"/>
        </w:rPr>
        <w:t>worldwide. It</w:t>
      </w:r>
      <w:r w:rsidR="00035838" w:rsidRPr="003E2FFC">
        <w:rPr>
          <w:rFonts w:ascii="Times New Roman" w:hAnsi="Times New Roman" w:cs="Times New Roman"/>
          <w:sz w:val="20"/>
          <w:szCs w:val="20"/>
        </w:rPr>
        <w:t xml:space="preserve"> is a </w:t>
      </w:r>
      <w:r w:rsidR="007E709B" w:rsidRPr="003E2FFC">
        <w:rPr>
          <w:rFonts w:ascii="Times New Roman" w:hAnsi="Times New Roman" w:cs="Times New Roman"/>
          <w:sz w:val="20"/>
          <w:szCs w:val="20"/>
        </w:rPr>
        <w:t>mycobacterium</w:t>
      </w:r>
      <w:r w:rsidR="00035838" w:rsidRPr="003E2FFC">
        <w:rPr>
          <w:rFonts w:ascii="Times New Roman" w:hAnsi="Times New Roman" w:cs="Times New Roman"/>
          <w:sz w:val="20"/>
          <w:szCs w:val="20"/>
        </w:rPr>
        <w:t xml:space="preserve"> disease, treatable with </w:t>
      </w:r>
      <w:r w:rsidR="0060489F" w:rsidRPr="003E2FFC">
        <w:rPr>
          <w:rFonts w:ascii="Times New Roman" w:hAnsi="Times New Roman" w:cs="Times New Roman"/>
          <w:sz w:val="20"/>
          <w:szCs w:val="20"/>
        </w:rPr>
        <w:t>anti-tubercular</w:t>
      </w:r>
      <w:r w:rsidR="00035838" w:rsidRPr="003E2FFC">
        <w:rPr>
          <w:rFonts w:ascii="Times New Roman" w:hAnsi="Times New Roman" w:cs="Times New Roman"/>
          <w:sz w:val="20"/>
          <w:szCs w:val="20"/>
        </w:rPr>
        <w:t xml:space="preserve"> therapy (ATT), commonly used drugs are, </w:t>
      </w:r>
      <w:r w:rsidR="00F5048F" w:rsidRPr="003E2FFC">
        <w:rPr>
          <w:rFonts w:ascii="Times New Roman" w:hAnsi="Times New Roman" w:cs="Times New Roman"/>
          <w:sz w:val="20"/>
          <w:szCs w:val="20"/>
        </w:rPr>
        <w:t>Isoniazid</w:t>
      </w:r>
      <w:r w:rsidR="00035838" w:rsidRPr="003E2FFC">
        <w:rPr>
          <w:rFonts w:ascii="Times New Roman" w:hAnsi="Times New Roman" w:cs="Times New Roman"/>
          <w:sz w:val="20"/>
          <w:szCs w:val="20"/>
        </w:rPr>
        <w:t>, Rifampicin, Pyrazinamide and Ethambutol as first line drugs</w:t>
      </w:r>
      <w:r w:rsidR="00E5442A" w:rsidRPr="003E2FFC">
        <w:rPr>
          <w:rFonts w:ascii="Times New Roman" w:hAnsi="Times New Roman" w:cs="Times New Roman"/>
          <w:sz w:val="20"/>
          <w:szCs w:val="20"/>
          <w:vertAlign w:val="superscript"/>
        </w:rPr>
        <w:t>1</w:t>
      </w:r>
      <w:r w:rsidR="00E5442A" w:rsidRPr="003E2FFC">
        <w:rPr>
          <w:rStyle w:val="A3"/>
          <w:rFonts w:ascii="Times New Roman" w:hAnsi="Times New Roman" w:cs="Times New Roman"/>
          <w:sz w:val="20"/>
          <w:szCs w:val="20"/>
        </w:rPr>
        <w:t>.</w:t>
      </w:r>
      <w:r w:rsidR="003C31D9" w:rsidRPr="003E2FFC">
        <w:rPr>
          <w:rStyle w:val="A3"/>
          <w:rFonts w:ascii="Times New Roman" w:hAnsi="Times New Roman" w:cs="Times New Roman"/>
          <w:sz w:val="20"/>
          <w:szCs w:val="20"/>
        </w:rPr>
        <w:t xml:space="preserve">Injectable Streptomycin is used for primary drug sensitive </w:t>
      </w:r>
      <w:r w:rsidR="00EA1E84" w:rsidRPr="003E2FFC">
        <w:rPr>
          <w:rStyle w:val="A3"/>
          <w:rFonts w:ascii="Times New Roman" w:hAnsi="Times New Roman" w:cs="Times New Roman"/>
          <w:sz w:val="20"/>
          <w:szCs w:val="20"/>
        </w:rPr>
        <w:t>relapse, failure</w:t>
      </w:r>
      <w:r w:rsidR="00F15F48" w:rsidRPr="003E2FFC">
        <w:rPr>
          <w:rStyle w:val="A3"/>
          <w:rFonts w:ascii="Times New Roman" w:hAnsi="Times New Roman" w:cs="Times New Roman"/>
          <w:sz w:val="20"/>
          <w:szCs w:val="20"/>
        </w:rPr>
        <w:t xml:space="preserve"> and </w:t>
      </w:r>
      <w:r w:rsidR="003C31D9" w:rsidRPr="003E2FFC">
        <w:rPr>
          <w:rStyle w:val="A3"/>
          <w:rFonts w:ascii="Times New Roman" w:hAnsi="Times New Roman" w:cs="Times New Roman"/>
          <w:sz w:val="20"/>
          <w:szCs w:val="20"/>
        </w:rPr>
        <w:t xml:space="preserve">default cases of TB. </w:t>
      </w:r>
      <w:r w:rsidR="001E673E" w:rsidRPr="003E2FFC">
        <w:rPr>
          <w:rStyle w:val="A3"/>
          <w:rFonts w:ascii="Times New Roman" w:hAnsi="Times New Roman" w:cs="Times New Roman"/>
          <w:sz w:val="20"/>
          <w:szCs w:val="20"/>
        </w:rPr>
        <w:t>Isoniazid</w:t>
      </w:r>
      <w:r w:rsidR="00AB319E" w:rsidRPr="003E2FFC">
        <w:rPr>
          <w:rStyle w:val="A3"/>
          <w:rFonts w:ascii="Times New Roman" w:hAnsi="Times New Roman" w:cs="Times New Roman"/>
          <w:sz w:val="20"/>
          <w:szCs w:val="20"/>
        </w:rPr>
        <w:t>, Rifampicin</w:t>
      </w:r>
      <w:r w:rsidR="001E673E" w:rsidRPr="003E2FFC">
        <w:rPr>
          <w:rStyle w:val="A3"/>
          <w:rFonts w:ascii="Times New Roman" w:hAnsi="Times New Roman" w:cs="Times New Roman"/>
          <w:sz w:val="20"/>
          <w:szCs w:val="20"/>
        </w:rPr>
        <w:t xml:space="preserve"> and Pyrazi</w:t>
      </w:r>
      <w:r w:rsidR="00A556A6" w:rsidRPr="003E2FFC">
        <w:rPr>
          <w:rStyle w:val="A3"/>
          <w:rFonts w:ascii="Times New Roman" w:hAnsi="Times New Roman" w:cs="Times New Roman"/>
          <w:sz w:val="20"/>
          <w:szCs w:val="20"/>
        </w:rPr>
        <w:t xml:space="preserve">namide are essential components, cost effective </w:t>
      </w:r>
      <w:r w:rsidR="00AB319E" w:rsidRPr="003E2FFC">
        <w:rPr>
          <w:rStyle w:val="A3"/>
          <w:rFonts w:ascii="Times New Roman" w:hAnsi="Times New Roman" w:cs="Times New Roman"/>
          <w:sz w:val="20"/>
          <w:szCs w:val="20"/>
        </w:rPr>
        <w:t>of DOTS</w:t>
      </w:r>
      <w:r w:rsidR="001E673E" w:rsidRPr="003E2FFC">
        <w:rPr>
          <w:rStyle w:val="A3"/>
          <w:rFonts w:ascii="Times New Roman" w:hAnsi="Times New Roman" w:cs="Times New Roman"/>
          <w:sz w:val="20"/>
          <w:szCs w:val="20"/>
        </w:rPr>
        <w:t xml:space="preserve"> strategy </w:t>
      </w:r>
      <w:r w:rsidR="00A556A6" w:rsidRPr="003E2FFC">
        <w:rPr>
          <w:rStyle w:val="A3"/>
          <w:rFonts w:ascii="Times New Roman" w:hAnsi="Times New Roman" w:cs="Times New Roman"/>
          <w:sz w:val="20"/>
          <w:szCs w:val="20"/>
        </w:rPr>
        <w:t>to break the chain of transmission in</w:t>
      </w:r>
      <w:r w:rsidR="001E673E" w:rsidRPr="003E2FFC">
        <w:rPr>
          <w:rStyle w:val="A3"/>
          <w:rFonts w:ascii="Times New Roman" w:hAnsi="Times New Roman" w:cs="Times New Roman"/>
          <w:sz w:val="20"/>
          <w:szCs w:val="20"/>
        </w:rPr>
        <w:t xml:space="preserve"> tuberculosis</w:t>
      </w:r>
      <w:r w:rsidR="00A556A6" w:rsidRPr="003E2FFC">
        <w:rPr>
          <w:rStyle w:val="A3"/>
          <w:rFonts w:ascii="Times New Roman" w:hAnsi="Times New Roman" w:cs="Times New Roman"/>
          <w:sz w:val="20"/>
          <w:szCs w:val="20"/>
        </w:rPr>
        <w:t>,</w:t>
      </w:r>
      <w:r w:rsidR="001E673E" w:rsidRPr="003E2FFC">
        <w:rPr>
          <w:rStyle w:val="A3"/>
          <w:rFonts w:ascii="Times New Roman" w:hAnsi="Times New Roman" w:cs="Times New Roman"/>
          <w:sz w:val="20"/>
          <w:szCs w:val="20"/>
        </w:rPr>
        <w:t xml:space="preserve"> endorsed by world health organization (WHO</w:t>
      </w:r>
      <w:proofErr w:type="gramStart"/>
      <w:r w:rsidR="001E673E" w:rsidRPr="003E2FFC">
        <w:rPr>
          <w:rStyle w:val="A3"/>
          <w:rFonts w:ascii="Times New Roman" w:hAnsi="Times New Roman" w:cs="Times New Roman"/>
          <w:sz w:val="20"/>
          <w:szCs w:val="20"/>
        </w:rPr>
        <w:t>)</w:t>
      </w:r>
      <w:r w:rsidR="001E673E" w:rsidRPr="003E2FFC">
        <w:rPr>
          <w:rStyle w:val="A3"/>
          <w:rFonts w:ascii="Times New Roman" w:hAnsi="Times New Roman" w:cs="Times New Roman"/>
          <w:sz w:val="20"/>
          <w:szCs w:val="20"/>
          <w:vertAlign w:val="superscript"/>
        </w:rPr>
        <w:t>2</w:t>
      </w:r>
      <w:proofErr w:type="gramEnd"/>
      <w:r w:rsidR="001E673E" w:rsidRPr="003E2FFC">
        <w:rPr>
          <w:rStyle w:val="A3"/>
          <w:rFonts w:ascii="Times New Roman" w:hAnsi="Times New Roman" w:cs="Times New Roman"/>
          <w:sz w:val="20"/>
          <w:szCs w:val="20"/>
        </w:rPr>
        <w:t>.</w:t>
      </w:r>
      <w:r w:rsidR="00035838" w:rsidRPr="003E2FFC">
        <w:rPr>
          <w:rStyle w:val="A3"/>
          <w:rFonts w:ascii="Times New Roman" w:hAnsi="Times New Roman" w:cs="Times New Roman"/>
          <w:sz w:val="20"/>
          <w:szCs w:val="20"/>
        </w:rPr>
        <w:t xml:space="preserve"> </w:t>
      </w:r>
      <w:r w:rsidR="00035838" w:rsidRPr="003E2FFC">
        <w:rPr>
          <w:rFonts w:ascii="Times New Roman" w:hAnsi="Times New Roman" w:cs="Times New Roman"/>
          <w:sz w:val="20"/>
          <w:szCs w:val="20"/>
        </w:rPr>
        <w:t>All these drugs used in combination for minimum 6 months</w:t>
      </w:r>
      <w:r w:rsidR="00D50346" w:rsidRPr="003E2FFC">
        <w:rPr>
          <w:rFonts w:ascii="Times New Roman" w:hAnsi="Times New Roman" w:cs="Times New Roman"/>
          <w:sz w:val="20"/>
          <w:szCs w:val="20"/>
        </w:rPr>
        <w:t>.</w:t>
      </w:r>
      <w:r w:rsidRPr="003E2FFC">
        <w:rPr>
          <w:rFonts w:ascii="Times New Roman" w:hAnsi="Times New Roman" w:cs="Times New Roman"/>
          <w:sz w:val="20"/>
          <w:szCs w:val="20"/>
        </w:rPr>
        <w:t xml:space="preserve"> Currently av</w:t>
      </w:r>
      <w:r w:rsidR="00AB319E" w:rsidRPr="003E2FFC">
        <w:rPr>
          <w:rFonts w:ascii="Times New Roman" w:hAnsi="Times New Roman" w:cs="Times New Roman"/>
          <w:sz w:val="20"/>
          <w:szCs w:val="20"/>
        </w:rPr>
        <w:t>ailable first line anti</w:t>
      </w:r>
      <w:r w:rsidR="00AD04E5" w:rsidRPr="003E2FFC">
        <w:rPr>
          <w:rFonts w:ascii="Times New Roman" w:hAnsi="Times New Roman" w:cs="Times New Roman"/>
          <w:sz w:val="20"/>
          <w:szCs w:val="20"/>
        </w:rPr>
        <w:t>-</w:t>
      </w:r>
      <w:r w:rsidR="00AB319E" w:rsidRPr="003E2FFC">
        <w:rPr>
          <w:rFonts w:ascii="Times New Roman" w:hAnsi="Times New Roman" w:cs="Times New Roman"/>
          <w:sz w:val="20"/>
          <w:szCs w:val="20"/>
        </w:rPr>
        <w:t>tuberculosis</w:t>
      </w:r>
      <w:r w:rsidRPr="003E2FFC">
        <w:rPr>
          <w:rFonts w:ascii="Times New Roman" w:hAnsi="Times New Roman" w:cs="Times New Roman"/>
          <w:sz w:val="20"/>
          <w:szCs w:val="20"/>
        </w:rPr>
        <w:t xml:space="preserve"> drugs are effective against active and latent tuberculosis</w:t>
      </w:r>
      <w:r w:rsidR="00B05DB8" w:rsidRPr="003E2FFC">
        <w:rPr>
          <w:rFonts w:ascii="Times New Roman" w:hAnsi="Times New Roman" w:cs="Times New Roman"/>
          <w:sz w:val="20"/>
          <w:szCs w:val="20"/>
        </w:rPr>
        <w:t xml:space="preserve"> but have side effects of cognizance as </w:t>
      </w:r>
      <w:r w:rsidR="00AB319E" w:rsidRPr="003E2FFC">
        <w:rPr>
          <w:rFonts w:ascii="Times New Roman" w:hAnsi="Times New Roman" w:cs="Times New Roman"/>
          <w:sz w:val="20"/>
          <w:szCs w:val="20"/>
        </w:rPr>
        <w:t xml:space="preserve">these </w:t>
      </w:r>
      <w:r w:rsidR="00F5048F" w:rsidRPr="003E2FFC">
        <w:rPr>
          <w:rFonts w:ascii="Times New Roman" w:hAnsi="Times New Roman" w:cs="Times New Roman"/>
          <w:sz w:val="20"/>
          <w:szCs w:val="20"/>
        </w:rPr>
        <w:t xml:space="preserve">lead to </w:t>
      </w:r>
      <w:r w:rsidR="00B05DB8" w:rsidRPr="003E2FFC">
        <w:rPr>
          <w:rFonts w:ascii="Times New Roman" w:hAnsi="Times New Roman" w:cs="Times New Roman"/>
          <w:sz w:val="20"/>
          <w:szCs w:val="20"/>
        </w:rPr>
        <w:t>treatment default</w:t>
      </w:r>
      <w:r w:rsidR="001E673E" w:rsidRPr="003E2FFC">
        <w:rPr>
          <w:rFonts w:ascii="Times New Roman" w:hAnsi="Times New Roman" w:cs="Times New Roman"/>
          <w:sz w:val="20"/>
          <w:szCs w:val="20"/>
          <w:vertAlign w:val="superscript"/>
        </w:rPr>
        <w:t>3</w:t>
      </w:r>
      <w:r w:rsidR="00B05DB8" w:rsidRPr="003E2FFC">
        <w:rPr>
          <w:rFonts w:ascii="Times New Roman" w:hAnsi="Times New Roman" w:cs="Times New Roman"/>
          <w:sz w:val="20"/>
          <w:szCs w:val="20"/>
        </w:rPr>
        <w:t>.</w:t>
      </w:r>
      <w:r w:rsidR="00035838" w:rsidRPr="003E2FFC">
        <w:rPr>
          <w:rFonts w:ascii="Times New Roman" w:hAnsi="Times New Roman" w:cs="Times New Roman"/>
          <w:sz w:val="20"/>
          <w:szCs w:val="20"/>
        </w:rPr>
        <w:t xml:space="preserve"> </w:t>
      </w:r>
    </w:p>
    <w:p w:rsidR="00476D8E" w:rsidRPr="003E2FFC" w:rsidRDefault="00E5442A" w:rsidP="003E2FFC">
      <w:pPr>
        <w:spacing w:after="0" w:line="360" w:lineRule="auto"/>
        <w:jc w:val="both"/>
        <w:rPr>
          <w:rFonts w:ascii="Times New Roman" w:hAnsi="Times New Roman" w:cs="Times New Roman"/>
          <w:sz w:val="20"/>
        </w:rPr>
      </w:pPr>
      <w:r w:rsidRPr="003E2FFC">
        <w:rPr>
          <w:rFonts w:ascii="Times New Roman" w:hAnsi="Times New Roman" w:cs="Times New Roman"/>
          <w:sz w:val="20"/>
        </w:rPr>
        <w:t xml:space="preserve">           </w:t>
      </w:r>
      <w:r w:rsidR="00B87234" w:rsidRPr="003E2FFC">
        <w:rPr>
          <w:rFonts w:ascii="Times New Roman" w:hAnsi="Times New Roman" w:cs="Times New Roman"/>
          <w:sz w:val="20"/>
        </w:rPr>
        <w:t>Insignificant side effects such as orange discolorat</w:t>
      </w:r>
      <w:r w:rsidR="001E673E" w:rsidRPr="003E2FFC">
        <w:rPr>
          <w:rFonts w:ascii="Times New Roman" w:hAnsi="Times New Roman" w:cs="Times New Roman"/>
          <w:sz w:val="20"/>
        </w:rPr>
        <w:t>ion of urine from Rifampicin</w:t>
      </w:r>
      <w:r w:rsidR="00B87234" w:rsidRPr="003E2FFC">
        <w:rPr>
          <w:rFonts w:ascii="Times New Roman" w:hAnsi="Times New Roman" w:cs="Times New Roman"/>
          <w:sz w:val="20"/>
        </w:rPr>
        <w:t xml:space="preserve"> as well as symptoms of potentially</w:t>
      </w:r>
      <w:r w:rsidRPr="003E2FFC">
        <w:rPr>
          <w:rFonts w:ascii="Times New Roman" w:hAnsi="Times New Roman" w:cs="Times New Roman"/>
          <w:sz w:val="20"/>
        </w:rPr>
        <w:t xml:space="preserve"> </w:t>
      </w:r>
      <w:r w:rsidR="00B87234" w:rsidRPr="003E2FFC">
        <w:rPr>
          <w:rFonts w:ascii="Times New Roman" w:hAnsi="Times New Roman" w:cs="Times New Roman"/>
          <w:sz w:val="20"/>
        </w:rPr>
        <w:t>serious side effects</w:t>
      </w:r>
      <w:r w:rsidR="00C46423" w:rsidRPr="003E2FFC">
        <w:rPr>
          <w:rFonts w:ascii="Times New Roman" w:hAnsi="Times New Roman" w:cs="Times New Roman"/>
          <w:sz w:val="20"/>
        </w:rPr>
        <w:t xml:space="preserve"> are known. </w:t>
      </w:r>
      <w:r w:rsidRPr="003E2FFC">
        <w:rPr>
          <w:rFonts w:ascii="Times New Roman" w:hAnsi="Times New Roman" w:cs="Times New Roman"/>
          <w:color w:val="000000"/>
          <w:sz w:val="20"/>
        </w:rPr>
        <w:t xml:space="preserve">Common adverse effects or </w:t>
      </w:r>
      <w:r w:rsidR="00F15F48" w:rsidRPr="003E2FFC">
        <w:rPr>
          <w:rFonts w:ascii="Times New Roman" w:hAnsi="Times New Roman" w:cs="Times New Roman"/>
          <w:color w:val="000000"/>
          <w:sz w:val="20"/>
        </w:rPr>
        <w:t>side of</w:t>
      </w:r>
      <w:r w:rsidRPr="003E2FFC">
        <w:rPr>
          <w:rFonts w:ascii="Times New Roman" w:hAnsi="Times New Roman" w:cs="Times New Roman"/>
          <w:color w:val="000000"/>
          <w:sz w:val="20"/>
        </w:rPr>
        <w:t xml:space="preserve"> these drugs are; Isoniazid causes peripheral neuropathy and hepatotoxicity (elevated serum tra</w:t>
      </w:r>
      <w:r w:rsidR="00EA1E84" w:rsidRPr="003E2FFC">
        <w:rPr>
          <w:rFonts w:ascii="Times New Roman" w:hAnsi="Times New Roman" w:cs="Times New Roman"/>
          <w:color w:val="000000"/>
          <w:sz w:val="20"/>
        </w:rPr>
        <w:t>nsaminases and serum bili</w:t>
      </w:r>
      <w:r w:rsidR="00F15F48" w:rsidRPr="003E2FFC">
        <w:rPr>
          <w:rFonts w:ascii="Times New Roman" w:hAnsi="Times New Roman" w:cs="Times New Roman"/>
          <w:color w:val="000000"/>
          <w:sz w:val="20"/>
        </w:rPr>
        <w:t>rubin),</w:t>
      </w:r>
      <w:r w:rsidRPr="003E2FFC">
        <w:rPr>
          <w:rFonts w:ascii="Times New Roman" w:hAnsi="Times New Roman" w:cs="Times New Roman"/>
          <w:color w:val="000000"/>
          <w:sz w:val="20"/>
        </w:rPr>
        <w:t xml:space="preserve"> Rifampicin causes immune-allergic reactions and hepatotoxicity (elevated serum transaminases, alkaline </w:t>
      </w:r>
      <w:r w:rsidR="00EA1E84" w:rsidRPr="003E2FFC">
        <w:rPr>
          <w:rFonts w:ascii="Times New Roman" w:hAnsi="Times New Roman" w:cs="Times New Roman"/>
          <w:color w:val="000000"/>
          <w:sz w:val="20"/>
        </w:rPr>
        <w:t>phosphates and serum bili</w:t>
      </w:r>
      <w:r w:rsidR="00F15F48" w:rsidRPr="003E2FFC">
        <w:rPr>
          <w:rFonts w:ascii="Times New Roman" w:hAnsi="Times New Roman" w:cs="Times New Roman"/>
          <w:color w:val="000000"/>
          <w:sz w:val="20"/>
        </w:rPr>
        <w:t xml:space="preserve">rubin). </w:t>
      </w:r>
      <w:r w:rsidR="005C65A1" w:rsidRPr="003E2FFC">
        <w:rPr>
          <w:rFonts w:ascii="Times New Roman" w:hAnsi="Times New Roman" w:cs="Times New Roman"/>
          <w:color w:val="000000"/>
          <w:sz w:val="20"/>
        </w:rPr>
        <w:t xml:space="preserve">Immune thrombocytopenia is a rare side effect of </w:t>
      </w:r>
      <w:r w:rsidR="00EA1E84" w:rsidRPr="003E2FFC">
        <w:rPr>
          <w:rFonts w:ascii="Times New Roman" w:hAnsi="Times New Roman" w:cs="Times New Roman"/>
          <w:color w:val="000000"/>
          <w:sz w:val="20"/>
        </w:rPr>
        <w:t>Rifampicin</w:t>
      </w:r>
      <w:r w:rsidR="005C65A1" w:rsidRPr="003E2FFC">
        <w:rPr>
          <w:rFonts w:ascii="Times New Roman" w:hAnsi="Times New Roman" w:cs="Times New Roman"/>
          <w:color w:val="000000"/>
          <w:sz w:val="20"/>
        </w:rPr>
        <w:t xml:space="preserve">. Drug induced immune thrombocytopenia (DTTP) is caused by drug dependent and antibody mediated platelet destruction. To confirm </w:t>
      </w:r>
      <w:r w:rsidR="00AD04E5" w:rsidRPr="003E2FFC">
        <w:rPr>
          <w:rFonts w:ascii="Times New Roman" w:hAnsi="Times New Roman" w:cs="Times New Roman"/>
          <w:color w:val="000000"/>
          <w:sz w:val="20"/>
        </w:rPr>
        <w:t>DTTP,</w:t>
      </w:r>
      <w:r w:rsidR="005C65A1" w:rsidRPr="003E2FFC">
        <w:rPr>
          <w:rFonts w:ascii="Times New Roman" w:hAnsi="Times New Roman" w:cs="Times New Roman"/>
          <w:color w:val="000000"/>
          <w:sz w:val="20"/>
        </w:rPr>
        <w:t xml:space="preserve"> the patient’s serum is analyzed for drug-dependent </w:t>
      </w:r>
      <w:r w:rsidR="00B150CE" w:rsidRPr="003E2FFC">
        <w:rPr>
          <w:rFonts w:ascii="Times New Roman" w:hAnsi="Times New Roman" w:cs="Times New Roman"/>
          <w:color w:val="000000"/>
          <w:sz w:val="20"/>
        </w:rPr>
        <w:t xml:space="preserve">platelet antibodies with </w:t>
      </w:r>
      <w:proofErr w:type="spellStart"/>
      <w:r w:rsidR="00B150CE" w:rsidRPr="003E2FFC">
        <w:rPr>
          <w:rFonts w:ascii="Times New Roman" w:hAnsi="Times New Roman" w:cs="Times New Roman"/>
          <w:color w:val="000000"/>
          <w:sz w:val="20"/>
        </w:rPr>
        <w:t>immunoflorescence</w:t>
      </w:r>
      <w:proofErr w:type="spellEnd"/>
      <w:r w:rsidR="00B150CE" w:rsidRPr="003E2FFC">
        <w:rPr>
          <w:rFonts w:ascii="Times New Roman" w:hAnsi="Times New Roman" w:cs="Times New Roman"/>
          <w:color w:val="000000"/>
          <w:sz w:val="20"/>
        </w:rPr>
        <w:t xml:space="preserve"> by flow cytometry</w:t>
      </w:r>
      <w:r w:rsidR="001D64B0" w:rsidRPr="003E2FFC">
        <w:rPr>
          <w:rFonts w:ascii="Times New Roman" w:hAnsi="Times New Roman" w:cs="Times New Roman"/>
          <w:color w:val="000000"/>
          <w:sz w:val="20"/>
          <w:vertAlign w:val="superscript"/>
        </w:rPr>
        <w:t>4</w:t>
      </w:r>
      <w:r w:rsidR="001D64B0" w:rsidRPr="003E2FFC">
        <w:rPr>
          <w:rFonts w:ascii="Times New Roman" w:hAnsi="Times New Roman" w:cs="Times New Roman"/>
          <w:color w:val="000000"/>
          <w:sz w:val="20"/>
        </w:rPr>
        <w:t>.</w:t>
      </w:r>
      <w:r w:rsidR="005C65A1" w:rsidRPr="003E2FFC">
        <w:rPr>
          <w:rFonts w:ascii="Times New Roman" w:hAnsi="Times New Roman" w:cs="Times New Roman"/>
          <w:color w:val="000000"/>
          <w:sz w:val="20"/>
        </w:rPr>
        <w:t xml:space="preserve"> </w:t>
      </w:r>
      <w:r w:rsidRPr="003E2FFC">
        <w:rPr>
          <w:rFonts w:ascii="Times New Roman" w:hAnsi="Times New Roman" w:cs="Times New Roman"/>
          <w:color w:val="000000"/>
          <w:sz w:val="20"/>
        </w:rPr>
        <w:t xml:space="preserve"> </w:t>
      </w:r>
      <w:r w:rsidRPr="003E2FFC">
        <w:rPr>
          <w:rFonts w:ascii="Times New Roman" w:hAnsi="Times New Roman" w:cs="Times New Roman"/>
          <w:color w:val="000000"/>
          <w:sz w:val="20"/>
        </w:rPr>
        <w:lastRenderedPageBreak/>
        <w:t>Pyrazinamide</w:t>
      </w:r>
      <w:r w:rsidR="00164D78" w:rsidRPr="003E2FFC">
        <w:rPr>
          <w:rFonts w:ascii="Times New Roman" w:hAnsi="Times New Roman" w:cs="Times New Roman"/>
          <w:color w:val="000000"/>
          <w:sz w:val="20"/>
        </w:rPr>
        <w:t xml:space="preserve"> and Ethambutol are two anti</w:t>
      </w:r>
      <w:r w:rsidR="00A97058" w:rsidRPr="003E2FFC">
        <w:rPr>
          <w:rFonts w:ascii="Times New Roman" w:hAnsi="Times New Roman" w:cs="Times New Roman"/>
          <w:color w:val="000000"/>
          <w:sz w:val="20"/>
        </w:rPr>
        <w:t>-tuberculo</w:t>
      </w:r>
      <w:r w:rsidR="00164D78" w:rsidRPr="003E2FFC">
        <w:rPr>
          <w:rFonts w:ascii="Times New Roman" w:hAnsi="Times New Roman" w:cs="Times New Roman"/>
          <w:color w:val="000000"/>
          <w:sz w:val="20"/>
        </w:rPr>
        <w:t>s</w:t>
      </w:r>
      <w:r w:rsidR="00A97058" w:rsidRPr="003E2FFC">
        <w:rPr>
          <w:rFonts w:ascii="Times New Roman" w:hAnsi="Times New Roman" w:cs="Times New Roman"/>
          <w:color w:val="000000"/>
          <w:sz w:val="20"/>
        </w:rPr>
        <w:t>is</w:t>
      </w:r>
      <w:r w:rsidR="00164D78" w:rsidRPr="003E2FFC">
        <w:rPr>
          <w:rFonts w:ascii="Times New Roman" w:hAnsi="Times New Roman" w:cs="Times New Roman"/>
          <w:color w:val="000000"/>
          <w:sz w:val="20"/>
        </w:rPr>
        <w:t xml:space="preserve"> drugs reported to induce </w:t>
      </w:r>
      <w:r w:rsidR="00A97058" w:rsidRPr="003E2FFC">
        <w:rPr>
          <w:rFonts w:ascii="Times New Roman" w:hAnsi="Times New Roman" w:cs="Times New Roman"/>
          <w:color w:val="000000"/>
          <w:sz w:val="20"/>
        </w:rPr>
        <w:t>hyperuricemia causing joint</w:t>
      </w:r>
      <w:r w:rsidR="00164D78" w:rsidRPr="003E2FFC">
        <w:rPr>
          <w:rFonts w:ascii="Times New Roman" w:hAnsi="Times New Roman" w:cs="Times New Roman"/>
          <w:color w:val="000000"/>
          <w:sz w:val="20"/>
        </w:rPr>
        <w:t xml:space="preserve"> pain, swelling and renal failure in severe cases.</w:t>
      </w:r>
      <w:r w:rsidRPr="003E2FFC">
        <w:rPr>
          <w:rFonts w:ascii="Times New Roman" w:hAnsi="Times New Roman" w:cs="Times New Roman"/>
          <w:color w:val="000000"/>
          <w:sz w:val="20"/>
        </w:rPr>
        <w:t xml:space="preserve"> (</w:t>
      </w:r>
      <w:r w:rsidR="00A97058" w:rsidRPr="003E2FFC">
        <w:rPr>
          <w:rFonts w:ascii="Times New Roman" w:hAnsi="Times New Roman" w:cs="Times New Roman"/>
          <w:color w:val="000000"/>
          <w:sz w:val="20"/>
        </w:rPr>
        <w:t>Increased</w:t>
      </w:r>
      <w:r w:rsidRPr="003E2FFC">
        <w:rPr>
          <w:rFonts w:ascii="Times New Roman" w:hAnsi="Times New Roman" w:cs="Times New Roman"/>
          <w:color w:val="000000"/>
          <w:sz w:val="20"/>
        </w:rPr>
        <w:t xml:space="preserve"> serum uric acid</w:t>
      </w:r>
      <w:r w:rsidR="00164D78" w:rsidRPr="003E2FFC">
        <w:rPr>
          <w:rFonts w:ascii="Times New Roman" w:hAnsi="Times New Roman" w:cs="Times New Roman"/>
          <w:color w:val="000000"/>
          <w:sz w:val="20"/>
        </w:rPr>
        <w:t xml:space="preserve"> </w:t>
      </w:r>
      <w:r w:rsidR="00E00D59" w:rsidRPr="003E2FFC">
        <w:rPr>
          <w:rFonts w:ascii="Times New Roman" w:hAnsi="Times New Roman" w:cs="Times New Roman"/>
          <w:color w:val="000000"/>
          <w:sz w:val="20"/>
        </w:rPr>
        <w:t>more than 6.8</w:t>
      </w:r>
      <w:r w:rsidR="00BC189B" w:rsidRPr="003E2FFC">
        <w:rPr>
          <w:rFonts w:ascii="Times New Roman" w:hAnsi="Times New Roman" w:cs="Times New Roman"/>
          <w:color w:val="000000"/>
          <w:sz w:val="20"/>
        </w:rPr>
        <w:t xml:space="preserve"> mg/dl</w:t>
      </w:r>
      <w:r w:rsidRPr="003E2FFC">
        <w:rPr>
          <w:rFonts w:ascii="Times New Roman" w:hAnsi="Times New Roman" w:cs="Times New Roman"/>
          <w:color w:val="000000"/>
          <w:sz w:val="20"/>
        </w:rPr>
        <w:t>) and hepatotoxicity (elevated serum transaminases and serum bil</w:t>
      </w:r>
      <w:r w:rsidR="00EA1E84" w:rsidRPr="003E2FFC">
        <w:rPr>
          <w:rFonts w:ascii="Times New Roman" w:hAnsi="Times New Roman" w:cs="Times New Roman"/>
          <w:color w:val="000000"/>
          <w:sz w:val="20"/>
        </w:rPr>
        <w:t>i</w:t>
      </w:r>
      <w:r w:rsidRPr="003E2FFC">
        <w:rPr>
          <w:rFonts w:ascii="Times New Roman" w:hAnsi="Times New Roman" w:cs="Times New Roman"/>
          <w:color w:val="000000"/>
          <w:sz w:val="20"/>
        </w:rPr>
        <w:t>rubin)</w:t>
      </w:r>
      <w:r w:rsidR="00164D78" w:rsidRPr="003E2FFC">
        <w:rPr>
          <w:rFonts w:ascii="Times New Roman" w:hAnsi="Times New Roman" w:cs="Times New Roman"/>
          <w:color w:val="000000"/>
          <w:sz w:val="20"/>
        </w:rPr>
        <w:t xml:space="preserve">, Pyrazinamide is strong agent causing </w:t>
      </w:r>
      <w:proofErr w:type="spellStart"/>
      <w:r w:rsidR="00164D78" w:rsidRPr="003E2FFC">
        <w:rPr>
          <w:rFonts w:ascii="Times New Roman" w:hAnsi="Times New Roman" w:cs="Times New Roman"/>
          <w:color w:val="000000"/>
          <w:sz w:val="20"/>
        </w:rPr>
        <w:t>urate</w:t>
      </w:r>
      <w:proofErr w:type="spellEnd"/>
      <w:r w:rsidR="00164D78" w:rsidRPr="003E2FFC">
        <w:rPr>
          <w:rFonts w:ascii="Times New Roman" w:hAnsi="Times New Roman" w:cs="Times New Roman"/>
          <w:color w:val="000000"/>
          <w:sz w:val="20"/>
        </w:rPr>
        <w:t xml:space="preserve"> </w:t>
      </w:r>
      <w:r w:rsidR="00A97058" w:rsidRPr="003E2FFC">
        <w:rPr>
          <w:rFonts w:ascii="Times New Roman" w:hAnsi="Times New Roman" w:cs="Times New Roman"/>
          <w:color w:val="000000"/>
          <w:sz w:val="20"/>
        </w:rPr>
        <w:t>retention. Ethambutol</w:t>
      </w:r>
      <w:r w:rsidR="006A5002" w:rsidRPr="003E2FFC">
        <w:rPr>
          <w:rFonts w:ascii="Times New Roman" w:hAnsi="Times New Roman" w:cs="Times New Roman"/>
          <w:color w:val="000000"/>
          <w:sz w:val="20"/>
        </w:rPr>
        <w:t xml:space="preserve"> can cause blindness.</w:t>
      </w:r>
      <w:r w:rsidR="003C31D9" w:rsidRPr="003E2FFC">
        <w:rPr>
          <w:rFonts w:ascii="Times New Roman" w:hAnsi="Times New Roman" w:cs="Times New Roman"/>
          <w:color w:val="000000"/>
          <w:sz w:val="20"/>
        </w:rPr>
        <w:t xml:space="preserve"> Streptomycin can cause adverse effects </w:t>
      </w:r>
      <w:r w:rsidR="001826FB" w:rsidRPr="003E2FFC">
        <w:rPr>
          <w:rFonts w:ascii="Times New Roman" w:hAnsi="Times New Roman" w:cs="Times New Roman"/>
          <w:color w:val="000000"/>
          <w:sz w:val="20"/>
        </w:rPr>
        <w:t xml:space="preserve">of </w:t>
      </w:r>
      <w:proofErr w:type="spellStart"/>
      <w:r w:rsidR="001826FB" w:rsidRPr="003E2FFC">
        <w:rPr>
          <w:rFonts w:ascii="Times New Roman" w:hAnsi="Times New Roman" w:cs="Times New Roman"/>
          <w:color w:val="000000"/>
          <w:sz w:val="20"/>
        </w:rPr>
        <w:t>ot</w:t>
      </w:r>
      <w:r w:rsidR="003C31D9" w:rsidRPr="003E2FFC">
        <w:rPr>
          <w:rFonts w:ascii="Times New Roman" w:hAnsi="Times New Roman" w:cs="Times New Roman"/>
          <w:color w:val="000000"/>
          <w:sz w:val="20"/>
        </w:rPr>
        <w:t>oxicity</w:t>
      </w:r>
      <w:proofErr w:type="spellEnd"/>
      <w:r w:rsidR="003C31D9" w:rsidRPr="003E2FFC">
        <w:rPr>
          <w:rFonts w:ascii="Times New Roman" w:hAnsi="Times New Roman" w:cs="Times New Roman"/>
          <w:color w:val="000000"/>
          <w:sz w:val="20"/>
        </w:rPr>
        <w:t>, gluteal abscess.</w:t>
      </w:r>
    </w:p>
    <w:p w:rsidR="0037106C" w:rsidRPr="003E2FFC" w:rsidRDefault="0037106C" w:rsidP="003E2FFC">
      <w:pPr>
        <w:spacing w:after="0" w:line="360" w:lineRule="auto"/>
        <w:jc w:val="both"/>
        <w:rPr>
          <w:rFonts w:ascii="Times New Roman" w:hAnsi="Times New Roman" w:cs="Times New Roman"/>
          <w:sz w:val="20"/>
        </w:rPr>
      </w:pPr>
      <w:r w:rsidRPr="003E2FFC">
        <w:rPr>
          <w:rFonts w:ascii="Times New Roman" w:hAnsi="Times New Roman" w:cs="Times New Roman"/>
          <w:b/>
          <w:sz w:val="20"/>
        </w:rPr>
        <w:t>MATERIALS AND METHODS</w:t>
      </w:r>
      <w:r w:rsidR="00B05DB8" w:rsidRPr="003E2FFC">
        <w:rPr>
          <w:rFonts w:ascii="Times New Roman" w:hAnsi="Times New Roman" w:cs="Times New Roman"/>
          <w:sz w:val="20"/>
        </w:rPr>
        <w:t>:</w:t>
      </w:r>
      <w:r w:rsidR="006A5002" w:rsidRPr="003E2FFC">
        <w:rPr>
          <w:rFonts w:ascii="Times New Roman" w:hAnsi="Times New Roman" w:cs="Times New Roman"/>
          <w:sz w:val="20"/>
        </w:rPr>
        <w:t xml:space="preserve"> </w:t>
      </w:r>
    </w:p>
    <w:p w:rsidR="00B05DB8" w:rsidRPr="003E2FFC" w:rsidRDefault="006F7DCB" w:rsidP="003E2FFC">
      <w:pPr>
        <w:spacing w:after="0" w:line="360" w:lineRule="auto"/>
        <w:jc w:val="both"/>
        <w:rPr>
          <w:rFonts w:ascii="Times New Roman" w:hAnsi="Times New Roman" w:cs="Times New Roman"/>
          <w:sz w:val="20"/>
        </w:rPr>
      </w:pPr>
      <w:r w:rsidRPr="003E2FFC">
        <w:rPr>
          <w:rFonts w:ascii="Times New Roman" w:hAnsi="Times New Roman" w:cs="Times New Roman"/>
          <w:sz w:val="20"/>
        </w:rPr>
        <w:t xml:space="preserve">This is an observational study done in patients receiving anti-tuberculosis treatment. </w:t>
      </w:r>
      <w:r w:rsidR="0037106C" w:rsidRPr="003E2FFC">
        <w:rPr>
          <w:rFonts w:ascii="Times New Roman" w:hAnsi="Times New Roman" w:cs="Times New Roman"/>
          <w:sz w:val="20"/>
        </w:rPr>
        <w:t>S</w:t>
      </w:r>
      <w:r w:rsidR="00550355" w:rsidRPr="003E2FFC">
        <w:rPr>
          <w:rFonts w:ascii="Times New Roman" w:hAnsi="Times New Roman" w:cs="Times New Roman"/>
          <w:sz w:val="20"/>
        </w:rPr>
        <w:t>tudy was done at Dehuroad Cantonment Board Hospital</w:t>
      </w:r>
      <w:r w:rsidRPr="003E2FFC">
        <w:rPr>
          <w:rFonts w:ascii="Times New Roman" w:hAnsi="Times New Roman" w:cs="Times New Roman"/>
          <w:sz w:val="20"/>
        </w:rPr>
        <w:t>, Pune,</w:t>
      </w:r>
      <w:r w:rsidR="007E709B" w:rsidRPr="003E2FFC">
        <w:rPr>
          <w:rFonts w:ascii="Times New Roman" w:hAnsi="Times New Roman" w:cs="Times New Roman"/>
          <w:sz w:val="20"/>
        </w:rPr>
        <w:t xml:space="preserve"> </w:t>
      </w:r>
      <w:proofErr w:type="gramStart"/>
      <w:r w:rsidR="007E709B" w:rsidRPr="003E2FFC">
        <w:rPr>
          <w:rFonts w:ascii="Times New Roman" w:hAnsi="Times New Roman" w:cs="Times New Roman"/>
          <w:sz w:val="20"/>
        </w:rPr>
        <w:t>Maharashtra</w:t>
      </w:r>
      <w:proofErr w:type="gramEnd"/>
      <w:r w:rsidR="00F15F48" w:rsidRPr="003E2FFC">
        <w:rPr>
          <w:rFonts w:ascii="Times New Roman" w:hAnsi="Times New Roman" w:cs="Times New Roman"/>
          <w:sz w:val="20"/>
        </w:rPr>
        <w:t>, India</w:t>
      </w:r>
      <w:r w:rsidR="001408BF" w:rsidRPr="003E2FFC">
        <w:rPr>
          <w:rFonts w:ascii="Times New Roman" w:hAnsi="Times New Roman" w:cs="Times New Roman"/>
          <w:sz w:val="20"/>
        </w:rPr>
        <w:t>.</w:t>
      </w:r>
      <w:r w:rsidR="006A5002" w:rsidRPr="003E2FFC">
        <w:rPr>
          <w:rFonts w:ascii="Times New Roman" w:hAnsi="Times New Roman" w:cs="Times New Roman"/>
          <w:sz w:val="20"/>
        </w:rPr>
        <w:t xml:space="preserve"> Diagnosis of Tuberculosis was done based on the World Health </w:t>
      </w:r>
      <w:r w:rsidR="00A97058" w:rsidRPr="003E2FFC">
        <w:rPr>
          <w:rFonts w:ascii="Times New Roman" w:hAnsi="Times New Roman" w:cs="Times New Roman"/>
          <w:sz w:val="20"/>
        </w:rPr>
        <w:t>Organization</w:t>
      </w:r>
      <w:r w:rsidR="006A5002" w:rsidRPr="003E2FFC">
        <w:rPr>
          <w:rFonts w:ascii="Times New Roman" w:hAnsi="Times New Roman" w:cs="Times New Roman"/>
          <w:sz w:val="20"/>
        </w:rPr>
        <w:t xml:space="preserve"> definitions</w:t>
      </w:r>
      <w:r w:rsidR="009A3084" w:rsidRPr="003E2FFC">
        <w:rPr>
          <w:rFonts w:ascii="Times New Roman" w:hAnsi="Times New Roman" w:cs="Times New Roman"/>
          <w:sz w:val="20"/>
          <w:vertAlign w:val="superscript"/>
        </w:rPr>
        <w:t>5</w:t>
      </w:r>
      <w:r w:rsidR="006A5002" w:rsidRPr="003E2FFC">
        <w:rPr>
          <w:rFonts w:ascii="Times New Roman" w:hAnsi="Times New Roman" w:cs="Times New Roman"/>
          <w:sz w:val="20"/>
        </w:rPr>
        <w:t>.</w:t>
      </w:r>
      <w:r w:rsidR="00F15F48" w:rsidRPr="003E2FFC">
        <w:rPr>
          <w:rFonts w:ascii="Times New Roman" w:hAnsi="Times New Roman" w:cs="Times New Roman"/>
          <w:sz w:val="20"/>
        </w:rPr>
        <w:t xml:space="preserve"> </w:t>
      </w:r>
      <w:r w:rsidR="0037106C" w:rsidRPr="003E2FFC">
        <w:rPr>
          <w:rFonts w:ascii="Times New Roman" w:hAnsi="Times New Roman" w:cs="Times New Roman"/>
          <w:sz w:val="20"/>
        </w:rPr>
        <w:t>Patients with confirmed diagnosis</w:t>
      </w:r>
      <w:r w:rsidR="001826FB" w:rsidRPr="003E2FFC">
        <w:rPr>
          <w:rFonts w:ascii="Times New Roman" w:hAnsi="Times New Roman" w:cs="Times New Roman"/>
          <w:sz w:val="20"/>
        </w:rPr>
        <w:t xml:space="preserve"> of tuberculosis</w:t>
      </w:r>
      <w:r w:rsidRPr="003E2FFC">
        <w:rPr>
          <w:rFonts w:ascii="Times New Roman" w:hAnsi="Times New Roman" w:cs="Times New Roman"/>
          <w:sz w:val="20"/>
        </w:rPr>
        <w:t xml:space="preserve"> started on anti-tuberculosis treatment</w:t>
      </w:r>
      <w:r w:rsidR="0037106C" w:rsidRPr="003E2FFC">
        <w:rPr>
          <w:rFonts w:ascii="Times New Roman" w:hAnsi="Times New Roman" w:cs="Times New Roman"/>
          <w:sz w:val="20"/>
        </w:rPr>
        <w:t xml:space="preserve"> from April 2017-April 2018 were studied prospectively.</w:t>
      </w:r>
      <w:r w:rsidR="001408BF" w:rsidRPr="003E2FFC">
        <w:rPr>
          <w:rFonts w:ascii="Times New Roman" w:hAnsi="Times New Roman" w:cs="Times New Roman"/>
          <w:sz w:val="20"/>
        </w:rPr>
        <w:t xml:space="preserve"> All new</w:t>
      </w:r>
      <w:r w:rsidR="006A5002" w:rsidRPr="003E2FFC">
        <w:rPr>
          <w:rFonts w:ascii="Times New Roman" w:hAnsi="Times New Roman" w:cs="Times New Roman"/>
          <w:sz w:val="20"/>
        </w:rPr>
        <w:t>ly diagnosed</w:t>
      </w:r>
      <w:r w:rsidR="001408BF" w:rsidRPr="003E2FFC">
        <w:rPr>
          <w:rFonts w:ascii="Times New Roman" w:hAnsi="Times New Roman" w:cs="Times New Roman"/>
          <w:sz w:val="20"/>
        </w:rPr>
        <w:t xml:space="preserve"> </w:t>
      </w:r>
      <w:r w:rsidR="00DF189B" w:rsidRPr="003E2FFC">
        <w:rPr>
          <w:rFonts w:ascii="Times New Roman" w:hAnsi="Times New Roman" w:cs="Times New Roman"/>
          <w:sz w:val="20"/>
        </w:rPr>
        <w:t>Tuberculosis patients</w:t>
      </w:r>
      <w:r w:rsidR="001826FB" w:rsidRPr="003E2FFC">
        <w:rPr>
          <w:rFonts w:ascii="Times New Roman" w:hAnsi="Times New Roman" w:cs="Times New Roman"/>
          <w:sz w:val="20"/>
        </w:rPr>
        <w:t xml:space="preserve"> and drug sensitive relapse, failure and default patients</w:t>
      </w:r>
      <w:r w:rsidR="006A5002" w:rsidRPr="003E2FFC">
        <w:rPr>
          <w:rFonts w:ascii="Times New Roman" w:hAnsi="Times New Roman" w:cs="Times New Roman"/>
          <w:sz w:val="20"/>
        </w:rPr>
        <w:t xml:space="preserve"> were started on RNTCP DOTS category I </w:t>
      </w:r>
      <w:r w:rsidR="001826FB" w:rsidRPr="003E2FFC">
        <w:rPr>
          <w:rFonts w:ascii="Times New Roman" w:hAnsi="Times New Roman" w:cs="Times New Roman"/>
          <w:sz w:val="20"/>
        </w:rPr>
        <w:t xml:space="preserve">and II </w:t>
      </w:r>
      <w:r w:rsidR="006A5002" w:rsidRPr="003E2FFC">
        <w:rPr>
          <w:rFonts w:ascii="Times New Roman" w:hAnsi="Times New Roman" w:cs="Times New Roman"/>
          <w:sz w:val="20"/>
        </w:rPr>
        <w:t>regimen</w:t>
      </w:r>
      <w:r w:rsidR="001826FB" w:rsidRPr="003E2FFC">
        <w:rPr>
          <w:rFonts w:ascii="Times New Roman" w:hAnsi="Times New Roman" w:cs="Times New Roman"/>
          <w:sz w:val="20"/>
        </w:rPr>
        <w:t xml:space="preserve"> respectively</w:t>
      </w:r>
      <w:r w:rsidR="006A5002" w:rsidRPr="003E2FFC">
        <w:rPr>
          <w:rFonts w:ascii="Times New Roman" w:hAnsi="Times New Roman" w:cs="Times New Roman"/>
          <w:sz w:val="20"/>
        </w:rPr>
        <w:t>. Patients started on ATT</w:t>
      </w:r>
      <w:r w:rsidR="001408BF" w:rsidRPr="003E2FFC">
        <w:rPr>
          <w:rFonts w:ascii="Times New Roman" w:hAnsi="Times New Roman" w:cs="Times New Roman"/>
          <w:sz w:val="20"/>
        </w:rPr>
        <w:t xml:space="preserve"> screened for baseline</w:t>
      </w:r>
      <w:r w:rsidR="00DF189B" w:rsidRPr="003E2FFC">
        <w:rPr>
          <w:rFonts w:ascii="Times New Roman" w:hAnsi="Times New Roman" w:cs="Times New Roman"/>
          <w:sz w:val="20"/>
        </w:rPr>
        <w:t xml:space="preserve"> measurements </w:t>
      </w:r>
      <w:r w:rsidR="007E709B" w:rsidRPr="003E2FFC">
        <w:rPr>
          <w:rFonts w:ascii="Times New Roman" w:hAnsi="Times New Roman" w:cs="Times New Roman"/>
          <w:sz w:val="20"/>
        </w:rPr>
        <w:t>of hepatic</w:t>
      </w:r>
      <w:r w:rsidR="00DF189B" w:rsidRPr="003E2FFC">
        <w:rPr>
          <w:rFonts w:ascii="Times New Roman" w:hAnsi="Times New Roman" w:cs="Times New Roman"/>
          <w:sz w:val="20"/>
        </w:rPr>
        <w:t xml:space="preserve"> enzymes, bilirubin, serum creatinine and blood urea nitrogen</w:t>
      </w:r>
      <w:r w:rsidR="001408BF" w:rsidRPr="003E2FFC">
        <w:rPr>
          <w:rFonts w:ascii="Times New Roman" w:hAnsi="Times New Roman" w:cs="Times New Roman"/>
          <w:sz w:val="20"/>
        </w:rPr>
        <w:t xml:space="preserve">, </w:t>
      </w:r>
      <w:r w:rsidR="00DF189B" w:rsidRPr="003E2FFC">
        <w:rPr>
          <w:rFonts w:ascii="Times New Roman" w:hAnsi="Times New Roman" w:cs="Times New Roman"/>
          <w:sz w:val="20"/>
        </w:rPr>
        <w:t xml:space="preserve">complete blood cell </w:t>
      </w:r>
      <w:r w:rsidR="007E709B" w:rsidRPr="003E2FFC">
        <w:rPr>
          <w:rFonts w:ascii="Times New Roman" w:hAnsi="Times New Roman" w:cs="Times New Roman"/>
          <w:sz w:val="20"/>
        </w:rPr>
        <w:t>count including</w:t>
      </w:r>
      <w:r w:rsidR="001408BF" w:rsidRPr="003E2FFC">
        <w:rPr>
          <w:rFonts w:ascii="Times New Roman" w:hAnsi="Times New Roman" w:cs="Times New Roman"/>
          <w:sz w:val="20"/>
        </w:rPr>
        <w:t xml:space="preserve"> platelet count, serum uric </w:t>
      </w:r>
      <w:r w:rsidR="007E709B" w:rsidRPr="003E2FFC">
        <w:rPr>
          <w:rFonts w:ascii="Times New Roman" w:hAnsi="Times New Roman" w:cs="Times New Roman"/>
          <w:sz w:val="20"/>
        </w:rPr>
        <w:t>acid, and vision</w:t>
      </w:r>
      <w:r w:rsidR="001408BF" w:rsidRPr="003E2FFC">
        <w:rPr>
          <w:rFonts w:ascii="Times New Roman" w:hAnsi="Times New Roman" w:cs="Times New Roman"/>
          <w:sz w:val="20"/>
        </w:rPr>
        <w:t xml:space="preserve"> test. These cases enrolled in study with informed consent.</w:t>
      </w:r>
      <w:r w:rsidR="00037C00" w:rsidRPr="003E2FFC">
        <w:rPr>
          <w:rFonts w:ascii="Times New Roman" w:hAnsi="Times New Roman" w:cs="Times New Roman"/>
          <w:sz w:val="20"/>
        </w:rPr>
        <w:t xml:space="preserve"> </w:t>
      </w:r>
      <w:r w:rsidR="00145E7D" w:rsidRPr="003E2FFC">
        <w:rPr>
          <w:rFonts w:ascii="Times New Roman" w:hAnsi="Times New Roman" w:cs="Times New Roman"/>
          <w:sz w:val="20"/>
        </w:rPr>
        <w:t>Counseling</w:t>
      </w:r>
      <w:r w:rsidR="001408BF" w:rsidRPr="003E2FFC">
        <w:rPr>
          <w:rFonts w:ascii="Times New Roman" w:hAnsi="Times New Roman" w:cs="Times New Roman"/>
          <w:sz w:val="20"/>
        </w:rPr>
        <w:t xml:space="preserve"> was done regarding side effects of </w:t>
      </w:r>
      <w:r w:rsidR="00A97058" w:rsidRPr="003E2FFC">
        <w:rPr>
          <w:rFonts w:ascii="Times New Roman" w:hAnsi="Times New Roman" w:cs="Times New Roman"/>
          <w:sz w:val="20"/>
        </w:rPr>
        <w:t>anti- tuberculosis</w:t>
      </w:r>
      <w:r w:rsidR="00037C00" w:rsidRPr="003E2FFC">
        <w:rPr>
          <w:rFonts w:ascii="Times New Roman" w:hAnsi="Times New Roman" w:cs="Times New Roman"/>
          <w:sz w:val="20"/>
        </w:rPr>
        <w:t xml:space="preserve"> drugs</w:t>
      </w:r>
      <w:r w:rsidR="00145E7D" w:rsidRPr="003E2FFC">
        <w:rPr>
          <w:rFonts w:ascii="Times New Roman" w:hAnsi="Times New Roman" w:cs="Times New Roman"/>
          <w:sz w:val="20"/>
        </w:rPr>
        <w:t>-</w:t>
      </w:r>
      <w:r w:rsidR="00B06396" w:rsidRPr="003E2FFC">
        <w:rPr>
          <w:rFonts w:ascii="Times New Roman" w:hAnsi="Times New Roman" w:cs="Times New Roman"/>
          <w:sz w:val="20"/>
        </w:rPr>
        <w:t>epigastric burning sensation,</w:t>
      </w:r>
      <w:r w:rsidR="00145E7D" w:rsidRPr="003E2FFC">
        <w:rPr>
          <w:rFonts w:ascii="Times New Roman" w:hAnsi="Times New Roman" w:cs="Times New Roman"/>
          <w:sz w:val="20"/>
        </w:rPr>
        <w:t xml:space="preserve"> nausea, </w:t>
      </w:r>
      <w:r w:rsidR="00DF189B" w:rsidRPr="003E2FFC">
        <w:rPr>
          <w:rFonts w:ascii="Times New Roman" w:hAnsi="Times New Roman" w:cs="Times New Roman"/>
          <w:sz w:val="20"/>
        </w:rPr>
        <w:t>vomiting,</w:t>
      </w:r>
      <w:r w:rsidR="00145E7D" w:rsidRPr="003E2FFC">
        <w:rPr>
          <w:rFonts w:ascii="Times New Roman" w:hAnsi="Times New Roman" w:cs="Times New Roman"/>
          <w:sz w:val="20"/>
        </w:rPr>
        <w:t xml:space="preserve"> skin rashes, joint pain, decreased vision, burning pain of soles, orange discoloration of urine</w:t>
      </w:r>
      <w:r w:rsidR="00037C00" w:rsidRPr="003E2FFC">
        <w:rPr>
          <w:rFonts w:ascii="Times New Roman" w:hAnsi="Times New Roman" w:cs="Times New Roman"/>
          <w:sz w:val="20"/>
        </w:rPr>
        <w:t>.</w:t>
      </w:r>
      <w:r w:rsidR="00006AA0" w:rsidRPr="003E2FFC">
        <w:rPr>
          <w:rFonts w:ascii="Times New Roman" w:hAnsi="Times New Roman" w:cs="Times New Roman"/>
          <w:sz w:val="20"/>
        </w:rPr>
        <w:t xml:space="preserve"> . Follow up assessments were done at 2, 4, 8 and 24 weeks regularly.</w:t>
      </w:r>
      <w:r w:rsidR="00145E7D" w:rsidRPr="003E2FFC">
        <w:rPr>
          <w:rFonts w:ascii="Times New Roman" w:hAnsi="Times New Roman" w:cs="Times New Roman"/>
          <w:sz w:val="20"/>
        </w:rPr>
        <w:t xml:space="preserve"> Patients were informed to report</w:t>
      </w:r>
      <w:r w:rsidR="00006AA0" w:rsidRPr="003E2FFC">
        <w:rPr>
          <w:rFonts w:ascii="Times New Roman" w:hAnsi="Times New Roman" w:cs="Times New Roman"/>
          <w:sz w:val="20"/>
        </w:rPr>
        <w:t xml:space="preserve"> immediately</w:t>
      </w:r>
      <w:r w:rsidR="00145E7D" w:rsidRPr="003E2FFC">
        <w:rPr>
          <w:rFonts w:ascii="Times New Roman" w:hAnsi="Times New Roman" w:cs="Times New Roman"/>
          <w:sz w:val="20"/>
        </w:rPr>
        <w:t xml:space="preserve"> for any symptom</w:t>
      </w:r>
      <w:r w:rsidR="00BF3597" w:rsidRPr="003E2FFC">
        <w:rPr>
          <w:rFonts w:ascii="Times New Roman" w:hAnsi="Times New Roman" w:cs="Times New Roman"/>
          <w:sz w:val="20"/>
        </w:rPr>
        <w:t>, at any time</w:t>
      </w:r>
      <w:r w:rsidR="00006AA0" w:rsidRPr="003E2FFC">
        <w:rPr>
          <w:rFonts w:ascii="Times New Roman" w:hAnsi="Times New Roman" w:cs="Times New Roman"/>
          <w:sz w:val="20"/>
        </w:rPr>
        <w:t xml:space="preserve"> other than scheduled follow up visits.</w:t>
      </w:r>
      <w:r w:rsidR="001408BF" w:rsidRPr="003E2FFC">
        <w:rPr>
          <w:rFonts w:ascii="Times New Roman" w:hAnsi="Times New Roman" w:cs="Times New Roman"/>
          <w:sz w:val="20"/>
        </w:rPr>
        <w:t xml:space="preserve"> During the treatment duration patients with symptoms pertaining to adve</w:t>
      </w:r>
      <w:r w:rsidR="00145E7D" w:rsidRPr="003E2FFC">
        <w:rPr>
          <w:rFonts w:ascii="Times New Roman" w:hAnsi="Times New Roman" w:cs="Times New Roman"/>
          <w:sz w:val="20"/>
        </w:rPr>
        <w:t>rse drug reactions were recorded</w:t>
      </w:r>
      <w:r w:rsidR="001408BF" w:rsidRPr="003E2FFC">
        <w:rPr>
          <w:rFonts w:ascii="Times New Roman" w:hAnsi="Times New Roman" w:cs="Times New Roman"/>
          <w:sz w:val="20"/>
        </w:rPr>
        <w:t>, investigated and treated.</w:t>
      </w:r>
      <w:r w:rsidR="00B06396" w:rsidRPr="003E2FFC">
        <w:rPr>
          <w:rFonts w:ascii="Times New Roman" w:hAnsi="Times New Roman" w:cs="Times New Roman"/>
          <w:sz w:val="20"/>
        </w:rPr>
        <w:t xml:space="preserve"> </w:t>
      </w:r>
      <w:r w:rsidR="001408BF" w:rsidRPr="003E2FFC">
        <w:rPr>
          <w:rFonts w:ascii="Times New Roman" w:hAnsi="Times New Roman" w:cs="Times New Roman"/>
          <w:sz w:val="20"/>
        </w:rPr>
        <w:t xml:space="preserve"> </w:t>
      </w:r>
    </w:p>
    <w:p w:rsidR="00351D0E" w:rsidRPr="003E2FFC" w:rsidRDefault="0037106C" w:rsidP="003E2FFC">
      <w:pPr>
        <w:spacing w:after="0" w:line="360" w:lineRule="auto"/>
        <w:jc w:val="both"/>
        <w:rPr>
          <w:rFonts w:ascii="Times New Roman" w:hAnsi="Times New Roman" w:cs="Times New Roman"/>
          <w:sz w:val="20"/>
        </w:rPr>
      </w:pPr>
      <w:r w:rsidRPr="003E2FFC">
        <w:rPr>
          <w:rFonts w:ascii="Times New Roman" w:hAnsi="Times New Roman" w:cs="Times New Roman"/>
          <w:sz w:val="20"/>
        </w:rPr>
        <w:t>Patients with abnormal</w:t>
      </w:r>
      <w:r w:rsidR="001826FB" w:rsidRPr="003E2FFC">
        <w:rPr>
          <w:rFonts w:ascii="Times New Roman" w:hAnsi="Times New Roman" w:cs="Times New Roman"/>
          <w:sz w:val="20"/>
        </w:rPr>
        <w:t xml:space="preserve"> baseline</w:t>
      </w:r>
      <w:r w:rsidRPr="003E2FFC">
        <w:rPr>
          <w:rFonts w:ascii="Times New Roman" w:hAnsi="Times New Roman" w:cs="Times New Roman"/>
          <w:sz w:val="20"/>
        </w:rPr>
        <w:t xml:space="preserve"> screening reports, alcoholic liver disease</w:t>
      </w:r>
      <w:r w:rsidR="006F7DCB" w:rsidRPr="003E2FFC">
        <w:rPr>
          <w:rFonts w:ascii="Times New Roman" w:hAnsi="Times New Roman" w:cs="Times New Roman"/>
          <w:sz w:val="20"/>
        </w:rPr>
        <w:t>, neuropathy, and nephropathy</w:t>
      </w:r>
      <w:r w:rsidRPr="003E2FFC">
        <w:rPr>
          <w:rFonts w:ascii="Times New Roman" w:hAnsi="Times New Roman" w:cs="Times New Roman"/>
          <w:sz w:val="20"/>
        </w:rPr>
        <w:t xml:space="preserve"> were excluded from study.</w:t>
      </w:r>
    </w:p>
    <w:p w:rsidR="00BA3ABD" w:rsidRPr="003E2FFC" w:rsidRDefault="00BA3ABD" w:rsidP="003E2FFC">
      <w:pPr>
        <w:shd w:val="clear" w:color="auto" w:fill="FFFFFF"/>
        <w:spacing w:after="0" w:line="360" w:lineRule="auto"/>
        <w:jc w:val="both"/>
        <w:rPr>
          <w:rFonts w:ascii="Times New Roman" w:eastAsia="Times New Roman" w:hAnsi="Times New Roman" w:cs="Times New Roman"/>
          <w:b/>
          <w:color w:val="222222"/>
          <w:sz w:val="20"/>
        </w:rPr>
      </w:pPr>
      <w:r w:rsidRPr="003E2FFC">
        <w:rPr>
          <w:rFonts w:ascii="Times New Roman" w:eastAsia="Times New Roman" w:hAnsi="Times New Roman" w:cs="Times New Roman"/>
          <w:b/>
          <w:color w:val="222222"/>
          <w:sz w:val="20"/>
        </w:rPr>
        <w:t>Statistical Methods:</w:t>
      </w:r>
    </w:p>
    <w:p w:rsidR="00BA3ABD" w:rsidRPr="003E2FFC" w:rsidRDefault="00BA3ABD" w:rsidP="003E2FFC">
      <w:pPr>
        <w:shd w:val="clear" w:color="auto" w:fill="FFFFFF"/>
        <w:spacing w:after="0" w:line="360" w:lineRule="auto"/>
        <w:jc w:val="both"/>
        <w:rPr>
          <w:rFonts w:ascii="Times New Roman" w:eastAsia="Times New Roman" w:hAnsi="Times New Roman" w:cs="Times New Roman"/>
          <w:color w:val="222222"/>
          <w:sz w:val="20"/>
        </w:rPr>
      </w:pPr>
      <w:r w:rsidRPr="003E2FFC">
        <w:rPr>
          <w:rFonts w:ascii="Times New Roman" w:eastAsia="Times New Roman" w:hAnsi="Times New Roman" w:cs="Times New Roman"/>
          <w:color w:val="222222"/>
          <w:sz w:val="20"/>
        </w:rPr>
        <w:t>The data on categorical variables is shown as n (% of cases). Being an observational non- comparative study, we did not compare the distributions of several categorical variables studied statistically. The entire data was entered and cleaned in MS Excel before its statistical analysis. All results are shown in tabular as well as graphical format to visualize the frequency distributions of variables studied more clearly.</w:t>
      </w:r>
    </w:p>
    <w:p w:rsidR="00BA3ABD" w:rsidRPr="003E2FFC" w:rsidRDefault="00BA3ABD" w:rsidP="003E2FFC">
      <w:pPr>
        <w:shd w:val="clear" w:color="auto" w:fill="FFFFFF"/>
        <w:spacing w:after="0" w:line="360" w:lineRule="auto"/>
        <w:jc w:val="both"/>
        <w:rPr>
          <w:rFonts w:ascii="Times New Roman" w:eastAsia="Times New Roman" w:hAnsi="Times New Roman" w:cs="Times New Roman"/>
          <w:color w:val="222222"/>
          <w:sz w:val="20"/>
        </w:rPr>
      </w:pPr>
      <w:r w:rsidRPr="003E2FFC">
        <w:rPr>
          <w:rFonts w:ascii="Times New Roman" w:eastAsia="Times New Roman" w:hAnsi="Times New Roman" w:cs="Times New Roman"/>
          <w:color w:val="222222"/>
          <w:sz w:val="20"/>
        </w:rPr>
        <w:t>The entire data is statistically analyzed using Statistical Package for Social Sciences (SPSS ver</w:t>
      </w:r>
      <w:r w:rsidR="005D5D67" w:rsidRPr="003E2FFC">
        <w:rPr>
          <w:rFonts w:ascii="Times New Roman" w:eastAsia="Times New Roman" w:hAnsi="Times New Roman" w:cs="Times New Roman"/>
          <w:color w:val="222222"/>
          <w:sz w:val="20"/>
        </w:rPr>
        <w:t>sion</w:t>
      </w:r>
      <w:r w:rsidRPr="003E2FFC">
        <w:rPr>
          <w:rFonts w:ascii="Times New Roman" w:eastAsia="Times New Roman" w:hAnsi="Times New Roman" w:cs="Times New Roman"/>
          <w:color w:val="222222"/>
          <w:sz w:val="20"/>
        </w:rPr>
        <w:t xml:space="preserve"> 21.0, IBM Corporation, USA) for MS Windows.</w:t>
      </w:r>
    </w:p>
    <w:p w:rsidR="00E044D7" w:rsidRPr="003E2FFC" w:rsidRDefault="00E044D7" w:rsidP="003E2FFC">
      <w:pPr>
        <w:shd w:val="clear" w:color="auto" w:fill="FFFFFF"/>
        <w:spacing w:after="0" w:line="360" w:lineRule="auto"/>
        <w:ind w:firstLine="720"/>
        <w:jc w:val="both"/>
        <w:rPr>
          <w:rFonts w:ascii="Times New Roman" w:eastAsia="Times New Roman" w:hAnsi="Times New Roman" w:cs="Times New Roman"/>
          <w:color w:val="222222"/>
          <w:sz w:val="20"/>
        </w:rPr>
      </w:pPr>
    </w:p>
    <w:p w:rsidR="00E044D7" w:rsidRPr="003E2FFC" w:rsidRDefault="003E2FFC" w:rsidP="003E2FFC">
      <w:pPr>
        <w:shd w:val="clear" w:color="auto" w:fill="FFFFFF"/>
        <w:spacing w:after="0" w:line="360" w:lineRule="auto"/>
        <w:jc w:val="both"/>
        <w:rPr>
          <w:rFonts w:ascii="Times New Roman" w:eastAsia="Times New Roman" w:hAnsi="Times New Roman" w:cs="Times New Roman"/>
          <w:b/>
          <w:color w:val="222222"/>
          <w:sz w:val="20"/>
        </w:rPr>
      </w:pPr>
      <w:r w:rsidRPr="003E2FFC">
        <w:rPr>
          <w:rFonts w:ascii="Times New Roman" w:eastAsia="Times New Roman" w:hAnsi="Times New Roman" w:cs="Times New Roman"/>
          <w:b/>
          <w:color w:val="222222"/>
          <w:sz w:val="20"/>
        </w:rPr>
        <w:t>RESULTS</w:t>
      </w:r>
    </w:p>
    <w:p w:rsidR="00351D0E" w:rsidRPr="003E2FFC" w:rsidRDefault="00351D0E" w:rsidP="003E2FFC">
      <w:pPr>
        <w:shd w:val="clear" w:color="auto" w:fill="FFFFFF"/>
        <w:spacing w:after="0" w:line="360" w:lineRule="auto"/>
        <w:jc w:val="both"/>
        <w:rPr>
          <w:rFonts w:ascii="Times New Roman" w:eastAsia="Times New Roman" w:hAnsi="Times New Roman" w:cs="Times New Roman"/>
          <w:color w:val="222222"/>
          <w:sz w:val="20"/>
        </w:rPr>
      </w:pPr>
      <w:r w:rsidRPr="003E2FFC">
        <w:rPr>
          <w:rFonts w:ascii="Times New Roman" w:eastAsia="Times New Roman" w:hAnsi="Times New Roman" w:cs="Times New Roman"/>
          <w:color w:val="222222"/>
          <w:sz w:val="20"/>
        </w:rPr>
        <w:t>Total 89 diagnosed patients of Tuberculosis were included in study.</w:t>
      </w:r>
    </w:p>
    <w:p w:rsidR="00351D0E" w:rsidRPr="003E2FFC" w:rsidRDefault="00351D0E" w:rsidP="003E2FFC">
      <w:pPr>
        <w:spacing w:after="0" w:line="360" w:lineRule="auto"/>
        <w:jc w:val="both"/>
        <w:rPr>
          <w:rFonts w:ascii="Times New Roman" w:hAnsi="Times New Roman" w:cs="Times New Roman"/>
          <w:sz w:val="20"/>
        </w:rPr>
      </w:pPr>
      <w:r w:rsidRPr="003E2FFC">
        <w:rPr>
          <w:rFonts w:ascii="Times New Roman" w:hAnsi="Times New Roman" w:cs="Times New Roman"/>
          <w:sz w:val="20"/>
        </w:rPr>
        <w:t>Distribution of mean ± SD of age of cases studied was 34.3 ± 13.8 years with minimum – maximum age range 12 – 71 years.</w:t>
      </w:r>
    </w:p>
    <w:p w:rsidR="003E2FFC" w:rsidRDefault="003E2FFC" w:rsidP="003E2FFC">
      <w:pPr>
        <w:spacing w:after="0" w:line="360" w:lineRule="auto"/>
        <w:jc w:val="both"/>
        <w:rPr>
          <w:rFonts w:ascii="Times New Roman" w:hAnsi="Times New Roman" w:cs="Times New Roman"/>
          <w:b/>
          <w:sz w:val="20"/>
        </w:rPr>
      </w:pPr>
    </w:p>
    <w:p w:rsidR="003E2FFC" w:rsidRDefault="003E2FFC" w:rsidP="003E2FFC">
      <w:pPr>
        <w:spacing w:after="0" w:line="360" w:lineRule="auto"/>
        <w:jc w:val="both"/>
        <w:rPr>
          <w:rFonts w:ascii="Times New Roman" w:hAnsi="Times New Roman" w:cs="Times New Roman"/>
          <w:b/>
          <w:sz w:val="20"/>
        </w:rPr>
      </w:pPr>
    </w:p>
    <w:p w:rsidR="003E2FFC" w:rsidRDefault="003E2FFC" w:rsidP="003E2FFC">
      <w:pPr>
        <w:spacing w:after="0" w:line="360" w:lineRule="auto"/>
        <w:jc w:val="both"/>
        <w:rPr>
          <w:rFonts w:ascii="Times New Roman" w:hAnsi="Times New Roman" w:cs="Times New Roman"/>
          <w:b/>
          <w:sz w:val="20"/>
        </w:rPr>
      </w:pPr>
    </w:p>
    <w:p w:rsidR="003E2FFC" w:rsidRDefault="003E2FFC" w:rsidP="003E2FFC">
      <w:pPr>
        <w:spacing w:after="0" w:line="360" w:lineRule="auto"/>
        <w:jc w:val="both"/>
        <w:rPr>
          <w:rFonts w:ascii="Times New Roman" w:hAnsi="Times New Roman" w:cs="Times New Roman"/>
          <w:b/>
          <w:sz w:val="20"/>
        </w:rPr>
      </w:pPr>
    </w:p>
    <w:p w:rsidR="003E2FFC" w:rsidRDefault="003E2FFC" w:rsidP="003E2FFC">
      <w:pPr>
        <w:spacing w:after="0" w:line="360" w:lineRule="auto"/>
        <w:jc w:val="both"/>
        <w:rPr>
          <w:rFonts w:ascii="Times New Roman" w:hAnsi="Times New Roman" w:cs="Times New Roman"/>
          <w:b/>
          <w:sz w:val="20"/>
        </w:rPr>
      </w:pPr>
    </w:p>
    <w:p w:rsidR="003E2FFC" w:rsidRDefault="003E2FFC" w:rsidP="003E2FFC">
      <w:pPr>
        <w:spacing w:after="0" w:line="360" w:lineRule="auto"/>
        <w:jc w:val="both"/>
        <w:rPr>
          <w:rFonts w:ascii="Times New Roman" w:hAnsi="Times New Roman" w:cs="Times New Roman"/>
          <w:b/>
          <w:sz w:val="20"/>
        </w:rPr>
      </w:pPr>
    </w:p>
    <w:p w:rsidR="00974BDD" w:rsidRPr="003E2FFC" w:rsidRDefault="00974BDD" w:rsidP="003E2FFC">
      <w:pPr>
        <w:spacing w:after="0" w:line="360" w:lineRule="auto"/>
        <w:jc w:val="both"/>
        <w:rPr>
          <w:rFonts w:ascii="Times New Roman" w:hAnsi="Times New Roman" w:cs="Times New Roman"/>
          <w:b/>
          <w:sz w:val="20"/>
        </w:rPr>
      </w:pPr>
      <w:r w:rsidRPr="003E2FFC">
        <w:rPr>
          <w:rFonts w:ascii="Times New Roman" w:hAnsi="Times New Roman" w:cs="Times New Roman"/>
          <w:b/>
          <w:sz w:val="20"/>
        </w:rPr>
        <w:t>Table 1) Age distribution of cases studied.</w:t>
      </w:r>
    </w:p>
    <w:tbl>
      <w:tblPr>
        <w:tblStyle w:val="TableGrid"/>
        <w:tblW w:w="0" w:type="auto"/>
        <w:tblLook w:val="04A0" w:firstRow="1" w:lastRow="0" w:firstColumn="1" w:lastColumn="0" w:noHBand="0" w:noVBand="1"/>
      </w:tblPr>
      <w:tblGrid>
        <w:gridCol w:w="3192"/>
        <w:gridCol w:w="3192"/>
        <w:gridCol w:w="3192"/>
      </w:tblGrid>
      <w:tr w:rsidR="00974BDD" w:rsidRPr="003E2FFC" w:rsidTr="002F07D0">
        <w:tc>
          <w:tcPr>
            <w:tcW w:w="3192" w:type="dxa"/>
            <w:tcBorders>
              <w:bottom w:val="single" w:sz="4" w:space="0" w:color="000000" w:themeColor="text1"/>
            </w:tcBorders>
          </w:tcPr>
          <w:p w:rsidR="00974BDD" w:rsidRPr="003E2FFC" w:rsidRDefault="00974BDD" w:rsidP="003E2FFC">
            <w:pPr>
              <w:spacing w:line="360" w:lineRule="auto"/>
              <w:jc w:val="both"/>
              <w:rPr>
                <w:rFonts w:ascii="Times New Roman" w:hAnsi="Times New Roman" w:cs="Times New Roman"/>
                <w:b/>
                <w:sz w:val="20"/>
              </w:rPr>
            </w:pPr>
            <w:r w:rsidRPr="003E2FFC">
              <w:rPr>
                <w:rFonts w:ascii="Times New Roman" w:hAnsi="Times New Roman" w:cs="Times New Roman"/>
                <w:b/>
                <w:sz w:val="20"/>
              </w:rPr>
              <w:t>Age Group (years)</w:t>
            </w:r>
          </w:p>
        </w:tc>
        <w:tc>
          <w:tcPr>
            <w:tcW w:w="3192" w:type="dxa"/>
            <w:tcBorders>
              <w:bottom w:val="single" w:sz="4" w:space="0" w:color="000000" w:themeColor="text1"/>
            </w:tcBorders>
          </w:tcPr>
          <w:p w:rsidR="00974BDD" w:rsidRPr="003E2FFC" w:rsidRDefault="00974BDD" w:rsidP="003E2FFC">
            <w:pPr>
              <w:spacing w:line="360" w:lineRule="auto"/>
              <w:jc w:val="both"/>
              <w:rPr>
                <w:rFonts w:ascii="Times New Roman" w:hAnsi="Times New Roman" w:cs="Times New Roman"/>
                <w:b/>
                <w:sz w:val="20"/>
              </w:rPr>
            </w:pPr>
            <w:r w:rsidRPr="003E2FFC">
              <w:rPr>
                <w:rFonts w:ascii="Times New Roman" w:hAnsi="Times New Roman" w:cs="Times New Roman"/>
                <w:b/>
                <w:sz w:val="20"/>
              </w:rPr>
              <w:t>No. of cases</w:t>
            </w:r>
          </w:p>
        </w:tc>
        <w:tc>
          <w:tcPr>
            <w:tcW w:w="3192" w:type="dxa"/>
            <w:tcBorders>
              <w:bottom w:val="single" w:sz="4" w:space="0" w:color="000000" w:themeColor="text1"/>
            </w:tcBorders>
          </w:tcPr>
          <w:p w:rsidR="00974BDD" w:rsidRPr="003E2FFC" w:rsidRDefault="00974BDD" w:rsidP="003E2FFC">
            <w:pPr>
              <w:spacing w:line="360" w:lineRule="auto"/>
              <w:jc w:val="both"/>
              <w:rPr>
                <w:rFonts w:ascii="Times New Roman" w:hAnsi="Times New Roman" w:cs="Times New Roman"/>
                <w:b/>
                <w:sz w:val="20"/>
              </w:rPr>
            </w:pPr>
            <w:r w:rsidRPr="003E2FFC">
              <w:rPr>
                <w:rFonts w:ascii="Times New Roman" w:hAnsi="Times New Roman" w:cs="Times New Roman"/>
                <w:b/>
                <w:sz w:val="20"/>
              </w:rPr>
              <w:t>% of cases</w:t>
            </w:r>
          </w:p>
        </w:tc>
      </w:tr>
      <w:tr w:rsidR="00974BDD" w:rsidRPr="003E2FFC" w:rsidTr="002F07D0">
        <w:tc>
          <w:tcPr>
            <w:tcW w:w="3192" w:type="dxa"/>
            <w:tcBorders>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11 – 20</w:t>
            </w:r>
          </w:p>
        </w:tc>
        <w:tc>
          <w:tcPr>
            <w:tcW w:w="3192" w:type="dxa"/>
            <w:tcBorders>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12</w:t>
            </w:r>
          </w:p>
        </w:tc>
        <w:tc>
          <w:tcPr>
            <w:tcW w:w="3192" w:type="dxa"/>
            <w:tcBorders>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13.5</w:t>
            </w:r>
          </w:p>
        </w:tc>
      </w:tr>
      <w:tr w:rsidR="00974BDD" w:rsidRPr="003E2FFC" w:rsidTr="002F07D0">
        <w:tc>
          <w:tcPr>
            <w:tcW w:w="3192" w:type="dxa"/>
            <w:tcBorders>
              <w:top w:val="nil"/>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21 – 30</w:t>
            </w:r>
          </w:p>
        </w:tc>
        <w:tc>
          <w:tcPr>
            <w:tcW w:w="3192" w:type="dxa"/>
            <w:tcBorders>
              <w:top w:val="nil"/>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33</w:t>
            </w:r>
          </w:p>
        </w:tc>
        <w:tc>
          <w:tcPr>
            <w:tcW w:w="3192" w:type="dxa"/>
            <w:tcBorders>
              <w:top w:val="nil"/>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37.1</w:t>
            </w:r>
          </w:p>
        </w:tc>
      </w:tr>
      <w:tr w:rsidR="00974BDD" w:rsidRPr="003E2FFC" w:rsidTr="002F07D0">
        <w:tc>
          <w:tcPr>
            <w:tcW w:w="3192" w:type="dxa"/>
            <w:tcBorders>
              <w:top w:val="nil"/>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31 – 40</w:t>
            </w:r>
          </w:p>
        </w:tc>
        <w:tc>
          <w:tcPr>
            <w:tcW w:w="3192" w:type="dxa"/>
            <w:tcBorders>
              <w:top w:val="nil"/>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22</w:t>
            </w:r>
          </w:p>
        </w:tc>
        <w:tc>
          <w:tcPr>
            <w:tcW w:w="3192" w:type="dxa"/>
            <w:tcBorders>
              <w:top w:val="nil"/>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24.7</w:t>
            </w:r>
          </w:p>
        </w:tc>
      </w:tr>
      <w:tr w:rsidR="00974BDD" w:rsidRPr="003E2FFC" w:rsidTr="002F07D0">
        <w:tc>
          <w:tcPr>
            <w:tcW w:w="3192" w:type="dxa"/>
            <w:tcBorders>
              <w:top w:val="nil"/>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41 – 50</w:t>
            </w:r>
          </w:p>
        </w:tc>
        <w:tc>
          <w:tcPr>
            <w:tcW w:w="3192" w:type="dxa"/>
            <w:tcBorders>
              <w:top w:val="nil"/>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7</w:t>
            </w:r>
          </w:p>
        </w:tc>
        <w:tc>
          <w:tcPr>
            <w:tcW w:w="3192" w:type="dxa"/>
            <w:tcBorders>
              <w:top w:val="nil"/>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7.9</w:t>
            </w:r>
          </w:p>
        </w:tc>
      </w:tr>
      <w:tr w:rsidR="00974BDD" w:rsidRPr="003E2FFC" w:rsidTr="002F07D0">
        <w:tc>
          <w:tcPr>
            <w:tcW w:w="3192" w:type="dxa"/>
            <w:tcBorders>
              <w:top w:val="nil"/>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51 – 60</w:t>
            </w:r>
          </w:p>
        </w:tc>
        <w:tc>
          <w:tcPr>
            <w:tcW w:w="3192" w:type="dxa"/>
            <w:tcBorders>
              <w:top w:val="nil"/>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10</w:t>
            </w:r>
          </w:p>
        </w:tc>
        <w:tc>
          <w:tcPr>
            <w:tcW w:w="3192" w:type="dxa"/>
            <w:tcBorders>
              <w:top w:val="nil"/>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11.2</w:t>
            </w:r>
          </w:p>
        </w:tc>
      </w:tr>
      <w:tr w:rsidR="00974BDD" w:rsidRPr="003E2FFC" w:rsidTr="002F07D0">
        <w:tc>
          <w:tcPr>
            <w:tcW w:w="3192" w:type="dxa"/>
            <w:tcBorders>
              <w:top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&gt;60</w:t>
            </w:r>
          </w:p>
        </w:tc>
        <w:tc>
          <w:tcPr>
            <w:tcW w:w="3192" w:type="dxa"/>
            <w:tcBorders>
              <w:top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5</w:t>
            </w:r>
          </w:p>
        </w:tc>
        <w:tc>
          <w:tcPr>
            <w:tcW w:w="3192" w:type="dxa"/>
            <w:tcBorders>
              <w:top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5.6</w:t>
            </w:r>
          </w:p>
        </w:tc>
      </w:tr>
      <w:tr w:rsidR="00974BDD" w:rsidRPr="003E2FFC" w:rsidTr="002F07D0">
        <w:tc>
          <w:tcPr>
            <w:tcW w:w="3192" w:type="dxa"/>
          </w:tcPr>
          <w:p w:rsidR="00974BDD" w:rsidRPr="003E2FFC" w:rsidRDefault="00974BDD" w:rsidP="003E2FFC">
            <w:pPr>
              <w:spacing w:line="360" w:lineRule="auto"/>
              <w:jc w:val="both"/>
              <w:rPr>
                <w:rFonts w:ascii="Times New Roman" w:hAnsi="Times New Roman" w:cs="Times New Roman"/>
                <w:b/>
                <w:sz w:val="20"/>
              </w:rPr>
            </w:pPr>
            <w:r w:rsidRPr="003E2FFC">
              <w:rPr>
                <w:rFonts w:ascii="Times New Roman" w:hAnsi="Times New Roman" w:cs="Times New Roman"/>
                <w:b/>
                <w:sz w:val="20"/>
              </w:rPr>
              <w:t>Total</w:t>
            </w:r>
          </w:p>
        </w:tc>
        <w:tc>
          <w:tcPr>
            <w:tcW w:w="3192" w:type="dxa"/>
          </w:tcPr>
          <w:p w:rsidR="00974BDD" w:rsidRPr="003E2FFC" w:rsidRDefault="00974BDD" w:rsidP="003E2FFC">
            <w:pPr>
              <w:spacing w:line="360" w:lineRule="auto"/>
              <w:jc w:val="both"/>
              <w:rPr>
                <w:rFonts w:ascii="Times New Roman" w:hAnsi="Times New Roman" w:cs="Times New Roman"/>
                <w:b/>
                <w:sz w:val="20"/>
              </w:rPr>
            </w:pPr>
            <w:r w:rsidRPr="003E2FFC">
              <w:rPr>
                <w:rFonts w:ascii="Times New Roman" w:hAnsi="Times New Roman" w:cs="Times New Roman"/>
                <w:b/>
                <w:sz w:val="20"/>
              </w:rPr>
              <w:t>89</w:t>
            </w:r>
          </w:p>
        </w:tc>
        <w:tc>
          <w:tcPr>
            <w:tcW w:w="3192" w:type="dxa"/>
          </w:tcPr>
          <w:p w:rsidR="00974BDD" w:rsidRPr="003E2FFC" w:rsidRDefault="00974BDD" w:rsidP="003E2FFC">
            <w:pPr>
              <w:spacing w:line="360" w:lineRule="auto"/>
              <w:jc w:val="both"/>
              <w:rPr>
                <w:rFonts w:ascii="Times New Roman" w:hAnsi="Times New Roman" w:cs="Times New Roman"/>
                <w:b/>
                <w:sz w:val="20"/>
              </w:rPr>
            </w:pPr>
            <w:r w:rsidRPr="003E2FFC">
              <w:rPr>
                <w:rFonts w:ascii="Times New Roman" w:hAnsi="Times New Roman" w:cs="Times New Roman"/>
                <w:b/>
                <w:sz w:val="20"/>
              </w:rPr>
              <w:t>100.0</w:t>
            </w:r>
          </w:p>
        </w:tc>
      </w:tr>
    </w:tbl>
    <w:p w:rsidR="00974BDD" w:rsidRPr="003E2FFC" w:rsidRDefault="00974BDD" w:rsidP="003E2FFC">
      <w:pPr>
        <w:spacing w:after="0" w:line="360" w:lineRule="auto"/>
        <w:jc w:val="both"/>
        <w:rPr>
          <w:rFonts w:ascii="Times New Roman" w:hAnsi="Times New Roman" w:cs="Times New Roman"/>
          <w:sz w:val="20"/>
        </w:rPr>
      </w:pPr>
    </w:p>
    <w:p w:rsidR="00974BDD" w:rsidRPr="003E2FFC" w:rsidRDefault="00974BDD" w:rsidP="003E2FFC">
      <w:pPr>
        <w:spacing w:after="0" w:line="360" w:lineRule="auto"/>
        <w:jc w:val="both"/>
        <w:rPr>
          <w:rFonts w:ascii="Times New Roman" w:hAnsi="Times New Roman" w:cs="Times New Roman"/>
          <w:sz w:val="20"/>
        </w:rPr>
      </w:pPr>
      <w:r w:rsidRPr="003E2FFC">
        <w:rPr>
          <w:rFonts w:ascii="Times New Roman" w:hAnsi="Times New Roman" w:cs="Times New Roman"/>
          <w:sz w:val="20"/>
        </w:rPr>
        <w:t>Of 89 cases studied, 12 (13.5%) had age between 11 – 20 years, 33 (37.1%) had age between 21 – 30 years, 22 (24.7%) had age between 31 – 40 years, 7 (7.9%) had age between 41 – 50 years, 10 (11.2%) had age between 51 – 60 years, 5 (5.6%) had age more than 60 years.</w:t>
      </w:r>
    </w:p>
    <w:p w:rsidR="00974BDD" w:rsidRPr="003E2FFC" w:rsidRDefault="00974BDD" w:rsidP="003E2FFC">
      <w:pPr>
        <w:spacing w:after="0" w:line="360" w:lineRule="auto"/>
        <w:jc w:val="both"/>
        <w:rPr>
          <w:rFonts w:ascii="Times New Roman" w:hAnsi="Times New Roman" w:cs="Times New Roman"/>
          <w:sz w:val="20"/>
        </w:rPr>
      </w:pPr>
      <w:r w:rsidRPr="003E2FFC">
        <w:rPr>
          <w:rFonts w:ascii="Times New Roman" w:hAnsi="Times New Roman" w:cs="Times New Roman"/>
          <w:noProof/>
          <w:sz w:val="20"/>
          <w:lang w:val="en-IN" w:eastAsia="en-IN"/>
        </w:rPr>
        <w:drawing>
          <wp:inline distT="0" distB="0" distL="0" distR="0" wp14:anchorId="0E75F8BC" wp14:editId="5ED3F29A">
            <wp:extent cx="57150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74BDD" w:rsidRPr="003E2FFC" w:rsidRDefault="00974BDD" w:rsidP="003E2FFC">
      <w:pPr>
        <w:spacing w:after="0" w:line="360" w:lineRule="auto"/>
        <w:jc w:val="both"/>
        <w:rPr>
          <w:rFonts w:ascii="Times New Roman" w:hAnsi="Times New Roman" w:cs="Times New Roman"/>
          <w:b/>
          <w:sz w:val="20"/>
        </w:rPr>
      </w:pPr>
      <w:r w:rsidRPr="003E2FFC">
        <w:rPr>
          <w:rFonts w:ascii="Times New Roman" w:hAnsi="Times New Roman" w:cs="Times New Roman"/>
          <w:b/>
          <w:sz w:val="20"/>
        </w:rPr>
        <w:t>Figure 1) Age distribution of cases studied.</w:t>
      </w:r>
    </w:p>
    <w:p w:rsidR="008D284A" w:rsidRPr="003E2FFC" w:rsidRDefault="008D284A" w:rsidP="003E2FFC">
      <w:pPr>
        <w:spacing w:after="0" w:line="360" w:lineRule="auto"/>
        <w:jc w:val="both"/>
        <w:rPr>
          <w:rFonts w:ascii="Times New Roman" w:hAnsi="Times New Roman" w:cs="Times New Roman"/>
          <w:b/>
          <w:sz w:val="20"/>
        </w:rPr>
      </w:pPr>
    </w:p>
    <w:p w:rsidR="00974BDD" w:rsidRPr="003E2FFC" w:rsidRDefault="00974BDD" w:rsidP="003E2FFC">
      <w:pPr>
        <w:spacing w:after="0" w:line="360" w:lineRule="auto"/>
        <w:jc w:val="both"/>
        <w:rPr>
          <w:rFonts w:ascii="Times New Roman" w:hAnsi="Times New Roman" w:cs="Times New Roman"/>
          <w:b/>
          <w:sz w:val="20"/>
        </w:rPr>
      </w:pPr>
      <w:r w:rsidRPr="003E2FFC">
        <w:rPr>
          <w:rFonts w:ascii="Times New Roman" w:hAnsi="Times New Roman" w:cs="Times New Roman"/>
          <w:b/>
          <w:sz w:val="20"/>
        </w:rPr>
        <w:t>Table 2) Sex distribution of cases studied.</w:t>
      </w:r>
    </w:p>
    <w:tbl>
      <w:tblPr>
        <w:tblStyle w:val="TableGrid"/>
        <w:tblW w:w="0" w:type="auto"/>
        <w:tblLook w:val="04A0" w:firstRow="1" w:lastRow="0" w:firstColumn="1" w:lastColumn="0" w:noHBand="0" w:noVBand="1"/>
      </w:tblPr>
      <w:tblGrid>
        <w:gridCol w:w="3192"/>
        <w:gridCol w:w="3192"/>
        <w:gridCol w:w="3192"/>
      </w:tblGrid>
      <w:tr w:rsidR="00974BDD" w:rsidRPr="003E2FFC" w:rsidTr="002F07D0">
        <w:tc>
          <w:tcPr>
            <w:tcW w:w="3192" w:type="dxa"/>
            <w:tcBorders>
              <w:bottom w:val="single" w:sz="4" w:space="0" w:color="000000" w:themeColor="text1"/>
            </w:tcBorders>
          </w:tcPr>
          <w:p w:rsidR="00974BDD" w:rsidRPr="003E2FFC" w:rsidRDefault="00974BDD" w:rsidP="003E2FFC">
            <w:pPr>
              <w:spacing w:line="360" w:lineRule="auto"/>
              <w:jc w:val="both"/>
              <w:rPr>
                <w:rFonts w:ascii="Times New Roman" w:hAnsi="Times New Roman" w:cs="Times New Roman"/>
                <w:b/>
                <w:sz w:val="20"/>
              </w:rPr>
            </w:pPr>
            <w:r w:rsidRPr="003E2FFC">
              <w:rPr>
                <w:rFonts w:ascii="Times New Roman" w:hAnsi="Times New Roman" w:cs="Times New Roman"/>
                <w:b/>
                <w:sz w:val="20"/>
              </w:rPr>
              <w:t>Sex</w:t>
            </w:r>
          </w:p>
        </w:tc>
        <w:tc>
          <w:tcPr>
            <w:tcW w:w="3192" w:type="dxa"/>
            <w:tcBorders>
              <w:bottom w:val="single" w:sz="4" w:space="0" w:color="000000" w:themeColor="text1"/>
            </w:tcBorders>
          </w:tcPr>
          <w:p w:rsidR="00974BDD" w:rsidRPr="003E2FFC" w:rsidRDefault="00974BDD" w:rsidP="003E2FFC">
            <w:pPr>
              <w:spacing w:line="360" w:lineRule="auto"/>
              <w:jc w:val="both"/>
              <w:rPr>
                <w:rFonts w:ascii="Times New Roman" w:hAnsi="Times New Roman" w:cs="Times New Roman"/>
                <w:b/>
                <w:sz w:val="20"/>
              </w:rPr>
            </w:pPr>
            <w:r w:rsidRPr="003E2FFC">
              <w:rPr>
                <w:rFonts w:ascii="Times New Roman" w:hAnsi="Times New Roman" w:cs="Times New Roman"/>
                <w:b/>
                <w:sz w:val="20"/>
              </w:rPr>
              <w:t>No. of cases</w:t>
            </w:r>
          </w:p>
        </w:tc>
        <w:tc>
          <w:tcPr>
            <w:tcW w:w="3192" w:type="dxa"/>
            <w:tcBorders>
              <w:bottom w:val="single" w:sz="4" w:space="0" w:color="000000" w:themeColor="text1"/>
            </w:tcBorders>
          </w:tcPr>
          <w:p w:rsidR="00974BDD" w:rsidRPr="003E2FFC" w:rsidRDefault="00974BDD" w:rsidP="003E2FFC">
            <w:pPr>
              <w:spacing w:line="360" w:lineRule="auto"/>
              <w:jc w:val="both"/>
              <w:rPr>
                <w:rFonts w:ascii="Times New Roman" w:hAnsi="Times New Roman" w:cs="Times New Roman"/>
                <w:b/>
                <w:sz w:val="20"/>
              </w:rPr>
            </w:pPr>
            <w:r w:rsidRPr="003E2FFC">
              <w:rPr>
                <w:rFonts w:ascii="Times New Roman" w:hAnsi="Times New Roman" w:cs="Times New Roman"/>
                <w:b/>
                <w:sz w:val="20"/>
              </w:rPr>
              <w:t>% of cases</w:t>
            </w:r>
          </w:p>
        </w:tc>
      </w:tr>
      <w:tr w:rsidR="00974BDD" w:rsidRPr="003E2FFC" w:rsidTr="002F07D0">
        <w:tc>
          <w:tcPr>
            <w:tcW w:w="3192" w:type="dxa"/>
            <w:tcBorders>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Male</w:t>
            </w:r>
          </w:p>
        </w:tc>
        <w:tc>
          <w:tcPr>
            <w:tcW w:w="3192" w:type="dxa"/>
            <w:tcBorders>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43</w:t>
            </w:r>
          </w:p>
        </w:tc>
        <w:tc>
          <w:tcPr>
            <w:tcW w:w="3192" w:type="dxa"/>
            <w:tcBorders>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48.3</w:t>
            </w:r>
          </w:p>
        </w:tc>
      </w:tr>
      <w:tr w:rsidR="00974BDD" w:rsidRPr="003E2FFC" w:rsidTr="002F07D0">
        <w:tc>
          <w:tcPr>
            <w:tcW w:w="3192" w:type="dxa"/>
            <w:tcBorders>
              <w:top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Female</w:t>
            </w:r>
          </w:p>
        </w:tc>
        <w:tc>
          <w:tcPr>
            <w:tcW w:w="3192" w:type="dxa"/>
            <w:tcBorders>
              <w:top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46</w:t>
            </w:r>
          </w:p>
        </w:tc>
        <w:tc>
          <w:tcPr>
            <w:tcW w:w="3192" w:type="dxa"/>
            <w:tcBorders>
              <w:top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51.7</w:t>
            </w:r>
          </w:p>
        </w:tc>
      </w:tr>
      <w:tr w:rsidR="00974BDD" w:rsidRPr="003E2FFC" w:rsidTr="002F07D0">
        <w:tc>
          <w:tcPr>
            <w:tcW w:w="3192" w:type="dxa"/>
          </w:tcPr>
          <w:p w:rsidR="00974BDD" w:rsidRPr="003E2FFC" w:rsidRDefault="00974BDD" w:rsidP="003E2FFC">
            <w:pPr>
              <w:spacing w:line="360" w:lineRule="auto"/>
              <w:jc w:val="both"/>
              <w:rPr>
                <w:rFonts w:ascii="Times New Roman" w:hAnsi="Times New Roman" w:cs="Times New Roman"/>
                <w:b/>
                <w:sz w:val="20"/>
              </w:rPr>
            </w:pPr>
            <w:r w:rsidRPr="003E2FFC">
              <w:rPr>
                <w:rFonts w:ascii="Times New Roman" w:hAnsi="Times New Roman" w:cs="Times New Roman"/>
                <w:b/>
                <w:sz w:val="20"/>
              </w:rPr>
              <w:t>Total</w:t>
            </w:r>
          </w:p>
        </w:tc>
        <w:tc>
          <w:tcPr>
            <w:tcW w:w="3192" w:type="dxa"/>
          </w:tcPr>
          <w:p w:rsidR="00974BDD" w:rsidRPr="003E2FFC" w:rsidRDefault="00974BDD" w:rsidP="003E2FFC">
            <w:pPr>
              <w:spacing w:line="360" w:lineRule="auto"/>
              <w:jc w:val="both"/>
              <w:rPr>
                <w:rFonts w:ascii="Times New Roman" w:hAnsi="Times New Roman" w:cs="Times New Roman"/>
                <w:b/>
                <w:sz w:val="20"/>
              </w:rPr>
            </w:pPr>
            <w:r w:rsidRPr="003E2FFC">
              <w:rPr>
                <w:rFonts w:ascii="Times New Roman" w:hAnsi="Times New Roman" w:cs="Times New Roman"/>
                <w:b/>
                <w:sz w:val="20"/>
              </w:rPr>
              <w:t>89</w:t>
            </w:r>
          </w:p>
        </w:tc>
        <w:tc>
          <w:tcPr>
            <w:tcW w:w="3192" w:type="dxa"/>
          </w:tcPr>
          <w:p w:rsidR="00974BDD" w:rsidRPr="003E2FFC" w:rsidRDefault="00974BDD" w:rsidP="003E2FFC">
            <w:pPr>
              <w:spacing w:line="360" w:lineRule="auto"/>
              <w:jc w:val="both"/>
              <w:rPr>
                <w:rFonts w:ascii="Times New Roman" w:hAnsi="Times New Roman" w:cs="Times New Roman"/>
                <w:b/>
                <w:sz w:val="20"/>
              </w:rPr>
            </w:pPr>
            <w:r w:rsidRPr="003E2FFC">
              <w:rPr>
                <w:rFonts w:ascii="Times New Roman" w:hAnsi="Times New Roman" w:cs="Times New Roman"/>
                <w:b/>
                <w:sz w:val="20"/>
              </w:rPr>
              <w:t>100.0</w:t>
            </w:r>
          </w:p>
        </w:tc>
      </w:tr>
    </w:tbl>
    <w:p w:rsidR="00974BDD" w:rsidRPr="003E2FFC" w:rsidRDefault="00974BDD" w:rsidP="003E2FFC">
      <w:pPr>
        <w:spacing w:after="0" w:line="360" w:lineRule="auto"/>
        <w:jc w:val="both"/>
        <w:rPr>
          <w:rFonts w:ascii="Times New Roman" w:hAnsi="Times New Roman" w:cs="Times New Roman"/>
          <w:sz w:val="20"/>
        </w:rPr>
      </w:pPr>
    </w:p>
    <w:p w:rsidR="00974BDD" w:rsidRPr="003E2FFC" w:rsidRDefault="00974BDD" w:rsidP="003E2FFC">
      <w:pPr>
        <w:spacing w:after="0" w:line="360" w:lineRule="auto"/>
        <w:jc w:val="both"/>
        <w:rPr>
          <w:rFonts w:ascii="Times New Roman" w:hAnsi="Times New Roman" w:cs="Times New Roman"/>
          <w:sz w:val="20"/>
        </w:rPr>
      </w:pPr>
      <w:r w:rsidRPr="003E2FFC">
        <w:rPr>
          <w:rFonts w:ascii="Times New Roman" w:hAnsi="Times New Roman" w:cs="Times New Roman"/>
          <w:sz w:val="20"/>
        </w:rPr>
        <w:lastRenderedPageBreak/>
        <w:t xml:space="preserve">Of 89 cases studied, 43 (48.3%) were males and 46 (51.7%) were females. Male to female sex ratio was </w:t>
      </w:r>
    </w:p>
    <w:p w:rsidR="00974BDD" w:rsidRPr="003E2FFC" w:rsidRDefault="00351D0E" w:rsidP="003E2FFC">
      <w:pPr>
        <w:spacing w:after="0" w:line="360" w:lineRule="auto"/>
        <w:jc w:val="both"/>
        <w:rPr>
          <w:rFonts w:ascii="Times New Roman" w:hAnsi="Times New Roman" w:cs="Times New Roman"/>
          <w:sz w:val="20"/>
        </w:rPr>
      </w:pPr>
      <w:proofErr w:type="gramStart"/>
      <w:r w:rsidRPr="003E2FFC">
        <w:rPr>
          <w:rFonts w:ascii="Times New Roman" w:hAnsi="Times New Roman" w:cs="Times New Roman"/>
          <w:sz w:val="20"/>
        </w:rPr>
        <w:t>0.93:</w:t>
      </w:r>
      <w:r w:rsidR="00974BDD" w:rsidRPr="003E2FFC">
        <w:rPr>
          <w:rFonts w:ascii="Times New Roman" w:hAnsi="Times New Roman" w:cs="Times New Roman"/>
          <w:sz w:val="20"/>
        </w:rPr>
        <w:t>1.00.</w:t>
      </w:r>
      <w:proofErr w:type="gramEnd"/>
    </w:p>
    <w:p w:rsidR="00974BDD" w:rsidRPr="003E2FFC" w:rsidRDefault="00974BDD" w:rsidP="003E2FFC">
      <w:pPr>
        <w:spacing w:after="0" w:line="360" w:lineRule="auto"/>
        <w:jc w:val="both"/>
        <w:rPr>
          <w:rFonts w:ascii="Times New Roman" w:hAnsi="Times New Roman" w:cs="Times New Roman"/>
          <w:sz w:val="20"/>
        </w:rPr>
      </w:pPr>
    </w:p>
    <w:p w:rsidR="00974BDD" w:rsidRPr="003E2FFC" w:rsidRDefault="00974BDD" w:rsidP="003E2FFC">
      <w:pPr>
        <w:spacing w:after="0" w:line="360" w:lineRule="auto"/>
        <w:jc w:val="both"/>
        <w:rPr>
          <w:rFonts w:ascii="Times New Roman" w:hAnsi="Times New Roman" w:cs="Times New Roman"/>
          <w:sz w:val="20"/>
        </w:rPr>
      </w:pPr>
      <w:r w:rsidRPr="003E2FFC">
        <w:rPr>
          <w:rFonts w:ascii="Times New Roman" w:hAnsi="Times New Roman" w:cs="Times New Roman"/>
          <w:noProof/>
          <w:sz w:val="20"/>
          <w:lang w:val="en-IN" w:eastAsia="en-IN"/>
        </w:rPr>
        <w:drawing>
          <wp:inline distT="0" distB="0" distL="0" distR="0" wp14:anchorId="040EE187" wp14:editId="49EEBAE1">
            <wp:extent cx="5486400" cy="32004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74BDD" w:rsidRPr="003E2FFC" w:rsidRDefault="00974BDD" w:rsidP="003E2FFC">
      <w:pPr>
        <w:spacing w:after="0" w:line="360" w:lineRule="auto"/>
        <w:jc w:val="both"/>
        <w:rPr>
          <w:rFonts w:ascii="Times New Roman" w:hAnsi="Times New Roman" w:cs="Times New Roman"/>
          <w:b/>
          <w:sz w:val="20"/>
        </w:rPr>
      </w:pPr>
      <w:r w:rsidRPr="003E2FFC">
        <w:rPr>
          <w:rFonts w:ascii="Times New Roman" w:hAnsi="Times New Roman" w:cs="Times New Roman"/>
          <w:b/>
          <w:sz w:val="20"/>
        </w:rPr>
        <w:t>Figure 2) Sex distribution of cases studied.</w:t>
      </w:r>
    </w:p>
    <w:p w:rsidR="008D284A" w:rsidRPr="003E2FFC" w:rsidRDefault="008D284A" w:rsidP="003E2FFC">
      <w:pPr>
        <w:spacing w:after="0" w:line="360" w:lineRule="auto"/>
        <w:jc w:val="both"/>
        <w:rPr>
          <w:rFonts w:ascii="Times New Roman" w:hAnsi="Times New Roman" w:cs="Times New Roman"/>
          <w:b/>
          <w:sz w:val="20"/>
        </w:rPr>
      </w:pPr>
    </w:p>
    <w:p w:rsidR="00974BDD" w:rsidRPr="003E2FFC" w:rsidRDefault="00974BDD" w:rsidP="003E2FFC">
      <w:pPr>
        <w:spacing w:after="0" w:line="360" w:lineRule="auto"/>
        <w:jc w:val="both"/>
        <w:rPr>
          <w:rFonts w:ascii="Times New Roman" w:hAnsi="Times New Roman" w:cs="Times New Roman"/>
          <w:sz w:val="20"/>
        </w:rPr>
      </w:pPr>
      <w:r w:rsidRPr="003E2FFC">
        <w:rPr>
          <w:rFonts w:ascii="Times New Roman" w:hAnsi="Times New Roman" w:cs="Times New Roman"/>
          <w:b/>
          <w:sz w:val="20"/>
        </w:rPr>
        <w:t>Table 3) Distribution of symptoms after ATT among the cases studied.</w:t>
      </w:r>
    </w:p>
    <w:tbl>
      <w:tblPr>
        <w:tblStyle w:val="TableGrid"/>
        <w:tblW w:w="0" w:type="auto"/>
        <w:tblLook w:val="04A0" w:firstRow="1" w:lastRow="0" w:firstColumn="1" w:lastColumn="0" w:noHBand="0" w:noVBand="1"/>
      </w:tblPr>
      <w:tblGrid>
        <w:gridCol w:w="3192"/>
        <w:gridCol w:w="3192"/>
        <w:gridCol w:w="3192"/>
      </w:tblGrid>
      <w:tr w:rsidR="00974BDD" w:rsidRPr="003E2FFC" w:rsidTr="002F07D0">
        <w:tc>
          <w:tcPr>
            <w:tcW w:w="3192" w:type="dxa"/>
            <w:tcBorders>
              <w:bottom w:val="single" w:sz="4" w:space="0" w:color="000000" w:themeColor="text1"/>
            </w:tcBorders>
          </w:tcPr>
          <w:p w:rsidR="00974BDD" w:rsidRPr="003E2FFC" w:rsidRDefault="00974BDD" w:rsidP="003E2FFC">
            <w:pPr>
              <w:spacing w:line="360" w:lineRule="auto"/>
              <w:jc w:val="both"/>
              <w:rPr>
                <w:rFonts w:ascii="Times New Roman" w:hAnsi="Times New Roman" w:cs="Times New Roman"/>
                <w:b/>
                <w:sz w:val="20"/>
              </w:rPr>
            </w:pPr>
            <w:r w:rsidRPr="003E2FFC">
              <w:rPr>
                <w:rFonts w:ascii="Times New Roman" w:hAnsi="Times New Roman" w:cs="Times New Roman"/>
                <w:b/>
                <w:sz w:val="20"/>
              </w:rPr>
              <w:t>Symptoms</w:t>
            </w:r>
          </w:p>
        </w:tc>
        <w:tc>
          <w:tcPr>
            <w:tcW w:w="3192" w:type="dxa"/>
            <w:tcBorders>
              <w:bottom w:val="single" w:sz="4" w:space="0" w:color="000000" w:themeColor="text1"/>
            </w:tcBorders>
          </w:tcPr>
          <w:p w:rsidR="00974BDD" w:rsidRPr="003E2FFC" w:rsidRDefault="00974BDD" w:rsidP="003E2FFC">
            <w:pPr>
              <w:spacing w:line="360" w:lineRule="auto"/>
              <w:jc w:val="both"/>
              <w:rPr>
                <w:rFonts w:ascii="Times New Roman" w:hAnsi="Times New Roman" w:cs="Times New Roman"/>
                <w:b/>
                <w:sz w:val="20"/>
              </w:rPr>
            </w:pPr>
            <w:r w:rsidRPr="003E2FFC">
              <w:rPr>
                <w:rFonts w:ascii="Times New Roman" w:hAnsi="Times New Roman" w:cs="Times New Roman"/>
                <w:b/>
                <w:sz w:val="20"/>
              </w:rPr>
              <w:t>No. of cases</w:t>
            </w:r>
          </w:p>
        </w:tc>
        <w:tc>
          <w:tcPr>
            <w:tcW w:w="3192" w:type="dxa"/>
            <w:tcBorders>
              <w:bottom w:val="single" w:sz="4" w:space="0" w:color="000000" w:themeColor="text1"/>
            </w:tcBorders>
          </w:tcPr>
          <w:p w:rsidR="00974BDD" w:rsidRPr="003E2FFC" w:rsidRDefault="00974BDD" w:rsidP="003E2FFC">
            <w:pPr>
              <w:spacing w:line="360" w:lineRule="auto"/>
              <w:jc w:val="both"/>
              <w:rPr>
                <w:rFonts w:ascii="Times New Roman" w:hAnsi="Times New Roman" w:cs="Times New Roman"/>
                <w:b/>
                <w:sz w:val="20"/>
              </w:rPr>
            </w:pPr>
            <w:r w:rsidRPr="003E2FFC">
              <w:rPr>
                <w:rFonts w:ascii="Times New Roman" w:hAnsi="Times New Roman" w:cs="Times New Roman"/>
                <w:b/>
                <w:sz w:val="20"/>
              </w:rPr>
              <w:t>% of cases</w:t>
            </w:r>
          </w:p>
        </w:tc>
      </w:tr>
      <w:tr w:rsidR="00974BDD" w:rsidRPr="003E2FFC" w:rsidTr="002F07D0">
        <w:tc>
          <w:tcPr>
            <w:tcW w:w="3192" w:type="dxa"/>
            <w:tcBorders>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Nil</w:t>
            </w:r>
          </w:p>
        </w:tc>
        <w:tc>
          <w:tcPr>
            <w:tcW w:w="3192" w:type="dxa"/>
            <w:tcBorders>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58</w:t>
            </w:r>
          </w:p>
        </w:tc>
        <w:tc>
          <w:tcPr>
            <w:tcW w:w="3192" w:type="dxa"/>
            <w:tcBorders>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65.2</w:t>
            </w:r>
          </w:p>
        </w:tc>
      </w:tr>
      <w:tr w:rsidR="00974BDD" w:rsidRPr="003E2FFC" w:rsidTr="002F07D0">
        <w:tc>
          <w:tcPr>
            <w:tcW w:w="3192" w:type="dxa"/>
            <w:tcBorders>
              <w:top w:val="nil"/>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Joint pain</w:t>
            </w:r>
            <w:r w:rsidR="00420E19" w:rsidRPr="003E2FFC">
              <w:rPr>
                <w:rFonts w:ascii="Times New Roman" w:hAnsi="Times New Roman" w:cs="Times New Roman"/>
                <w:sz w:val="20"/>
              </w:rPr>
              <w:t xml:space="preserve"> (Arthralgia)</w:t>
            </w:r>
          </w:p>
        </w:tc>
        <w:tc>
          <w:tcPr>
            <w:tcW w:w="3192" w:type="dxa"/>
            <w:tcBorders>
              <w:top w:val="nil"/>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14</w:t>
            </w:r>
          </w:p>
        </w:tc>
        <w:tc>
          <w:tcPr>
            <w:tcW w:w="3192" w:type="dxa"/>
            <w:tcBorders>
              <w:top w:val="nil"/>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15.7</w:t>
            </w:r>
          </w:p>
        </w:tc>
      </w:tr>
      <w:tr w:rsidR="00974BDD" w:rsidRPr="003E2FFC" w:rsidTr="002F07D0">
        <w:tc>
          <w:tcPr>
            <w:tcW w:w="3192" w:type="dxa"/>
            <w:tcBorders>
              <w:top w:val="nil"/>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Nausea, vomiting</w:t>
            </w:r>
          </w:p>
        </w:tc>
        <w:tc>
          <w:tcPr>
            <w:tcW w:w="3192" w:type="dxa"/>
            <w:tcBorders>
              <w:top w:val="nil"/>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10</w:t>
            </w:r>
          </w:p>
        </w:tc>
        <w:tc>
          <w:tcPr>
            <w:tcW w:w="3192" w:type="dxa"/>
            <w:tcBorders>
              <w:top w:val="nil"/>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11.2</w:t>
            </w:r>
          </w:p>
        </w:tc>
      </w:tr>
      <w:tr w:rsidR="00974BDD" w:rsidRPr="003E2FFC" w:rsidTr="002F07D0">
        <w:tc>
          <w:tcPr>
            <w:tcW w:w="3192" w:type="dxa"/>
            <w:tcBorders>
              <w:top w:val="nil"/>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Itching, Rash</w:t>
            </w:r>
          </w:p>
        </w:tc>
        <w:tc>
          <w:tcPr>
            <w:tcW w:w="3192" w:type="dxa"/>
            <w:tcBorders>
              <w:top w:val="nil"/>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3</w:t>
            </w:r>
          </w:p>
        </w:tc>
        <w:tc>
          <w:tcPr>
            <w:tcW w:w="3192" w:type="dxa"/>
            <w:tcBorders>
              <w:top w:val="nil"/>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3.4</w:t>
            </w:r>
          </w:p>
        </w:tc>
      </w:tr>
      <w:tr w:rsidR="00974BDD" w:rsidRPr="003E2FFC" w:rsidTr="002F07D0">
        <w:tc>
          <w:tcPr>
            <w:tcW w:w="3192" w:type="dxa"/>
            <w:tcBorders>
              <w:top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Other</w:t>
            </w:r>
          </w:p>
        </w:tc>
        <w:tc>
          <w:tcPr>
            <w:tcW w:w="3192" w:type="dxa"/>
            <w:tcBorders>
              <w:top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4</w:t>
            </w:r>
          </w:p>
        </w:tc>
        <w:tc>
          <w:tcPr>
            <w:tcW w:w="3192" w:type="dxa"/>
            <w:tcBorders>
              <w:top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4.4</w:t>
            </w:r>
          </w:p>
        </w:tc>
      </w:tr>
      <w:tr w:rsidR="00974BDD" w:rsidRPr="003E2FFC" w:rsidTr="002F07D0">
        <w:tc>
          <w:tcPr>
            <w:tcW w:w="3192" w:type="dxa"/>
          </w:tcPr>
          <w:p w:rsidR="00974BDD" w:rsidRPr="003E2FFC" w:rsidRDefault="00974BDD" w:rsidP="003E2FFC">
            <w:pPr>
              <w:spacing w:line="360" w:lineRule="auto"/>
              <w:jc w:val="both"/>
              <w:rPr>
                <w:rFonts w:ascii="Times New Roman" w:hAnsi="Times New Roman" w:cs="Times New Roman"/>
                <w:b/>
                <w:sz w:val="20"/>
              </w:rPr>
            </w:pPr>
            <w:r w:rsidRPr="003E2FFC">
              <w:rPr>
                <w:rFonts w:ascii="Times New Roman" w:hAnsi="Times New Roman" w:cs="Times New Roman"/>
                <w:b/>
                <w:sz w:val="20"/>
              </w:rPr>
              <w:t>Total</w:t>
            </w:r>
          </w:p>
        </w:tc>
        <w:tc>
          <w:tcPr>
            <w:tcW w:w="3192" w:type="dxa"/>
          </w:tcPr>
          <w:p w:rsidR="00974BDD" w:rsidRPr="003E2FFC" w:rsidRDefault="00974BDD" w:rsidP="003E2FFC">
            <w:pPr>
              <w:spacing w:line="360" w:lineRule="auto"/>
              <w:jc w:val="both"/>
              <w:rPr>
                <w:rFonts w:ascii="Times New Roman" w:hAnsi="Times New Roman" w:cs="Times New Roman"/>
                <w:b/>
                <w:sz w:val="20"/>
              </w:rPr>
            </w:pPr>
            <w:r w:rsidRPr="003E2FFC">
              <w:rPr>
                <w:rFonts w:ascii="Times New Roman" w:hAnsi="Times New Roman" w:cs="Times New Roman"/>
                <w:b/>
                <w:sz w:val="20"/>
              </w:rPr>
              <w:t>89</w:t>
            </w:r>
          </w:p>
        </w:tc>
        <w:tc>
          <w:tcPr>
            <w:tcW w:w="3192" w:type="dxa"/>
          </w:tcPr>
          <w:p w:rsidR="00974BDD" w:rsidRPr="003E2FFC" w:rsidRDefault="00974BDD" w:rsidP="003E2FFC">
            <w:pPr>
              <w:spacing w:line="360" w:lineRule="auto"/>
              <w:jc w:val="both"/>
              <w:rPr>
                <w:rFonts w:ascii="Times New Roman" w:hAnsi="Times New Roman" w:cs="Times New Roman"/>
                <w:b/>
                <w:sz w:val="20"/>
              </w:rPr>
            </w:pPr>
            <w:r w:rsidRPr="003E2FFC">
              <w:rPr>
                <w:rFonts w:ascii="Times New Roman" w:hAnsi="Times New Roman" w:cs="Times New Roman"/>
                <w:b/>
                <w:sz w:val="20"/>
              </w:rPr>
              <w:t>100.0</w:t>
            </w:r>
          </w:p>
        </w:tc>
      </w:tr>
    </w:tbl>
    <w:p w:rsidR="00974BDD" w:rsidRPr="003E2FFC" w:rsidRDefault="00974BDD" w:rsidP="003E2FFC">
      <w:pPr>
        <w:spacing w:after="0" w:line="360" w:lineRule="auto"/>
        <w:jc w:val="both"/>
        <w:rPr>
          <w:rFonts w:ascii="Times New Roman" w:hAnsi="Times New Roman" w:cs="Times New Roman"/>
          <w:sz w:val="20"/>
        </w:rPr>
      </w:pPr>
    </w:p>
    <w:p w:rsidR="00974BDD" w:rsidRPr="003E2FFC" w:rsidRDefault="000D51BF" w:rsidP="003E2FFC">
      <w:pPr>
        <w:spacing w:after="0" w:line="360" w:lineRule="auto"/>
        <w:jc w:val="both"/>
        <w:rPr>
          <w:rFonts w:ascii="Times New Roman" w:hAnsi="Times New Roman" w:cs="Times New Roman"/>
          <w:sz w:val="20"/>
        </w:rPr>
      </w:pPr>
      <w:r w:rsidRPr="003E2FFC">
        <w:rPr>
          <w:rFonts w:ascii="Times New Roman" w:hAnsi="Times New Roman" w:cs="Times New Roman"/>
          <w:sz w:val="20"/>
        </w:rPr>
        <w:t>Of 89 cases studied, 58</w:t>
      </w:r>
      <w:r w:rsidR="00974BDD" w:rsidRPr="003E2FFC">
        <w:rPr>
          <w:rFonts w:ascii="Times New Roman" w:hAnsi="Times New Roman" w:cs="Times New Roman"/>
          <w:sz w:val="20"/>
        </w:rPr>
        <w:t xml:space="preserve"> (65.2%) did not have any symptoms, 14 (15.7%) had</w:t>
      </w:r>
      <w:r w:rsidRPr="003E2FFC">
        <w:rPr>
          <w:rFonts w:ascii="Times New Roman" w:hAnsi="Times New Roman" w:cs="Times New Roman"/>
          <w:sz w:val="20"/>
        </w:rPr>
        <w:t xml:space="preserve"> arthralgia</w:t>
      </w:r>
      <w:r w:rsidR="00C315DE" w:rsidRPr="003E2FFC">
        <w:rPr>
          <w:rFonts w:ascii="Times New Roman" w:hAnsi="Times New Roman" w:cs="Times New Roman"/>
          <w:sz w:val="20"/>
        </w:rPr>
        <w:t>, 10</w:t>
      </w:r>
      <w:r w:rsidR="00974BDD" w:rsidRPr="003E2FFC">
        <w:rPr>
          <w:rFonts w:ascii="Times New Roman" w:hAnsi="Times New Roman" w:cs="Times New Roman"/>
          <w:sz w:val="20"/>
        </w:rPr>
        <w:t xml:space="preserve"> (11.2%) had nausea and vomiting, 3 (3.4%) had itching, 4 (4.4%) had other symptoms in the study group. </w:t>
      </w:r>
    </w:p>
    <w:p w:rsidR="00974BDD" w:rsidRPr="003E2FFC" w:rsidRDefault="00974BDD" w:rsidP="003E2FFC">
      <w:pPr>
        <w:spacing w:after="0" w:line="360" w:lineRule="auto"/>
        <w:jc w:val="both"/>
        <w:rPr>
          <w:rFonts w:ascii="Times New Roman" w:hAnsi="Times New Roman" w:cs="Times New Roman"/>
          <w:sz w:val="20"/>
        </w:rPr>
      </w:pPr>
      <w:r w:rsidRPr="003E2FFC">
        <w:rPr>
          <w:rFonts w:ascii="Times New Roman" w:hAnsi="Times New Roman" w:cs="Times New Roman"/>
          <w:noProof/>
          <w:sz w:val="20"/>
          <w:lang w:val="en-IN" w:eastAsia="en-IN"/>
        </w:rPr>
        <w:lastRenderedPageBreak/>
        <w:drawing>
          <wp:inline distT="0" distB="0" distL="0" distR="0" wp14:anchorId="66842479" wp14:editId="767834E2">
            <wp:extent cx="5715000" cy="320040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4BDD" w:rsidRPr="003E2FFC" w:rsidRDefault="00974BDD" w:rsidP="003E2FFC">
      <w:pPr>
        <w:spacing w:after="0" w:line="360" w:lineRule="auto"/>
        <w:jc w:val="both"/>
        <w:rPr>
          <w:rFonts w:ascii="Times New Roman" w:hAnsi="Times New Roman" w:cs="Times New Roman"/>
          <w:b/>
          <w:sz w:val="20"/>
        </w:rPr>
      </w:pPr>
      <w:r w:rsidRPr="003E2FFC">
        <w:rPr>
          <w:rFonts w:ascii="Times New Roman" w:hAnsi="Times New Roman" w:cs="Times New Roman"/>
          <w:b/>
          <w:sz w:val="20"/>
        </w:rPr>
        <w:t>Figure 3) Distribution of symptoms after ATT among the cases studied.</w:t>
      </w:r>
    </w:p>
    <w:p w:rsidR="008D284A" w:rsidRPr="003E2FFC" w:rsidRDefault="008D284A" w:rsidP="003E2FFC">
      <w:pPr>
        <w:spacing w:after="0" w:line="360" w:lineRule="auto"/>
        <w:jc w:val="both"/>
        <w:rPr>
          <w:rFonts w:ascii="Times New Roman" w:hAnsi="Times New Roman" w:cs="Times New Roman"/>
          <w:b/>
          <w:sz w:val="20"/>
        </w:rPr>
      </w:pPr>
    </w:p>
    <w:p w:rsidR="00974BDD" w:rsidRPr="003E2FFC" w:rsidRDefault="00974BDD" w:rsidP="003E2FFC">
      <w:pPr>
        <w:spacing w:after="0" w:line="360" w:lineRule="auto"/>
        <w:jc w:val="both"/>
        <w:rPr>
          <w:rFonts w:ascii="Times New Roman" w:hAnsi="Times New Roman" w:cs="Times New Roman"/>
          <w:sz w:val="20"/>
        </w:rPr>
      </w:pPr>
      <w:r w:rsidRPr="003E2FFC">
        <w:rPr>
          <w:rFonts w:ascii="Times New Roman" w:hAnsi="Times New Roman" w:cs="Times New Roman"/>
          <w:b/>
          <w:sz w:val="20"/>
        </w:rPr>
        <w:t>Table 4) Distribution of adverse effects of ATT among the cases studied.</w:t>
      </w:r>
    </w:p>
    <w:tbl>
      <w:tblPr>
        <w:tblStyle w:val="TableGrid"/>
        <w:tblW w:w="0" w:type="auto"/>
        <w:tblLook w:val="04A0" w:firstRow="1" w:lastRow="0" w:firstColumn="1" w:lastColumn="0" w:noHBand="0" w:noVBand="1"/>
      </w:tblPr>
      <w:tblGrid>
        <w:gridCol w:w="3192"/>
        <w:gridCol w:w="3192"/>
        <w:gridCol w:w="3192"/>
      </w:tblGrid>
      <w:tr w:rsidR="00974BDD" w:rsidRPr="003E2FFC" w:rsidTr="002F07D0">
        <w:tc>
          <w:tcPr>
            <w:tcW w:w="3192" w:type="dxa"/>
            <w:tcBorders>
              <w:bottom w:val="single" w:sz="4" w:space="0" w:color="000000" w:themeColor="text1"/>
            </w:tcBorders>
          </w:tcPr>
          <w:p w:rsidR="00974BDD" w:rsidRPr="003E2FFC" w:rsidRDefault="00974BDD" w:rsidP="003E2FFC">
            <w:pPr>
              <w:spacing w:line="360" w:lineRule="auto"/>
              <w:jc w:val="both"/>
              <w:rPr>
                <w:rFonts w:ascii="Times New Roman" w:hAnsi="Times New Roman" w:cs="Times New Roman"/>
                <w:b/>
                <w:sz w:val="20"/>
              </w:rPr>
            </w:pPr>
            <w:r w:rsidRPr="003E2FFC">
              <w:rPr>
                <w:rFonts w:ascii="Times New Roman" w:hAnsi="Times New Roman" w:cs="Times New Roman"/>
                <w:b/>
                <w:sz w:val="20"/>
              </w:rPr>
              <w:t>Adverse effects</w:t>
            </w:r>
          </w:p>
        </w:tc>
        <w:tc>
          <w:tcPr>
            <w:tcW w:w="3192" w:type="dxa"/>
            <w:tcBorders>
              <w:bottom w:val="single" w:sz="4" w:space="0" w:color="000000" w:themeColor="text1"/>
            </w:tcBorders>
          </w:tcPr>
          <w:p w:rsidR="00974BDD" w:rsidRPr="003E2FFC" w:rsidRDefault="00974BDD" w:rsidP="003E2FFC">
            <w:pPr>
              <w:spacing w:line="360" w:lineRule="auto"/>
              <w:jc w:val="both"/>
              <w:rPr>
                <w:rFonts w:ascii="Times New Roman" w:hAnsi="Times New Roman" w:cs="Times New Roman"/>
                <w:b/>
                <w:sz w:val="20"/>
              </w:rPr>
            </w:pPr>
            <w:r w:rsidRPr="003E2FFC">
              <w:rPr>
                <w:rFonts w:ascii="Times New Roman" w:hAnsi="Times New Roman" w:cs="Times New Roman"/>
                <w:b/>
                <w:sz w:val="20"/>
              </w:rPr>
              <w:t>No. of cases</w:t>
            </w:r>
          </w:p>
        </w:tc>
        <w:tc>
          <w:tcPr>
            <w:tcW w:w="3192" w:type="dxa"/>
            <w:tcBorders>
              <w:bottom w:val="single" w:sz="4" w:space="0" w:color="000000" w:themeColor="text1"/>
            </w:tcBorders>
          </w:tcPr>
          <w:p w:rsidR="00974BDD" w:rsidRPr="003E2FFC" w:rsidRDefault="00974BDD" w:rsidP="003E2FFC">
            <w:pPr>
              <w:spacing w:line="360" w:lineRule="auto"/>
              <w:jc w:val="both"/>
              <w:rPr>
                <w:rFonts w:ascii="Times New Roman" w:hAnsi="Times New Roman" w:cs="Times New Roman"/>
                <w:b/>
                <w:sz w:val="20"/>
              </w:rPr>
            </w:pPr>
            <w:r w:rsidRPr="003E2FFC">
              <w:rPr>
                <w:rFonts w:ascii="Times New Roman" w:hAnsi="Times New Roman" w:cs="Times New Roman"/>
                <w:b/>
                <w:sz w:val="20"/>
              </w:rPr>
              <w:t>% of cases</w:t>
            </w:r>
          </w:p>
        </w:tc>
      </w:tr>
      <w:tr w:rsidR="00974BDD" w:rsidRPr="003E2FFC" w:rsidTr="002F07D0">
        <w:tc>
          <w:tcPr>
            <w:tcW w:w="3192" w:type="dxa"/>
            <w:tcBorders>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Nil</w:t>
            </w:r>
          </w:p>
        </w:tc>
        <w:tc>
          <w:tcPr>
            <w:tcW w:w="3192" w:type="dxa"/>
            <w:tcBorders>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60</w:t>
            </w:r>
          </w:p>
        </w:tc>
        <w:tc>
          <w:tcPr>
            <w:tcW w:w="3192" w:type="dxa"/>
            <w:tcBorders>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67.4</w:t>
            </w:r>
          </w:p>
        </w:tc>
      </w:tr>
      <w:tr w:rsidR="00974BDD" w:rsidRPr="003E2FFC" w:rsidTr="002F07D0">
        <w:tc>
          <w:tcPr>
            <w:tcW w:w="3192" w:type="dxa"/>
            <w:tcBorders>
              <w:top w:val="nil"/>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Hyperuricemia</w:t>
            </w:r>
          </w:p>
        </w:tc>
        <w:tc>
          <w:tcPr>
            <w:tcW w:w="3192" w:type="dxa"/>
            <w:tcBorders>
              <w:top w:val="nil"/>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1</w:t>
            </w:r>
            <w:r w:rsidR="00C315DE" w:rsidRPr="003E2FFC">
              <w:rPr>
                <w:rFonts w:ascii="Times New Roman" w:hAnsi="Times New Roman" w:cs="Times New Roman"/>
                <w:sz w:val="20"/>
              </w:rPr>
              <w:t>0</w:t>
            </w:r>
          </w:p>
        </w:tc>
        <w:tc>
          <w:tcPr>
            <w:tcW w:w="3192" w:type="dxa"/>
            <w:tcBorders>
              <w:top w:val="nil"/>
              <w:bottom w:val="nil"/>
            </w:tcBorders>
          </w:tcPr>
          <w:p w:rsidR="00974BDD" w:rsidRPr="003E2FFC" w:rsidRDefault="00C315DE" w:rsidP="003E2FFC">
            <w:pPr>
              <w:spacing w:line="360" w:lineRule="auto"/>
              <w:jc w:val="both"/>
              <w:rPr>
                <w:rFonts w:ascii="Times New Roman" w:hAnsi="Times New Roman" w:cs="Times New Roman"/>
                <w:sz w:val="20"/>
              </w:rPr>
            </w:pPr>
            <w:r w:rsidRPr="003E2FFC">
              <w:rPr>
                <w:rFonts w:ascii="Times New Roman" w:hAnsi="Times New Roman" w:cs="Times New Roman"/>
                <w:sz w:val="20"/>
              </w:rPr>
              <w:t>11.</w:t>
            </w:r>
            <w:r w:rsidR="00974BDD" w:rsidRPr="003E2FFC">
              <w:rPr>
                <w:rFonts w:ascii="Times New Roman" w:hAnsi="Times New Roman" w:cs="Times New Roman"/>
                <w:sz w:val="20"/>
              </w:rPr>
              <w:t>2</w:t>
            </w:r>
          </w:p>
        </w:tc>
      </w:tr>
      <w:tr w:rsidR="00974BDD" w:rsidRPr="003E2FFC" w:rsidTr="002F07D0">
        <w:tc>
          <w:tcPr>
            <w:tcW w:w="3192" w:type="dxa"/>
            <w:tcBorders>
              <w:top w:val="nil"/>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Gastritis</w:t>
            </w:r>
          </w:p>
        </w:tc>
        <w:tc>
          <w:tcPr>
            <w:tcW w:w="3192" w:type="dxa"/>
            <w:tcBorders>
              <w:top w:val="nil"/>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7</w:t>
            </w:r>
          </w:p>
        </w:tc>
        <w:tc>
          <w:tcPr>
            <w:tcW w:w="3192" w:type="dxa"/>
            <w:tcBorders>
              <w:top w:val="nil"/>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7.9</w:t>
            </w:r>
          </w:p>
        </w:tc>
      </w:tr>
      <w:tr w:rsidR="00974BDD" w:rsidRPr="003E2FFC" w:rsidTr="002F07D0">
        <w:tc>
          <w:tcPr>
            <w:tcW w:w="3192" w:type="dxa"/>
            <w:tcBorders>
              <w:top w:val="nil"/>
              <w:bottom w:val="nil"/>
            </w:tcBorders>
          </w:tcPr>
          <w:p w:rsidR="00974BDD" w:rsidRPr="003E2FFC" w:rsidRDefault="00F2016F" w:rsidP="003E2FFC">
            <w:pPr>
              <w:spacing w:line="360" w:lineRule="auto"/>
              <w:jc w:val="both"/>
              <w:rPr>
                <w:rFonts w:ascii="Times New Roman" w:hAnsi="Times New Roman" w:cs="Times New Roman"/>
                <w:sz w:val="20"/>
              </w:rPr>
            </w:pPr>
            <w:r w:rsidRPr="003E2FFC">
              <w:rPr>
                <w:rFonts w:ascii="Times New Roman" w:hAnsi="Times New Roman" w:cs="Times New Roman"/>
                <w:sz w:val="20"/>
              </w:rPr>
              <w:t>Gastritis  with</w:t>
            </w:r>
            <w:r w:rsidR="00974BDD" w:rsidRPr="003E2FFC">
              <w:rPr>
                <w:rFonts w:ascii="Times New Roman" w:hAnsi="Times New Roman" w:cs="Times New Roman"/>
                <w:sz w:val="20"/>
              </w:rPr>
              <w:t xml:space="preserve"> hyperuricemia</w:t>
            </w:r>
          </w:p>
        </w:tc>
        <w:tc>
          <w:tcPr>
            <w:tcW w:w="3192" w:type="dxa"/>
            <w:tcBorders>
              <w:top w:val="nil"/>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3</w:t>
            </w:r>
          </w:p>
        </w:tc>
        <w:tc>
          <w:tcPr>
            <w:tcW w:w="3192" w:type="dxa"/>
            <w:tcBorders>
              <w:top w:val="nil"/>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3.4</w:t>
            </w:r>
          </w:p>
        </w:tc>
      </w:tr>
      <w:tr w:rsidR="00974BDD" w:rsidRPr="003E2FFC" w:rsidTr="002F07D0">
        <w:tc>
          <w:tcPr>
            <w:tcW w:w="3192" w:type="dxa"/>
            <w:tcBorders>
              <w:top w:val="nil"/>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Drug induced hepatitis</w:t>
            </w:r>
          </w:p>
        </w:tc>
        <w:tc>
          <w:tcPr>
            <w:tcW w:w="3192" w:type="dxa"/>
            <w:tcBorders>
              <w:top w:val="nil"/>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3</w:t>
            </w:r>
          </w:p>
        </w:tc>
        <w:tc>
          <w:tcPr>
            <w:tcW w:w="3192" w:type="dxa"/>
            <w:tcBorders>
              <w:top w:val="nil"/>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3.4</w:t>
            </w:r>
          </w:p>
        </w:tc>
      </w:tr>
      <w:tr w:rsidR="00974BDD" w:rsidRPr="003E2FFC" w:rsidTr="002F07D0">
        <w:tc>
          <w:tcPr>
            <w:tcW w:w="3192" w:type="dxa"/>
            <w:tcBorders>
              <w:top w:val="nil"/>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Skin rash</w:t>
            </w:r>
          </w:p>
        </w:tc>
        <w:tc>
          <w:tcPr>
            <w:tcW w:w="3192" w:type="dxa"/>
            <w:tcBorders>
              <w:top w:val="nil"/>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3</w:t>
            </w:r>
          </w:p>
        </w:tc>
        <w:tc>
          <w:tcPr>
            <w:tcW w:w="3192" w:type="dxa"/>
            <w:tcBorders>
              <w:top w:val="nil"/>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3.4</w:t>
            </w:r>
          </w:p>
        </w:tc>
      </w:tr>
      <w:tr w:rsidR="00974BDD" w:rsidRPr="003E2FFC" w:rsidTr="002F07D0">
        <w:tc>
          <w:tcPr>
            <w:tcW w:w="3192" w:type="dxa"/>
            <w:tcBorders>
              <w:top w:val="nil"/>
              <w:bottom w:val="nil"/>
            </w:tcBorders>
          </w:tcPr>
          <w:p w:rsidR="00974BDD" w:rsidRPr="003E2FFC" w:rsidRDefault="00F2016F" w:rsidP="003E2FFC">
            <w:pPr>
              <w:spacing w:line="360" w:lineRule="auto"/>
              <w:jc w:val="both"/>
              <w:rPr>
                <w:rFonts w:ascii="Times New Roman" w:hAnsi="Times New Roman" w:cs="Times New Roman"/>
                <w:sz w:val="20"/>
              </w:rPr>
            </w:pPr>
            <w:r w:rsidRPr="003E2FFC">
              <w:rPr>
                <w:rFonts w:ascii="Times New Roman" w:hAnsi="Times New Roman" w:cs="Times New Roman"/>
                <w:sz w:val="20"/>
              </w:rPr>
              <w:t xml:space="preserve">Peripheral </w:t>
            </w:r>
            <w:r w:rsidR="00974BDD" w:rsidRPr="003E2FFC">
              <w:rPr>
                <w:rFonts w:ascii="Times New Roman" w:hAnsi="Times New Roman" w:cs="Times New Roman"/>
                <w:sz w:val="20"/>
              </w:rPr>
              <w:t>N</w:t>
            </w:r>
            <w:r w:rsidR="001C1FDB" w:rsidRPr="003E2FFC">
              <w:rPr>
                <w:rFonts w:ascii="Times New Roman" w:hAnsi="Times New Roman" w:cs="Times New Roman"/>
                <w:sz w:val="20"/>
              </w:rPr>
              <w:t>e</w:t>
            </w:r>
            <w:r w:rsidR="00974BDD" w:rsidRPr="003E2FFC">
              <w:rPr>
                <w:rFonts w:ascii="Times New Roman" w:hAnsi="Times New Roman" w:cs="Times New Roman"/>
                <w:sz w:val="20"/>
              </w:rPr>
              <w:t>uritis</w:t>
            </w:r>
          </w:p>
        </w:tc>
        <w:tc>
          <w:tcPr>
            <w:tcW w:w="3192" w:type="dxa"/>
            <w:tcBorders>
              <w:top w:val="nil"/>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1</w:t>
            </w:r>
          </w:p>
        </w:tc>
        <w:tc>
          <w:tcPr>
            <w:tcW w:w="3192" w:type="dxa"/>
            <w:tcBorders>
              <w:top w:val="nil"/>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1.1</w:t>
            </w:r>
          </w:p>
        </w:tc>
      </w:tr>
      <w:tr w:rsidR="00974BDD" w:rsidRPr="003E2FFC" w:rsidTr="002F07D0">
        <w:tc>
          <w:tcPr>
            <w:tcW w:w="3192" w:type="dxa"/>
            <w:tcBorders>
              <w:top w:val="nil"/>
              <w:bottom w:val="nil"/>
            </w:tcBorders>
          </w:tcPr>
          <w:p w:rsidR="00974BDD" w:rsidRPr="003E2FFC" w:rsidRDefault="00297448" w:rsidP="003E2FFC">
            <w:pPr>
              <w:spacing w:line="360" w:lineRule="auto"/>
              <w:jc w:val="both"/>
              <w:rPr>
                <w:rFonts w:ascii="Times New Roman" w:hAnsi="Times New Roman" w:cs="Times New Roman"/>
                <w:sz w:val="20"/>
              </w:rPr>
            </w:pPr>
            <w:r w:rsidRPr="003E2FFC">
              <w:rPr>
                <w:rFonts w:ascii="Times New Roman" w:hAnsi="Times New Roman" w:cs="Times New Roman"/>
                <w:sz w:val="20"/>
              </w:rPr>
              <w:t>Ototoxicity</w:t>
            </w:r>
          </w:p>
        </w:tc>
        <w:tc>
          <w:tcPr>
            <w:tcW w:w="3192" w:type="dxa"/>
            <w:tcBorders>
              <w:top w:val="nil"/>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1</w:t>
            </w:r>
          </w:p>
        </w:tc>
        <w:tc>
          <w:tcPr>
            <w:tcW w:w="3192" w:type="dxa"/>
            <w:tcBorders>
              <w:top w:val="nil"/>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1.1</w:t>
            </w:r>
          </w:p>
        </w:tc>
      </w:tr>
      <w:tr w:rsidR="00974BDD" w:rsidRPr="003E2FFC" w:rsidTr="002F07D0">
        <w:tc>
          <w:tcPr>
            <w:tcW w:w="3192" w:type="dxa"/>
            <w:tcBorders>
              <w:top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Thrombocytopenia</w:t>
            </w:r>
          </w:p>
        </w:tc>
        <w:tc>
          <w:tcPr>
            <w:tcW w:w="3192" w:type="dxa"/>
            <w:tcBorders>
              <w:top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1</w:t>
            </w:r>
          </w:p>
        </w:tc>
        <w:tc>
          <w:tcPr>
            <w:tcW w:w="3192" w:type="dxa"/>
            <w:tcBorders>
              <w:top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1.1</w:t>
            </w:r>
          </w:p>
        </w:tc>
      </w:tr>
      <w:tr w:rsidR="00974BDD" w:rsidRPr="003E2FFC" w:rsidTr="002F07D0">
        <w:tc>
          <w:tcPr>
            <w:tcW w:w="3192" w:type="dxa"/>
          </w:tcPr>
          <w:p w:rsidR="00974BDD" w:rsidRPr="003E2FFC" w:rsidRDefault="00974BDD" w:rsidP="003E2FFC">
            <w:pPr>
              <w:spacing w:line="360" w:lineRule="auto"/>
              <w:jc w:val="both"/>
              <w:rPr>
                <w:rFonts w:ascii="Times New Roman" w:hAnsi="Times New Roman" w:cs="Times New Roman"/>
                <w:b/>
                <w:sz w:val="20"/>
              </w:rPr>
            </w:pPr>
            <w:r w:rsidRPr="003E2FFC">
              <w:rPr>
                <w:rFonts w:ascii="Times New Roman" w:hAnsi="Times New Roman" w:cs="Times New Roman"/>
                <w:b/>
                <w:sz w:val="20"/>
              </w:rPr>
              <w:t>Total</w:t>
            </w:r>
          </w:p>
        </w:tc>
        <w:tc>
          <w:tcPr>
            <w:tcW w:w="3192" w:type="dxa"/>
          </w:tcPr>
          <w:p w:rsidR="00974BDD" w:rsidRPr="003E2FFC" w:rsidRDefault="00974BDD" w:rsidP="003E2FFC">
            <w:pPr>
              <w:spacing w:line="360" w:lineRule="auto"/>
              <w:jc w:val="both"/>
              <w:rPr>
                <w:rFonts w:ascii="Times New Roman" w:hAnsi="Times New Roman" w:cs="Times New Roman"/>
                <w:b/>
                <w:sz w:val="20"/>
              </w:rPr>
            </w:pPr>
            <w:r w:rsidRPr="003E2FFC">
              <w:rPr>
                <w:rFonts w:ascii="Times New Roman" w:hAnsi="Times New Roman" w:cs="Times New Roman"/>
                <w:b/>
                <w:sz w:val="20"/>
              </w:rPr>
              <w:t>89</w:t>
            </w:r>
          </w:p>
        </w:tc>
        <w:tc>
          <w:tcPr>
            <w:tcW w:w="3192" w:type="dxa"/>
          </w:tcPr>
          <w:p w:rsidR="00974BDD" w:rsidRPr="003E2FFC" w:rsidRDefault="00974BDD" w:rsidP="003E2FFC">
            <w:pPr>
              <w:spacing w:line="360" w:lineRule="auto"/>
              <w:jc w:val="both"/>
              <w:rPr>
                <w:rFonts w:ascii="Times New Roman" w:hAnsi="Times New Roman" w:cs="Times New Roman"/>
                <w:b/>
                <w:sz w:val="20"/>
              </w:rPr>
            </w:pPr>
            <w:r w:rsidRPr="003E2FFC">
              <w:rPr>
                <w:rFonts w:ascii="Times New Roman" w:hAnsi="Times New Roman" w:cs="Times New Roman"/>
                <w:b/>
                <w:sz w:val="20"/>
              </w:rPr>
              <w:t>100.0</w:t>
            </w:r>
          </w:p>
        </w:tc>
      </w:tr>
    </w:tbl>
    <w:p w:rsidR="00974BDD" w:rsidRPr="003E2FFC" w:rsidRDefault="00974BDD" w:rsidP="003E2FFC">
      <w:pPr>
        <w:spacing w:after="0" w:line="360" w:lineRule="auto"/>
        <w:jc w:val="both"/>
        <w:rPr>
          <w:rFonts w:ascii="Times New Roman" w:hAnsi="Times New Roman" w:cs="Times New Roman"/>
          <w:sz w:val="20"/>
        </w:rPr>
      </w:pPr>
    </w:p>
    <w:p w:rsidR="00974BDD" w:rsidRPr="003E2FFC" w:rsidRDefault="00974BDD" w:rsidP="003E2FFC">
      <w:pPr>
        <w:spacing w:after="0" w:line="360" w:lineRule="auto"/>
        <w:jc w:val="both"/>
        <w:rPr>
          <w:rFonts w:ascii="Times New Roman" w:hAnsi="Times New Roman" w:cs="Times New Roman"/>
          <w:sz w:val="20"/>
        </w:rPr>
      </w:pPr>
      <w:r w:rsidRPr="003E2FFC">
        <w:rPr>
          <w:rFonts w:ascii="Times New Roman" w:hAnsi="Times New Roman" w:cs="Times New Roman"/>
          <w:sz w:val="20"/>
        </w:rPr>
        <w:t xml:space="preserve">Of 89 cases studied, 60 (67.4%) did not have any adverse effects, </w:t>
      </w:r>
      <w:r w:rsidR="000678F4" w:rsidRPr="003E2FFC">
        <w:rPr>
          <w:rFonts w:ascii="Times New Roman" w:hAnsi="Times New Roman" w:cs="Times New Roman"/>
          <w:sz w:val="20"/>
        </w:rPr>
        <w:t xml:space="preserve">while </w:t>
      </w:r>
      <w:r w:rsidR="0060489F" w:rsidRPr="003E2FFC">
        <w:rPr>
          <w:rFonts w:ascii="Times New Roman" w:hAnsi="Times New Roman" w:cs="Times New Roman"/>
          <w:sz w:val="20"/>
        </w:rPr>
        <w:t>29</w:t>
      </w:r>
      <w:r w:rsidR="000678F4" w:rsidRPr="003E2FFC">
        <w:rPr>
          <w:rFonts w:ascii="Times New Roman" w:hAnsi="Times New Roman" w:cs="Times New Roman"/>
          <w:sz w:val="20"/>
        </w:rPr>
        <w:t xml:space="preserve"> </w:t>
      </w:r>
      <w:r w:rsidR="0060489F" w:rsidRPr="003E2FFC">
        <w:rPr>
          <w:rFonts w:ascii="Times New Roman" w:hAnsi="Times New Roman" w:cs="Times New Roman"/>
          <w:sz w:val="20"/>
        </w:rPr>
        <w:t>(32.6%)  presented with adverse drug reactions</w:t>
      </w:r>
      <w:r w:rsidR="000678F4" w:rsidRPr="003E2FFC">
        <w:rPr>
          <w:rFonts w:ascii="Times New Roman" w:hAnsi="Times New Roman" w:cs="Times New Roman"/>
          <w:sz w:val="20"/>
        </w:rPr>
        <w:t>;</w:t>
      </w:r>
      <w:r w:rsidR="0060489F" w:rsidRPr="003E2FFC">
        <w:rPr>
          <w:rFonts w:ascii="Times New Roman" w:hAnsi="Times New Roman" w:cs="Times New Roman"/>
          <w:sz w:val="20"/>
        </w:rPr>
        <w:t xml:space="preserve"> </w:t>
      </w:r>
      <w:r w:rsidRPr="003E2FFC">
        <w:rPr>
          <w:rFonts w:ascii="Times New Roman" w:hAnsi="Times New Roman" w:cs="Times New Roman"/>
          <w:sz w:val="20"/>
        </w:rPr>
        <w:t>10 (11.2%) had hyperuricemia, 7 (7.9%) had gastritis, 3 (3.4%) had Gastritis and hyperuricemia, 3 (3.4%) had Drug induced hepatitis, 3 (3.4%) h</w:t>
      </w:r>
      <w:r w:rsidR="005D5D67" w:rsidRPr="003E2FFC">
        <w:rPr>
          <w:rFonts w:ascii="Times New Roman" w:hAnsi="Times New Roman" w:cs="Times New Roman"/>
          <w:sz w:val="20"/>
        </w:rPr>
        <w:t>ad skin rash, 1 (1.1%)</w:t>
      </w:r>
      <w:r w:rsidR="00351D0E" w:rsidRPr="003E2FFC">
        <w:rPr>
          <w:rFonts w:ascii="Times New Roman" w:hAnsi="Times New Roman" w:cs="Times New Roman"/>
          <w:sz w:val="20"/>
        </w:rPr>
        <w:t xml:space="preserve"> had neuriti</w:t>
      </w:r>
      <w:r w:rsidRPr="003E2FFC">
        <w:rPr>
          <w:rFonts w:ascii="Times New Roman" w:hAnsi="Times New Roman" w:cs="Times New Roman"/>
          <w:sz w:val="20"/>
        </w:rPr>
        <w:t>s, 1 (1.1%) had hearing loss</w:t>
      </w:r>
      <w:r w:rsidR="005D5D67" w:rsidRPr="003E2FFC">
        <w:rPr>
          <w:rFonts w:ascii="Times New Roman" w:hAnsi="Times New Roman" w:cs="Times New Roman"/>
          <w:sz w:val="20"/>
        </w:rPr>
        <w:t xml:space="preserve"> (ototoxicity)</w:t>
      </w:r>
      <w:r w:rsidRPr="003E2FFC">
        <w:rPr>
          <w:rFonts w:ascii="Times New Roman" w:hAnsi="Times New Roman" w:cs="Times New Roman"/>
          <w:sz w:val="20"/>
        </w:rPr>
        <w:t xml:space="preserve"> and 1 (1.1%) had Thrombocytopenia in the study group. </w:t>
      </w:r>
    </w:p>
    <w:p w:rsidR="00974BDD" w:rsidRPr="003E2FFC" w:rsidRDefault="00974BDD" w:rsidP="003E2FFC">
      <w:pPr>
        <w:spacing w:after="0" w:line="360" w:lineRule="auto"/>
        <w:jc w:val="both"/>
        <w:rPr>
          <w:rFonts w:ascii="Times New Roman" w:hAnsi="Times New Roman" w:cs="Times New Roman"/>
          <w:sz w:val="20"/>
        </w:rPr>
      </w:pPr>
      <w:r w:rsidRPr="003E2FFC">
        <w:rPr>
          <w:rFonts w:ascii="Times New Roman" w:hAnsi="Times New Roman" w:cs="Times New Roman"/>
          <w:noProof/>
          <w:sz w:val="20"/>
          <w:lang w:val="en-IN" w:eastAsia="en-IN"/>
        </w:rPr>
        <w:lastRenderedPageBreak/>
        <w:drawing>
          <wp:inline distT="0" distB="0" distL="0" distR="0" wp14:anchorId="7C91B6C3" wp14:editId="7D1D4FFF">
            <wp:extent cx="5791200" cy="3400425"/>
            <wp:effectExtent l="19050" t="0" r="1905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4BDD" w:rsidRPr="003E2FFC" w:rsidRDefault="00974BDD" w:rsidP="003E2FFC">
      <w:pPr>
        <w:spacing w:after="0" w:line="360" w:lineRule="auto"/>
        <w:jc w:val="both"/>
        <w:rPr>
          <w:rFonts w:ascii="Times New Roman" w:hAnsi="Times New Roman" w:cs="Times New Roman"/>
          <w:b/>
          <w:sz w:val="20"/>
        </w:rPr>
      </w:pPr>
      <w:r w:rsidRPr="003E2FFC">
        <w:rPr>
          <w:rFonts w:ascii="Times New Roman" w:hAnsi="Times New Roman" w:cs="Times New Roman"/>
          <w:b/>
          <w:sz w:val="20"/>
        </w:rPr>
        <w:t>Figure 4) Distribution of adverse effects of ATT among the cases studied.</w:t>
      </w:r>
    </w:p>
    <w:p w:rsidR="00123429" w:rsidRPr="003E2FFC" w:rsidRDefault="00123429" w:rsidP="003E2FFC">
      <w:pPr>
        <w:spacing w:after="0" w:line="360" w:lineRule="auto"/>
        <w:jc w:val="both"/>
        <w:rPr>
          <w:rFonts w:ascii="Times New Roman" w:hAnsi="Times New Roman" w:cs="Times New Roman"/>
          <w:b/>
          <w:sz w:val="20"/>
        </w:rPr>
      </w:pPr>
    </w:p>
    <w:p w:rsidR="00974BDD" w:rsidRPr="003E2FFC" w:rsidRDefault="00974BDD" w:rsidP="003E2FFC">
      <w:pPr>
        <w:spacing w:after="0" w:line="360" w:lineRule="auto"/>
        <w:jc w:val="both"/>
        <w:rPr>
          <w:rFonts w:ascii="Times New Roman" w:hAnsi="Times New Roman" w:cs="Times New Roman"/>
          <w:b/>
          <w:sz w:val="20"/>
        </w:rPr>
      </w:pPr>
      <w:proofErr w:type="gramStart"/>
      <w:r w:rsidRPr="003E2FFC">
        <w:rPr>
          <w:rFonts w:ascii="Times New Roman" w:hAnsi="Times New Roman" w:cs="Times New Roman"/>
          <w:b/>
          <w:sz w:val="20"/>
        </w:rPr>
        <w:t>Table 5) Distribution of adverse effects of ATT according to sex in the study group.</w:t>
      </w:r>
      <w:proofErr w:type="gramEnd"/>
    </w:p>
    <w:tbl>
      <w:tblPr>
        <w:tblStyle w:val="TableGrid"/>
        <w:tblW w:w="9884" w:type="dxa"/>
        <w:tblLook w:val="04A0" w:firstRow="1" w:lastRow="0" w:firstColumn="1" w:lastColumn="0" w:noHBand="0" w:noVBand="1"/>
      </w:tblPr>
      <w:tblGrid>
        <w:gridCol w:w="3172"/>
        <w:gridCol w:w="1173"/>
        <w:gridCol w:w="939"/>
        <w:gridCol w:w="889"/>
        <w:gridCol w:w="1074"/>
        <w:gridCol w:w="889"/>
        <w:gridCol w:w="800"/>
        <w:gridCol w:w="948"/>
      </w:tblGrid>
      <w:tr w:rsidR="00974BDD" w:rsidRPr="003E2FFC" w:rsidTr="002F07D0">
        <w:tc>
          <w:tcPr>
            <w:tcW w:w="3172" w:type="dxa"/>
            <w:tcBorders>
              <w:bottom w:val="single" w:sz="4" w:space="0" w:color="000000" w:themeColor="text1"/>
            </w:tcBorders>
          </w:tcPr>
          <w:p w:rsidR="00974BDD" w:rsidRPr="003E2FFC" w:rsidRDefault="00974BDD" w:rsidP="003E2FFC">
            <w:pPr>
              <w:spacing w:line="360" w:lineRule="auto"/>
              <w:jc w:val="both"/>
              <w:rPr>
                <w:rFonts w:ascii="Times New Roman" w:hAnsi="Times New Roman" w:cs="Times New Roman"/>
                <w:b/>
                <w:sz w:val="20"/>
              </w:rPr>
            </w:pPr>
          </w:p>
        </w:tc>
        <w:tc>
          <w:tcPr>
            <w:tcW w:w="4075" w:type="dxa"/>
            <w:gridSpan w:val="4"/>
            <w:tcBorders>
              <w:bottom w:val="single" w:sz="4" w:space="0" w:color="000000" w:themeColor="text1"/>
              <w:right w:val="single" w:sz="4" w:space="0" w:color="auto"/>
            </w:tcBorders>
          </w:tcPr>
          <w:p w:rsidR="00974BDD" w:rsidRPr="003E2FFC" w:rsidRDefault="00974BDD" w:rsidP="003E2FFC">
            <w:pPr>
              <w:spacing w:line="360" w:lineRule="auto"/>
              <w:jc w:val="both"/>
              <w:rPr>
                <w:rFonts w:ascii="Times New Roman" w:hAnsi="Times New Roman" w:cs="Times New Roman"/>
                <w:b/>
                <w:sz w:val="20"/>
              </w:rPr>
            </w:pPr>
            <w:r w:rsidRPr="003E2FFC">
              <w:rPr>
                <w:rFonts w:ascii="Times New Roman" w:hAnsi="Times New Roman" w:cs="Times New Roman"/>
                <w:b/>
                <w:sz w:val="20"/>
              </w:rPr>
              <w:t>Sex</w:t>
            </w:r>
          </w:p>
        </w:tc>
        <w:tc>
          <w:tcPr>
            <w:tcW w:w="1689" w:type="dxa"/>
            <w:gridSpan w:val="2"/>
            <w:tcBorders>
              <w:left w:val="single" w:sz="4" w:space="0" w:color="auto"/>
              <w:bottom w:val="single" w:sz="4" w:space="0" w:color="000000" w:themeColor="text1"/>
              <w:right w:val="single" w:sz="4" w:space="0" w:color="auto"/>
            </w:tcBorders>
          </w:tcPr>
          <w:p w:rsidR="00974BDD" w:rsidRPr="003E2FFC" w:rsidRDefault="00974BDD" w:rsidP="003E2FFC">
            <w:pPr>
              <w:spacing w:line="360" w:lineRule="auto"/>
              <w:jc w:val="both"/>
              <w:rPr>
                <w:rFonts w:ascii="Times New Roman" w:hAnsi="Times New Roman" w:cs="Times New Roman"/>
                <w:b/>
                <w:sz w:val="20"/>
              </w:rPr>
            </w:pPr>
          </w:p>
        </w:tc>
        <w:tc>
          <w:tcPr>
            <w:tcW w:w="948" w:type="dxa"/>
            <w:tcBorders>
              <w:left w:val="single" w:sz="4" w:space="0" w:color="auto"/>
              <w:bottom w:val="single" w:sz="4" w:space="0" w:color="000000" w:themeColor="text1"/>
            </w:tcBorders>
          </w:tcPr>
          <w:p w:rsidR="00974BDD" w:rsidRPr="003E2FFC" w:rsidRDefault="00974BDD" w:rsidP="003E2FFC">
            <w:pPr>
              <w:spacing w:line="360" w:lineRule="auto"/>
              <w:jc w:val="both"/>
              <w:rPr>
                <w:rFonts w:ascii="Times New Roman" w:hAnsi="Times New Roman" w:cs="Times New Roman"/>
                <w:b/>
                <w:sz w:val="20"/>
              </w:rPr>
            </w:pPr>
            <w:r w:rsidRPr="003E2FFC">
              <w:rPr>
                <w:rFonts w:ascii="Times New Roman" w:hAnsi="Times New Roman" w:cs="Times New Roman"/>
                <w:b/>
                <w:sz w:val="20"/>
              </w:rPr>
              <w:t>P-value</w:t>
            </w:r>
          </w:p>
        </w:tc>
      </w:tr>
      <w:tr w:rsidR="00974BDD" w:rsidRPr="003E2FFC" w:rsidTr="002F07D0">
        <w:tc>
          <w:tcPr>
            <w:tcW w:w="3172" w:type="dxa"/>
            <w:tcBorders>
              <w:bottom w:val="single" w:sz="4" w:space="0" w:color="000000" w:themeColor="text1"/>
            </w:tcBorders>
          </w:tcPr>
          <w:p w:rsidR="00974BDD" w:rsidRPr="003E2FFC" w:rsidRDefault="00974BDD" w:rsidP="003E2FFC">
            <w:pPr>
              <w:spacing w:line="360" w:lineRule="auto"/>
              <w:jc w:val="both"/>
              <w:rPr>
                <w:rFonts w:ascii="Times New Roman" w:hAnsi="Times New Roman" w:cs="Times New Roman"/>
                <w:b/>
                <w:sz w:val="20"/>
              </w:rPr>
            </w:pPr>
          </w:p>
        </w:tc>
        <w:tc>
          <w:tcPr>
            <w:tcW w:w="2112" w:type="dxa"/>
            <w:gridSpan w:val="2"/>
            <w:tcBorders>
              <w:bottom w:val="single" w:sz="4" w:space="0" w:color="000000" w:themeColor="text1"/>
              <w:right w:val="single" w:sz="4" w:space="0" w:color="auto"/>
            </w:tcBorders>
          </w:tcPr>
          <w:p w:rsidR="00974BDD" w:rsidRPr="003E2FFC" w:rsidRDefault="00974BDD" w:rsidP="003E2FFC">
            <w:pPr>
              <w:spacing w:line="360" w:lineRule="auto"/>
              <w:jc w:val="both"/>
              <w:rPr>
                <w:rFonts w:ascii="Times New Roman" w:hAnsi="Times New Roman" w:cs="Times New Roman"/>
                <w:b/>
                <w:sz w:val="20"/>
              </w:rPr>
            </w:pPr>
            <w:r w:rsidRPr="003E2FFC">
              <w:rPr>
                <w:rFonts w:ascii="Times New Roman" w:hAnsi="Times New Roman" w:cs="Times New Roman"/>
                <w:b/>
                <w:sz w:val="20"/>
              </w:rPr>
              <w:t>Male (n=43)</w:t>
            </w:r>
          </w:p>
        </w:tc>
        <w:tc>
          <w:tcPr>
            <w:tcW w:w="1963" w:type="dxa"/>
            <w:gridSpan w:val="2"/>
            <w:tcBorders>
              <w:left w:val="single" w:sz="4" w:space="0" w:color="auto"/>
              <w:bottom w:val="single" w:sz="4" w:space="0" w:color="000000" w:themeColor="text1"/>
              <w:right w:val="single" w:sz="4" w:space="0" w:color="auto"/>
            </w:tcBorders>
          </w:tcPr>
          <w:p w:rsidR="00974BDD" w:rsidRPr="003E2FFC" w:rsidRDefault="00974BDD" w:rsidP="003E2FFC">
            <w:pPr>
              <w:spacing w:line="360" w:lineRule="auto"/>
              <w:jc w:val="both"/>
              <w:rPr>
                <w:rFonts w:ascii="Times New Roman" w:hAnsi="Times New Roman" w:cs="Times New Roman"/>
                <w:b/>
                <w:sz w:val="20"/>
              </w:rPr>
            </w:pPr>
            <w:r w:rsidRPr="003E2FFC">
              <w:rPr>
                <w:rFonts w:ascii="Times New Roman" w:hAnsi="Times New Roman" w:cs="Times New Roman"/>
                <w:b/>
                <w:sz w:val="20"/>
              </w:rPr>
              <w:t>Female (n=46)</w:t>
            </w:r>
          </w:p>
        </w:tc>
        <w:tc>
          <w:tcPr>
            <w:tcW w:w="1689" w:type="dxa"/>
            <w:gridSpan w:val="2"/>
            <w:tcBorders>
              <w:left w:val="single" w:sz="4" w:space="0" w:color="auto"/>
              <w:bottom w:val="single" w:sz="4" w:space="0" w:color="000000" w:themeColor="text1"/>
              <w:right w:val="single" w:sz="4" w:space="0" w:color="auto"/>
            </w:tcBorders>
          </w:tcPr>
          <w:p w:rsidR="00974BDD" w:rsidRPr="003E2FFC" w:rsidRDefault="00974BDD" w:rsidP="003E2FFC">
            <w:pPr>
              <w:spacing w:line="360" w:lineRule="auto"/>
              <w:jc w:val="both"/>
              <w:rPr>
                <w:rFonts w:ascii="Times New Roman" w:hAnsi="Times New Roman" w:cs="Times New Roman"/>
                <w:b/>
                <w:sz w:val="20"/>
              </w:rPr>
            </w:pPr>
            <w:r w:rsidRPr="003E2FFC">
              <w:rPr>
                <w:rFonts w:ascii="Times New Roman" w:hAnsi="Times New Roman" w:cs="Times New Roman"/>
                <w:b/>
                <w:sz w:val="20"/>
              </w:rPr>
              <w:t>Total (n=89)</w:t>
            </w:r>
          </w:p>
        </w:tc>
        <w:tc>
          <w:tcPr>
            <w:tcW w:w="948" w:type="dxa"/>
            <w:tcBorders>
              <w:left w:val="single" w:sz="4" w:space="0" w:color="auto"/>
              <w:bottom w:val="single" w:sz="4" w:space="0" w:color="000000" w:themeColor="text1"/>
            </w:tcBorders>
          </w:tcPr>
          <w:p w:rsidR="00974BDD" w:rsidRPr="003E2FFC" w:rsidRDefault="00974BDD" w:rsidP="003E2FFC">
            <w:pPr>
              <w:spacing w:line="360" w:lineRule="auto"/>
              <w:jc w:val="both"/>
              <w:rPr>
                <w:rFonts w:ascii="Times New Roman" w:hAnsi="Times New Roman" w:cs="Times New Roman"/>
                <w:b/>
                <w:sz w:val="20"/>
              </w:rPr>
            </w:pPr>
          </w:p>
        </w:tc>
      </w:tr>
      <w:tr w:rsidR="00974BDD" w:rsidRPr="003E2FFC" w:rsidTr="002F07D0">
        <w:tc>
          <w:tcPr>
            <w:tcW w:w="3172" w:type="dxa"/>
            <w:tcBorders>
              <w:bottom w:val="single" w:sz="4" w:space="0" w:color="000000" w:themeColor="text1"/>
            </w:tcBorders>
          </w:tcPr>
          <w:p w:rsidR="00974BDD" w:rsidRPr="003E2FFC" w:rsidRDefault="00974BDD" w:rsidP="003E2FFC">
            <w:pPr>
              <w:spacing w:line="360" w:lineRule="auto"/>
              <w:jc w:val="both"/>
              <w:rPr>
                <w:rFonts w:ascii="Times New Roman" w:hAnsi="Times New Roman" w:cs="Times New Roman"/>
                <w:b/>
                <w:sz w:val="20"/>
              </w:rPr>
            </w:pPr>
            <w:r w:rsidRPr="003E2FFC">
              <w:rPr>
                <w:rFonts w:ascii="Times New Roman" w:hAnsi="Times New Roman" w:cs="Times New Roman"/>
                <w:b/>
                <w:sz w:val="20"/>
              </w:rPr>
              <w:t>Adverse effects</w:t>
            </w:r>
          </w:p>
        </w:tc>
        <w:tc>
          <w:tcPr>
            <w:tcW w:w="1173" w:type="dxa"/>
            <w:tcBorders>
              <w:bottom w:val="single" w:sz="4" w:space="0" w:color="000000" w:themeColor="text1"/>
              <w:right w:val="single" w:sz="4" w:space="0" w:color="auto"/>
            </w:tcBorders>
          </w:tcPr>
          <w:p w:rsidR="00974BDD" w:rsidRPr="003E2FFC" w:rsidRDefault="00974BDD" w:rsidP="003E2FFC">
            <w:pPr>
              <w:spacing w:line="360" w:lineRule="auto"/>
              <w:jc w:val="both"/>
              <w:rPr>
                <w:rFonts w:ascii="Times New Roman" w:hAnsi="Times New Roman" w:cs="Times New Roman"/>
                <w:b/>
                <w:sz w:val="20"/>
              </w:rPr>
            </w:pPr>
            <w:r w:rsidRPr="003E2FFC">
              <w:rPr>
                <w:rFonts w:ascii="Times New Roman" w:hAnsi="Times New Roman" w:cs="Times New Roman"/>
                <w:b/>
                <w:sz w:val="20"/>
              </w:rPr>
              <w:t>n</w:t>
            </w:r>
          </w:p>
        </w:tc>
        <w:tc>
          <w:tcPr>
            <w:tcW w:w="939" w:type="dxa"/>
            <w:tcBorders>
              <w:left w:val="single" w:sz="4" w:space="0" w:color="auto"/>
              <w:bottom w:val="single" w:sz="4" w:space="0" w:color="000000" w:themeColor="text1"/>
              <w:right w:val="single" w:sz="4" w:space="0" w:color="auto"/>
            </w:tcBorders>
          </w:tcPr>
          <w:p w:rsidR="00974BDD" w:rsidRPr="003E2FFC" w:rsidRDefault="00974BDD" w:rsidP="003E2FFC">
            <w:pPr>
              <w:spacing w:line="360" w:lineRule="auto"/>
              <w:jc w:val="both"/>
              <w:rPr>
                <w:rFonts w:ascii="Times New Roman" w:hAnsi="Times New Roman" w:cs="Times New Roman"/>
                <w:b/>
                <w:sz w:val="20"/>
              </w:rPr>
            </w:pPr>
            <w:r w:rsidRPr="003E2FFC">
              <w:rPr>
                <w:rFonts w:ascii="Times New Roman" w:hAnsi="Times New Roman" w:cs="Times New Roman"/>
                <w:b/>
                <w:sz w:val="20"/>
              </w:rPr>
              <w:t>%</w:t>
            </w:r>
          </w:p>
        </w:tc>
        <w:tc>
          <w:tcPr>
            <w:tcW w:w="889" w:type="dxa"/>
            <w:tcBorders>
              <w:left w:val="single" w:sz="4" w:space="0" w:color="auto"/>
              <w:bottom w:val="single" w:sz="4" w:space="0" w:color="000000" w:themeColor="text1"/>
            </w:tcBorders>
          </w:tcPr>
          <w:p w:rsidR="00974BDD" w:rsidRPr="003E2FFC" w:rsidRDefault="00974BDD" w:rsidP="003E2FFC">
            <w:pPr>
              <w:spacing w:line="360" w:lineRule="auto"/>
              <w:jc w:val="both"/>
              <w:rPr>
                <w:rFonts w:ascii="Times New Roman" w:hAnsi="Times New Roman" w:cs="Times New Roman"/>
                <w:b/>
                <w:sz w:val="20"/>
              </w:rPr>
            </w:pPr>
            <w:r w:rsidRPr="003E2FFC">
              <w:rPr>
                <w:rFonts w:ascii="Times New Roman" w:hAnsi="Times New Roman" w:cs="Times New Roman"/>
                <w:b/>
                <w:sz w:val="20"/>
              </w:rPr>
              <w:t>n</w:t>
            </w:r>
          </w:p>
        </w:tc>
        <w:tc>
          <w:tcPr>
            <w:tcW w:w="1074" w:type="dxa"/>
            <w:tcBorders>
              <w:bottom w:val="single" w:sz="4" w:space="0" w:color="000000" w:themeColor="text1"/>
              <w:right w:val="single" w:sz="4" w:space="0" w:color="auto"/>
            </w:tcBorders>
          </w:tcPr>
          <w:p w:rsidR="00974BDD" w:rsidRPr="003E2FFC" w:rsidRDefault="00974BDD" w:rsidP="003E2FFC">
            <w:pPr>
              <w:spacing w:line="360" w:lineRule="auto"/>
              <w:jc w:val="both"/>
              <w:rPr>
                <w:rFonts w:ascii="Times New Roman" w:hAnsi="Times New Roman" w:cs="Times New Roman"/>
                <w:b/>
                <w:sz w:val="20"/>
              </w:rPr>
            </w:pPr>
            <w:r w:rsidRPr="003E2FFC">
              <w:rPr>
                <w:rFonts w:ascii="Times New Roman" w:hAnsi="Times New Roman" w:cs="Times New Roman"/>
                <w:b/>
                <w:sz w:val="20"/>
              </w:rPr>
              <w:t>%</w:t>
            </w:r>
          </w:p>
        </w:tc>
        <w:tc>
          <w:tcPr>
            <w:tcW w:w="889" w:type="dxa"/>
            <w:tcBorders>
              <w:left w:val="single" w:sz="4" w:space="0" w:color="auto"/>
              <w:bottom w:val="single" w:sz="4" w:space="0" w:color="000000" w:themeColor="text1"/>
              <w:right w:val="single" w:sz="4" w:space="0" w:color="auto"/>
            </w:tcBorders>
          </w:tcPr>
          <w:p w:rsidR="00974BDD" w:rsidRPr="003E2FFC" w:rsidRDefault="00974BDD" w:rsidP="003E2FFC">
            <w:pPr>
              <w:spacing w:line="360" w:lineRule="auto"/>
              <w:jc w:val="both"/>
              <w:rPr>
                <w:rFonts w:ascii="Times New Roman" w:hAnsi="Times New Roman" w:cs="Times New Roman"/>
                <w:b/>
                <w:sz w:val="20"/>
              </w:rPr>
            </w:pPr>
            <w:r w:rsidRPr="003E2FFC">
              <w:rPr>
                <w:rFonts w:ascii="Times New Roman" w:hAnsi="Times New Roman" w:cs="Times New Roman"/>
                <w:b/>
                <w:sz w:val="20"/>
              </w:rPr>
              <w:t>n</w:t>
            </w:r>
          </w:p>
        </w:tc>
        <w:tc>
          <w:tcPr>
            <w:tcW w:w="800" w:type="dxa"/>
            <w:tcBorders>
              <w:left w:val="single" w:sz="4" w:space="0" w:color="auto"/>
              <w:bottom w:val="single" w:sz="4" w:space="0" w:color="000000" w:themeColor="text1"/>
              <w:right w:val="single" w:sz="4" w:space="0" w:color="auto"/>
            </w:tcBorders>
          </w:tcPr>
          <w:p w:rsidR="00974BDD" w:rsidRPr="003E2FFC" w:rsidRDefault="00974BDD" w:rsidP="003E2FFC">
            <w:pPr>
              <w:spacing w:line="360" w:lineRule="auto"/>
              <w:jc w:val="both"/>
              <w:rPr>
                <w:rFonts w:ascii="Times New Roman" w:hAnsi="Times New Roman" w:cs="Times New Roman"/>
                <w:b/>
                <w:sz w:val="20"/>
              </w:rPr>
            </w:pPr>
            <w:r w:rsidRPr="003E2FFC">
              <w:rPr>
                <w:rFonts w:ascii="Times New Roman" w:hAnsi="Times New Roman" w:cs="Times New Roman"/>
                <w:b/>
                <w:sz w:val="20"/>
              </w:rPr>
              <w:t>%</w:t>
            </w:r>
          </w:p>
        </w:tc>
        <w:tc>
          <w:tcPr>
            <w:tcW w:w="948" w:type="dxa"/>
            <w:tcBorders>
              <w:left w:val="single" w:sz="4" w:space="0" w:color="auto"/>
              <w:bottom w:val="single" w:sz="4" w:space="0" w:color="000000" w:themeColor="text1"/>
            </w:tcBorders>
          </w:tcPr>
          <w:p w:rsidR="00974BDD" w:rsidRPr="003E2FFC" w:rsidRDefault="00974BDD" w:rsidP="003E2FFC">
            <w:pPr>
              <w:spacing w:line="360" w:lineRule="auto"/>
              <w:jc w:val="both"/>
              <w:rPr>
                <w:rFonts w:ascii="Times New Roman" w:hAnsi="Times New Roman" w:cs="Times New Roman"/>
                <w:b/>
                <w:sz w:val="20"/>
              </w:rPr>
            </w:pPr>
          </w:p>
        </w:tc>
      </w:tr>
      <w:tr w:rsidR="00974BDD" w:rsidRPr="003E2FFC" w:rsidTr="002F07D0">
        <w:tc>
          <w:tcPr>
            <w:tcW w:w="3172" w:type="dxa"/>
            <w:tcBorders>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Nil</w:t>
            </w:r>
          </w:p>
        </w:tc>
        <w:tc>
          <w:tcPr>
            <w:tcW w:w="1173" w:type="dxa"/>
            <w:tcBorders>
              <w:bottom w:val="nil"/>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35</w:t>
            </w:r>
          </w:p>
        </w:tc>
        <w:tc>
          <w:tcPr>
            <w:tcW w:w="939" w:type="dxa"/>
            <w:tcBorders>
              <w:left w:val="single" w:sz="4" w:space="0" w:color="auto"/>
              <w:bottom w:val="nil"/>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81.4</w:t>
            </w:r>
          </w:p>
        </w:tc>
        <w:tc>
          <w:tcPr>
            <w:tcW w:w="889" w:type="dxa"/>
            <w:tcBorders>
              <w:left w:val="single" w:sz="4" w:space="0" w:color="auto"/>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25</w:t>
            </w:r>
          </w:p>
        </w:tc>
        <w:tc>
          <w:tcPr>
            <w:tcW w:w="1074" w:type="dxa"/>
            <w:tcBorders>
              <w:bottom w:val="nil"/>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54.3</w:t>
            </w:r>
          </w:p>
        </w:tc>
        <w:tc>
          <w:tcPr>
            <w:tcW w:w="889" w:type="dxa"/>
            <w:tcBorders>
              <w:left w:val="single" w:sz="4" w:space="0" w:color="auto"/>
              <w:bottom w:val="nil"/>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60</w:t>
            </w:r>
          </w:p>
        </w:tc>
        <w:tc>
          <w:tcPr>
            <w:tcW w:w="800" w:type="dxa"/>
            <w:tcBorders>
              <w:left w:val="single" w:sz="4" w:space="0" w:color="auto"/>
              <w:bottom w:val="nil"/>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67.4</w:t>
            </w:r>
          </w:p>
        </w:tc>
        <w:tc>
          <w:tcPr>
            <w:tcW w:w="948" w:type="dxa"/>
            <w:tcBorders>
              <w:left w:val="single" w:sz="4" w:space="0" w:color="auto"/>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0.019</w:t>
            </w:r>
            <w:r w:rsidRPr="003E2FFC">
              <w:rPr>
                <w:rFonts w:ascii="Times New Roman" w:hAnsi="Times New Roman" w:cs="Times New Roman"/>
                <w:sz w:val="20"/>
                <w:vertAlign w:val="superscript"/>
              </w:rPr>
              <w:t>*</w:t>
            </w:r>
          </w:p>
        </w:tc>
      </w:tr>
      <w:tr w:rsidR="00974BDD" w:rsidRPr="003E2FFC" w:rsidTr="002F07D0">
        <w:tc>
          <w:tcPr>
            <w:tcW w:w="3172" w:type="dxa"/>
            <w:tcBorders>
              <w:top w:val="nil"/>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Hyperuricemia</w:t>
            </w:r>
          </w:p>
        </w:tc>
        <w:tc>
          <w:tcPr>
            <w:tcW w:w="1173" w:type="dxa"/>
            <w:tcBorders>
              <w:top w:val="nil"/>
              <w:bottom w:val="nil"/>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4</w:t>
            </w:r>
          </w:p>
        </w:tc>
        <w:tc>
          <w:tcPr>
            <w:tcW w:w="939" w:type="dxa"/>
            <w:tcBorders>
              <w:top w:val="nil"/>
              <w:left w:val="single" w:sz="4" w:space="0" w:color="auto"/>
              <w:bottom w:val="nil"/>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9.3</w:t>
            </w:r>
          </w:p>
        </w:tc>
        <w:tc>
          <w:tcPr>
            <w:tcW w:w="889" w:type="dxa"/>
            <w:tcBorders>
              <w:top w:val="nil"/>
              <w:left w:val="single" w:sz="4" w:space="0" w:color="auto"/>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6</w:t>
            </w:r>
          </w:p>
        </w:tc>
        <w:tc>
          <w:tcPr>
            <w:tcW w:w="1074" w:type="dxa"/>
            <w:tcBorders>
              <w:top w:val="nil"/>
              <w:bottom w:val="nil"/>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13.0</w:t>
            </w:r>
          </w:p>
        </w:tc>
        <w:tc>
          <w:tcPr>
            <w:tcW w:w="889" w:type="dxa"/>
            <w:tcBorders>
              <w:top w:val="nil"/>
              <w:left w:val="single" w:sz="4" w:space="0" w:color="auto"/>
              <w:bottom w:val="nil"/>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10</w:t>
            </w:r>
          </w:p>
        </w:tc>
        <w:tc>
          <w:tcPr>
            <w:tcW w:w="800" w:type="dxa"/>
            <w:tcBorders>
              <w:top w:val="nil"/>
              <w:left w:val="single" w:sz="4" w:space="0" w:color="auto"/>
              <w:bottom w:val="nil"/>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11.2</w:t>
            </w:r>
          </w:p>
        </w:tc>
        <w:tc>
          <w:tcPr>
            <w:tcW w:w="948" w:type="dxa"/>
            <w:tcBorders>
              <w:top w:val="nil"/>
              <w:left w:val="single" w:sz="4" w:space="0" w:color="auto"/>
              <w:bottom w:val="nil"/>
            </w:tcBorders>
          </w:tcPr>
          <w:p w:rsidR="00974BDD" w:rsidRPr="003E2FFC" w:rsidRDefault="00974BDD" w:rsidP="003E2FFC">
            <w:pPr>
              <w:spacing w:line="360" w:lineRule="auto"/>
              <w:jc w:val="both"/>
              <w:rPr>
                <w:rFonts w:ascii="Times New Roman" w:hAnsi="Times New Roman" w:cs="Times New Roman"/>
                <w:sz w:val="20"/>
              </w:rPr>
            </w:pPr>
          </w:p>
        </w:tc>
      </w:tr>
      <w:tr w:rsidR="00974BDD" w:rsidRPr="003E2FFC" w:rsidTr="002F07D0">
        <w:tc>
          <w:tcPr>
            <w:tcW w:w="3172" w:type="dxa"/>
            <w:tcBorders>
              <w:top w:val="nil"/>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Gastritis</w:t>
            </w:r>
          </w:p>
        </w:tc>
        <w:tc>
          <w:tcPr>
            <w:tcW w:w="1173" w:type="dxa"/>
            <w:tcBorders>
              <w:top w:val="nil"/>
              <w:bottom w:val="nil"/>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0</w:t>
            </w:r>
          </w:p>
        </w:tc>
        <w:tc>
          <w:tcPr>
            <w:tcW w:w="939" w:type="dxa"/>
            <w:tcBorders>
              <w:top w:val="nil"/>
              <w:left w:val="single" w:sz="4" w:space="0" w:color="auto"/>
              <w:bottom w:val="nil"/>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0.0</w:t>
            </w:r>
          </w:p>
        </w:tc>
        <w:tc>
          <w:tcPr>
            <w:tcW w:w="889" w:type="dxa"/>
            <w:tcBorders>
              <w:top w:val="nil"/>
              <w:left w:val="single" w:sz="4" w:space="0" w:color="auto"/>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7</w:t>
            </w:r>
          </w:p>
        </w:tc>
        <w:tc>
          <w:tcPr>
            <w:tcW w:w="1074" w:type="dxa"/>
            <w:tcBorders>
              <w:top w:val="nil"/>
              <w:bottom w:val="nil"/>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15.2</w:t>
            </w:r>
          </w:p>
        </w:tc>
        <w:tc>
          <w:tcPr>
            <w:tcW w:w="889" w:type="dxa"/>
            <w:tcBorders>
              <w:top w:val="nil"/>
              <w:left w:val="single" w:sz="4" w:space="0" w:color="auto"/>
              <w:bottom w:val="nil"/>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7</w:t>
            </w:r>
          </w:p>
        </w:tc>
        <w:tc>
          <w:tcPr>
            <w:tcW w:w="800" w:type="dxa"/>
            <w:tcBorders>
              <w:top w:val="nil"/>
              <w:left w:val="single" w:sz="4" w:space="0" w:color="auto"/>
              <w:bottom w:val="nil"/>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7.9</w:t>
            </w:r>
          </w:p>
        </w:tc>
        <w:tc>
          <w:tcPr>
            <w:tcW w:w="948" w:type="dxa"/>
            <w:tcBorders>
              <w:top w:val="nil"/>
              <w:left w:val="single" w:sz="4" w:space="0" w:color="auto"/>
              <w:bottom w:val="nil"/>
            </w:tcBorders>
          </w:tcPr>
          <w:p w:rsidR="00974BDD" w:rsidRPr="003E2FFC" w:rsidRDefault="00974BDD" w:rsidP="003E2FFC">
            <w:pPr>
              <w:spacing w:line="360" w:lineRule="auto"/>
              <w:jc w:val="both"/>
              <w:rPr>
                <w:rFonts w:ascii="Times New Roman" w:hAnsi="Times New Roman" w:cs="Times New Roman"/>
                <w:sz w:val="20"/>
              </w:rPr>
            </w:pPr>
          </w:p>
        </w:tc>
      </w:tr>
      <w:tr w:rsidR="00974BDD" w:rsidRPr="003E2FFC" w:rsidTr="002F07D0">
        <w:tc>
          <w:tcPr>
            <w:tcW w:w="3172" w:type="dxa"/>
            <w:tcBorders>
              <w:top w:val="nil"/>
              <w:bottom w:val="nil"/>
            </w:tcBorders>
          </w:tcPr>
          <w:p w:rsidR="00974BDD" w:rsidRPr="003E2FFC" w:rsidRDefault="00F2016F" w:rsidP="003E2FFC">
            <w:pPr>
              <w:spacing w:line="360" w:lineRule="auto"/>
              <w:jc w:val="both"/>
              <w:rPr>
                <w:rFonts w:ascii="Times New Roman" w:hAnsi="Times New Roman" w:cs="Times New Roman"/>
                <w:sz w:val="20"/>
              </w:rPr>
            </w:pPr>
            <w:r w:rsidRPr="003E2FFC">
              <w:rPr>
                <w:rFonts w:ascii="Times New Roman" w:hAnsi="Times New Roman" w:cs="Times New Roman"/>
                <w:sz w:val="20"/>
              </w:rPr>
              <w:t>Gastritis with</w:t>
            </w:r>
            <w:r w:rsidR="00974BDD" w:rsidRPr="003E2FFC">
              <w:rPr>
                <w:rFonts w:ascii="Times New Roman" w:hAnsi="Times New Roman" w:cs="Times New Roman"/>
                <w:sz w:val="20"/>
              </w:rPr>
              <w:t xml:space="preserve"> hyperuricemia</w:t>
            </w:r>
          </w:p>
        </w:tc>
        <w:tc>
          <w:tcPr>
            <w:tcW w:w="1173" w:type="dxa"/>
            <w:tcBorders>
              <w:top w:val="nil"/>
              <w:bottom w:val="nil"/>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1</w:t>
            </w:r>
          </w:p>
        </w:tc>
        <w:tc>
          <w:tcPr>
            <w:tcW w:w="939" w:type="dxa"/>
            <w:tcBorders>
              <w:top w:val="nil"/>
              <w:left w:val="single" w:sz="4" w:space="0" w:color="auto"/>
              <w:bottom w:val="nil"/>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2.3</w:t>
            </w:r>
          </w:p>
        </w:tc>
        <w:tc>
          <w:tcPr>
            <w:tcW w:w="889" w:type="dxa"/>
            <w:tcBorders>
              <w:top w:val="nil"/>
              <w:left w:val="single" w:sz="4" w:space="0" w:color="auto"/>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2</w:t>
            </w:r>
          </w:p>
        </w:tc>
        <w:tc>
          <w:tcPr>
            <w:tcW w:w="1074" w:type="dxa"/>
            <w:tcBorders>
              <w:top w:val="nil"/>
              <w:bottom w:val="nil"/>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4.3</w:t>
            </w:r>
          </w:p>
        </w:tc>
        <w:tc>
          <w:tcPr>
            <w:tcW w:w="889" w:type="dxa"/>
            <w:tcBorders>
              <w:top w:val="nil"/>
              <w:left w:val="single" w:sz="4" w:space="0" w:color="auto"/>
              <w:bottom w:val="nil"/>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3</w:t>
            </w:r>
          </w:p>
        </w:tc>
        <w:tc>
          <w:tcPr>
            <w:tcW w:w="800" w:type="dxa"/>
            <w:tcBorders>
              <w:top w:val="nil"/>
              <w:left w:val="single" w:sz="4" w:space="0" w:color="auto"/>
              <w:bottom w:val="nil"/>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3.4</w:t>
            </w:r>
          </w:p>
        </w:tc>
        <w:tc>
          <w:tcPr>
            <w:tcW w:w="948" w:type="dxa"/>
            <w:tcBorders>
              <w:top w:val="nil"/>
              <w:left w:val="single" w:sz="4" w:space="0" w:color="auto"/>
              <w:bottom w:val="nil"/>
            </w:tcBorders>
          </w:tcPr>
          <w:p w:rsidR="00974BDD" w:rsidRPr="003E2FFC" w:rsidRDefault="00974BDD" w:rsidP="003E2FFC">
            <w:pPr>
              <w:spacing w:line="360" w:lineRule="auto"/>
              <w:jc w:val="both"/>
              <w:rPr>
                <w:rFonts w:ascii="Times New Roman" w:hAnsi="Times New Roman" w:cs="Times New Roman"/>
                <w:sz w:val="20"/>
              </w:rPr>
            </w:pPr>
          </w:p>
        </w:tc>
      </w:tr>
      <w:tr w:rsidR="00974BDD" w:rsidRPr="003E2FFC" w:rsidTr="002F07D0">
        <w:tc>
          <w:tcPr>
            <w:tcW w:w="3172" w:type="dxa"/>
            <w:tcBorders>
              <w:top w:val="nil"/>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Drug induced hepatitis</w:t>
            </w:r>
          </w:p>
        </w:tc>
        <w:tc>
          <w:tcPr>
            <w:tcW w:w="1173" w:type="dxa"/>
            <w:tcBorders>
              <w:top w:val="nil"/>
              <w:bottom w:val="nil"/>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0</w:t>
            </w:r>
          </w:p>
        </w:tc>
        <w:tc>
          <w:tcPr>
            <w:tcW w:w="939" w:type="dxa"/>
            <w:tcBorders>
              <w:top w:val="nil"/>
              <w:left w:val="single" w:sz="4" w:space="0" w:color="auto"/>
              <w:bottom w:val="nil"/>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0.0</w:t>
            </w:r>
          </w:p>
        </w:tc>
        <w:tc>
          <w:tcPr>
            <w:tcW w:w="889" w:type="dxa"/>
            <w:tcBorders>
              <w:top w:val="nil"/>
              <w:left w:val="single" w:sz="4" w:space="0" w:color="auto"/>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3</w:t>
            </w:r>
          </w:p>
        </w:tc>
        <w:tc>
          <w:tcPr>
            <w:tcW w:w="1074" w:type="dxa"/>
            <w:tcBorders>
              <w:top w:val="nil"/>
              <w:bottom w:val="nil"/>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6.5</w:t>
            </w:r>
          </w:p>
        </w:tc>
        <w:tc>
          <w:tcPr>
            <w:tcW w:w="889" w:type="dxa"/>
            <w:tcBorders>
              <w:top w:val="nil"/>
              <w:left w:val="single" w:sz="4" w:space="0" w:color="auto"/>
              <w:bottom w:val="nil"/>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3</w:t>
            </w:r>
          </w:p>
        </w:tc>
        <w:tc>
          <w:tcPr>
            <w:tcW w:w="800" w:type="dxa"/>
            <w:tcBorders>
              <w:top w:val="nil"/>
              <w:left w:val="single" w:sz="4" w:space="0" w:color="auto"/>
              <w:bottom w:val="nil"/>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3.4</w:t>
            </w:r>
          </w:p>
        </w:tc>
        <w:tc>
          <w:tcPr>
            <w:tcW w:w="948" w:type="dxa"/>
            <w:tcBorders>
              <w:top w:val="nil"/>
              <w:left w:val="single" w:sz="4" w:space="0" w:color="auto"/>
              <w:bottom w:val="nil"/>
            </w:tcBorders>
          </w:tcPr>
          <w:p w:rsidR="00974BDD" w:rsidRPr="003E2FFC" w:rsidRDefault="00974BDD" w:rsidP="003E2FFC">
            <w:pPr>
              <w:spacing w:line="360" w:lineRule="auto"/>
              <w:jc w:val="both"/>
              <w:rPr>
                <w:rFonts w:ascii="Times New Roman" w:hAnsi="Times New Roman" w:cs="Times New Roman"/>
                <w:sz w:val="20"/>
              </w:rPr>
            </w:pPr>
          </w:p>
        </w:tc>
      </w:tr>
      <w:tr w:rsidR="00974BDD" w:rsidRPr="003E2FFC" w:rsidTr="002F07D0">
        <w:tc>
          <w:tcPr>
            <w:tcW w:w="3172" w:type="dxa"/>
            <w:tcBorders>
              <w:top w:val="nil"/>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Skin rash</w:t>
            </w:r>
          </w:p>
        </w:tc>
        <w:tc>
          <w:tcPr>
            <w:tcW w:w="1173" w:type="dxa"/>
            <w:tcBorders>
              <w:top w:val="nil"/>
              <w:bottom w:val="nil"/>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0</w:t>
            </w:r>
          </w:p>
        </w:tc>
        <w:tc>
          <w:tcPr>
            <w:tcW w:w="939" w:type="dxa"/>
            <w:tcBorders>
              <w:top w:val="nil"/>
              <w:left w:val="single" w:sz="4" w:space="0" w:color="auto"/>
              <w:bottom w:val="nil"/>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0.0</w:t>
            </w:r>
          </w:p>
        </w:tc>
        <w:tc>
          <w:tcPr>
            <w:tcW w:w="889" w:type="dxa"/>
            <w:tcBorders>
              <w:top w:val="nil"/>
              <w:left w:val="single" w:sz="4" w:space="0" w:color="auto"/>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3</w:t>
            </w:r>
          </w:p>
        </w:tc>
        <w:tc>
          <w:tcPr>
            <w:tcW w:w="1074" w:type="dxa"/>
            <w:tcBorders>
              <w:top w:val="nil"/>
              <w:bottom w:val="nil"/>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6.5</w:t>
            </w:r>
          </w:p>
        </w:tc>
        <w:tc>
          <w:tcPr>
            <w:tcW w:w="889" w:type="dxa"/>
            <w:tcBorders>
              <w:top w:val="nil"/>
              <w:left w:val="single" w:sz="4" w:space="0" w:color="auto"/>
              <w:bottom w:val="nil"/>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3</w:t>
            </w:r>
          </w:p>
        </w:tc>
        <w:tc>
          <w:tcPr>
            <w:tcW w:w="800" w:type="dxa"/>
            <w:tcBorders>
              <w:top w:val="nil"/>
              <w:left w:val="single" w:sz="4" w:space="0" w:color="auto"/>
              <w:bottom w:val="nil"/>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3.4</w:t>
            </w:r>
          </w:p>
        </w:tc>
        <w:tc>
          <w:tcPr>
            <w:tcW w:w="948" w:type="dxa"/>
            <w:tcBorders>
              <w:top w:val="nil"/>
              <w:left w:val="single" w:sz="4" w:space="0" w:color="auto"/>
              <w:bottom w:val="nil"/>
            </w:tcBorders>
          </w:tcPr>
          <w:p w:rsidR="00974BDD" w:rsidRPr="003E2FFC" w:rsidRDefault="00974BDD" w:rsidP="003E2FFC">
            <w:pPr>
              <w:spacing w:line="360" w:lineRule="auto"/>
              <w:jc w:val="both"/>
              <w:rPr>
                <w:rFonts w:ascii="Times New Roman" w:hAnsi="Times New Roman" w:cs="Times New Roman"/>
                <w:sz w:val="20"/>
              </w:rPr>
            </w:pPr>
          </w:p>
        </w:tc>
      </w:tr>
      <w:tr w:rsidR="00974BDD" w:rsidRPr="003E2FFC" w:rsidTr="002F07D0">
        <w:tc>
          <w:tcPr>
            <w:tcW w:w="3172" w:type="dxa"/>
            <w:tcBorders>
              <w:top w:val="nil"/>
              <w:bottom w:val="nil"/>
            </w:tcBorders>
          </w:tcPr>
          <w:p w:rsidR="00974BDD" w:rsidRPr="003E2FFC" w:rsidRDefault="00F2016F" w:rsidP="003E2FFC">
            <w:pPr>
              <w:spacing w:line="360" w:lineRule="auto"/>
              <w:jc w:val="both"/>
              <w:rPr>
                <w:rFonts w:ascii="Times New Roman" w:hAnsi="Times New Roman" w:cs="Times New Roman"/>
                <w:sz w:val="20"/>
              </w:rPr>
            </w:pPr>
            <w:r w:rsidRPr="003E2FFC">
              <w:rPr>
                <w:rFonts w:ascii="Times New Roman" w:hAnsi="Times New Roman" w:cs="Times New Roman"/>
                <w:sz w:val="20"/>
              </w:rPr>
              <w:t xml:space="preserve">Peripheral </w:t>
            </w:r>
            <w:r w:rsidR="001826FB" w:rsidRPr="003E2FFC">
              <w:rPr>
                <w:rFonts w:ascii="Times New Roman" w:hAnsi="Times New Roman" w:cs="Times New Roman"/>
                <w:sz w:val="20"/>
              </w:rPr>
              <w:t>N</w:t>
            </w:r>
            <w:r w:rsidR="005D5D67" w:rsidRPr="003E2FFC">
              <w:rPr>
                <w:rFonts w:ascii="Times New Roman" w:hAnsi="Times New Roman" w:cs="Times New Roman"/>
                <w:sz w:val="20"/>
              </w:rPr>
              <w:t>e</w:t>
            </w:r>
            <w:r w:rsidR="001826FB" w:rsidRPr="003E2FFC">
              <w:rPr>
                <w:rFonts w:ascii="Times New Roman" w:hAnsi="Times New Roman" w:cs="Times New Roman"/>
                <w:sz w:val="20"/>
              </w:rPr>
              <w:t>u</w:t>
            </w:r>
            <w:r w:rsidR="00974BDD" w:rsidRPr="003E2FFC">
              <w:rPr>
                <w:rFonts w:ascii="Times New Roman" w:hAnsi="Times New Roman" w:cs="Times New Roman"/>
                <w:sz w:val="20"/>
              </w:rPr>
              <w:t>ritis</w:t>
            </w:r>
          </w:p>
        </w:tc>
        <w:tc>
          <w:tcPr>
            <w:tcW w:w="1173" w:type="dxa"/>
            <w:tcBorders>
              <w:top w:val="nil"/>
              <w:bottom w:val="nil"/>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1</w:t>
            </w:r>
          </w:p>
        </w:tc>
        <w:tc>
          <w:tcPr>
            <w:tcW w:w="939" w:type="dxa"/>
            <w:tcBorders>
              <w:top w:val="nil"/>
              <w:left w:val="single" w:sz="4" w:space="0" w:color="auto"/>
              <w:bottom w:val="nil"/>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2.3</w:t>
            </w:r>
          </w:p>
        </w:tc>
        <w:tc>
          <w:tcPr>
            <w:tcW w:w="889" w:type="dxa"/>
            <w:tcBorders>
              <w:top w:val="nil"/>
              <w:left w:val="single" w:sz="4" w:space="0" w:color="auto"/>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0</w:t>
            </w:r>
          </w:p>
        </w:tc>
        <w:tc>
          <w:tcPr>
            <w:tcW w:w="1074" w:type="dxa"/>
            <w:tcBorders>
              <w:top w:val="nil"/>
              <w:bottom w:val="nil"/>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0.0</w:t>
            </w:r>
          </w:p>
        </w:tc>
        <w:tc>
          <w:tcPr>
            <w:tcW w:w="889" w:type="dxa"/>
            <w:tcBorders>
              <w:top w:val="nil"/>
              <w:left w:val="single" w:sz="4" w:space="0" w:color="auto"/>
              <w:bottom w:val="nil"/>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1</w:t>
            </w:r>
          </w:p>
        </w:tc>
        <w:tc>
          <w:tcPr>
            <w:tcW w:w="800" w:type="dxa"/>
            <w:tcBorders>
              <w:top w:val="nil"/>
              <w:left w:val="single" w:sz="4" w:space="0" w:color="auto"/>
              <w:bottom w:val="nil"/>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1.1</w:t>
            </w:r>
          </w:p>
        </w:tc>
        <w:tc>
          <w:tcPr>
            <w:tcW w:w="948" w:type="dxa"/>
            <w:tcBorders>
              <w:top w:val="nil"/>
              <w:left w:val="single" w:sz="4" w:space="0" w:color="auto"/>
              <w:bottom w:val="nil"/>
            </w:tcBorders>
          </w:tcPr>
          <w:p w:rsidR="00974BDD" w:rsidRPr="003E2FFC" w:rsidRDefault="00974BDD" w:rsidP="003E2FFC">
            <w:pPr>
              <w:spacing w:line="360" w:lineRule="auto"/>
              <w:jc w:val="both"/>
              <w:rPr>
                <w:rFonts w:ascii="Times New Roman" w:hAnsi="Times New Roman" w:cs="Times New Roman"/>
                <w:sz w:val="20"/>
              </w:rPr>
            </w:pPr>
          </w:p>
        </w:tc>
      </w:tr>
      <w:tr w:rsidR="00974BDD" w:rsidRPr="003E2FFC" w:rsidTr="002F07D0">
        <w:tc>
          <w:tcPr>
            <w:tcW w:w="3172" w:type="dxa"/>
            <w:tcBorders>
              <w:top w:val="nil"/>
              <w:bottom w:val="nil"/>
            </w:tcBorders>
          </w:tcPr>
          <w:p w:rsidR="00974BDD" w:rsidRPr="003E2FFC" w:rsidRDefault="00F2016F" w:rsidP="003E2FFC">
            <w:pPr>
              <w:spacing w:line="360" w:lineRule="auto"/>
              <w:jc w:val="both"/>
              <w:rPr>
                <w:rFonts w:ascii="Times New Roman" w:hAnsi="Times New Roman" w:cs="Times New Roman"/>
                <w:sz w:val="20"/>
              </w:rPr>
            </w:pPr>
            <w:r w:rsidRPr="003E2FFC">
              <w:rPr>
                <w:rFonts w:ascii="Times New Roman" w:hAnsi="Times New Roman" w:cs="Times New Roman"/>
                <w:sz w:val="20"/>
              </w:rPr>
              <w:t>Ototoxicity</w:t>
            </w:r>
          </w:p>
        </w:tc>
        <w:tc>
          <w:tcPr>
            <w:tcW w:w="1173" w:type="dxa"/>
            <w:tcBorders>
              <w:top w:val="nil"/>
              <w:bottom w:val="nil"/>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1</w:t>
            </w:r>
          </w:p>
        </w:tc>
        <w:tc>
          <w:tcPr>
            <w:tcW w:w="939" w:type="dxa"/>
            <w:tcBorders>
              <w:top w:val="nil"/>
              <w:left w:val="single" w:sz="4" w:space="0" w:color="auto"/>
              <w:bottom w:val="nil"/>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2.3</w:t>
            </w:r>
          </w:p>
        </w:tc>
        <w:tc>
          <w:tcPr>
            <w:tcW w:w="889" w:type="dxa"/>
            <w:tcBorders>
              <w:top w:val="nil"/>
              <w:left w:val="single" w:sz="4" w:space="0" w:color="auto"/>
              <w:bottom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0</w:t>
            </w:r>
          </w:p>
        </w:tc>
        <w:tc>
          <w:tcPr>
            <w:tcW w:w="1074" w:type="dxa"/>
            <w:tcBorders>
              <w:top w:val="nil"/>
              <w:bottom w:val="nil"/>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0.0</w:t>
            </w:r>
          </w:p>
        </w:tc>
        <w:tc>
          <w:tcPr>
            <w:tcW w:w="889" w:type="dxa"/>
            <w:tcBorders>
              <w:top w:val="nil"/>
              <w:left w:val="single" w:sz="4" w:space="0" w:color="auto"/>
              <w:bottom w:val="nil"/>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1</w:t>
            </w:r>
          </w:p>
        </w:tc>
        <w:tc>
          <w:tcPr>
            <w:tcW w:w="800" w:type="dxa"/>
            <w:tcBorders>
              <w:top w:val="nil"/>
              <w:left w:val="single" w:sz="4" w:space="0" w:color="auto"/>
              <w:bottom w:val="nil"/>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1.1</w:t>
            </w:r>
          </w:p>
        </w:tc>
        <w:tc>
          <w:tcPr>
            <w:tcW w:w="948" w:type="dxa"/>
            <w:tcBorders>
              <w:top w:val="nil"/>
              <w:left w:val="single" w:sz="4" w:space="0" w:color="auto"/>
              <w:bottom w:val="nil"/>
            </w:tcBorders>
          </w:tcPr>
          <w:p w:rsidR="00974BDD" w:rsidRPr="003E2FFC" w:rsidRDefault="00974BDD" w:rsidP="003E2FFC">
            <w:pPr>
              <w:spacing w:line="360" w:lineRule="auto"/>
              <w:jc w:val="both"/>
              <w:rPr>
                <w:rFonts w:ascii="Times New Roman" w:hAnsi="Times New Roman" w:cs="Times New Roman"/>
                <w:sz w:val="20"/>
              </w:rPr>
            </w:pPr>
          </w:p>
        </w:tc>
      </w:tr>
      <w:tr w:rsidR="00974BDD" w:rsidRPr="003E2FFC" w:rsidTr="002F07D0">
        <w:tc>
          <w:tcPr>
            <w:tcW w:w="3172" w:type="dxa"/>
            <w:tcBorders>
              <w:top w:val="nil"/>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Thrombocytopenia</w:t>
            </w:r>
          </w:p>
        </w:tc>
        <w:tc>
          <w:tcPr>
            <w:tcW w:w="1173" w:type="dxa"/>
            <w:tcBorders>
              <w:top w:val="nil"/>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1</w:t>
            </w:r>
          </w:p>
        </w:tc>
        <w:tc>
          <w:tcPr>
            <w:tcW w:w="939" w:type="dxa"/>
            <w:tcBorders>
              <w:top w:val="nil"/>
              <w:left w:val="single" w:sz="4" w:space="0" w:color="auto"/>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2.3</w:t>
            </w:r>
          </w:p>
        </w:tc>
        <w:tc>
          <w:tcPr>
            <w:tcW w:w="889" w:type="dxa"/>
            <w:tcBorders>
              <w:top w:val="nil"/>
              <w:lef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0</w:t>
            </w:r>
          </w:p>
        </w:tc>
        <w:tc>
          <w:tcPr>
            <w:tcW w:w="1074" w:type="dxa"/>
            <w:tcBorders>
              <w:top w:val="nil"/>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0.0</w:t>
            </w:r>
          </w:p>
        </w:tc>
        <w:tc>
          <w:tcPr>
            <w:tcW w:w="889" w:type="dxa"/>
            <w:tcBorders>
              <w:top w:val="nil"/>
              <w:left w:val="single" w:sz="4" w:space="0" w:color="auto"/>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1</w:t>
            </w:r>
          </w:p>
        </w:tc>
        <w:tc>
          <w:tcPr>
            <w:tcW w:w="800" w:type="dxa"/>
            <w:tcBorders>
              <w:top w:val="nil"/>
              <w:left w:val="single" w:sz="4" w:space="0" w:color="auto"/>
              <w:right w:val="single" w:sz="4" w:space="0" w:color="auto"/>
            </w:tcBorders>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1.1</w:t>
            </w:r>
          </w:p>
        </w:tc>
        <w:tc>
          <w:tcPr>
            <w:tcW w:w="948" w:type="dxa"/>
            <w:tcBorders>
              <w:top w:val="nil"/>
              <w:left w:val="single" w:sz="4" w:space="0" w:color="auto"/>
            </w:tcBorders>
          </w:tcPr>
          <w:p w:rsidR="00974BDD" w:rsidRPr="003E2FFC" w:rsidRDefault="00974BDD" w:rsidP="003E2FFC">
            <w:pPr>
              <w:spacing w:line="360" w:lineRule="auto"/>
              <w:jc w:val="both"/>
              <w:rPr>
                <w:rFonts w:ascii="Times New Roman" w:hAnsi="Times New Roman" w:cs="Times New Roman"/>
                <w:sz w:val="20"/>
              </w:rPr>
            </w:pPr>
          </w:p>
        </w:tc>
      </w:tr>
      <w:tr w:rsidR="00974BDD" w:rsidRPr="003E2FFC" w:rsidTr="002F07D0">
        <w:tc>
          <w:tcPr>
            <w:tcW w:w="3172" w:type="dxa"/>
          </w:tcPr>
          <w:p w:rsidR="00974BDD" w:rsidRPr="003E2FFC" w:rsidRDefault="00974BDD" w:rsidP="003E2FFC">
            <w:pPr>
              <w:spacing w:line="360" w:lineRule="auto"/>
              <w:jc w:val="both"/>
              <w:rPr>
                <w:rFonts w:ascii="Times New Roman" w:hAnsi="Times New Roman" w:cs="Times New Roman"/>
                <w:b/>
                <w:sz w:val="20"/>
              </w:rPr>
            </w:pPr>
            <w:r w:rsidRPr="003E2FFC">
              <w:rPr>
                <w:rFonts w:ascii="Times New Roman" w:hAnsi="Times New Roman" w:cs="Times New Roman"/>
                <w:b/>
                <w:sz w:val="20"/>
              </w:rPr>
              <w:t>Total</w:t>
            </w:r>
          </w:p>
        </w:tc>
        <w:tc>
          <w:tcPr>
            <w:tcW w:w="1173" w:type="dxa"/>
            <w:tcBorders>
              <w:right w:val="single" w:sz="4" w:space="0" w:color="auto"/>
            </w:tcBorders>
          </w:tcPr>
          <w:p w:rsidR="00974BDD" w:rsidRPr="003E2FFC" w:rsidRDefault="00974BDD" w:rsidP="003E2FFC">
            <w:pPr>
              <w:spacing w:line="360" w:lineRule="auto"/>
              <w:jc w:val="both"/>
              <w:rPr>
                <w:rFonts w:ascii="Times New Roman" w:hAnsi="Times New Roman" w:cs="Times New Roman"/>
                <w:b/>
                <w:sz w:val="20"/>
              </w:rPr>
            </w:pPr>
            <w:r w:rsidRPr="003E2FFC">
              <w:rPr>
                <w:rFonts w:ascii="Times New Roman" w:hAnsi="Times New Roman" w:cs="Times New Roman"/>
                <w:b/>
                <w:sz w:val="20"/>
              </w:rPr>
              <w:t>43</w:t>
            </w:r>
          </w:p>
        </w:tc>
        <w:tc>
          <w:tcPr>
            <w:tcW w:w="939" w:type="dxa"/>
            <w:tcBorders>
              <w:left w:val="single" w:sz="4" w:space="0" w:color="auto"/>
              <w:right w:val="single" w:sz="4" w:space="0" w:color="auto"/>
            </w:tcBorders>
          </w:tcPr>
          <w:p w:rsidR="00974BDD" w:rsidRPr="003E2FFC" w:rsidRDefault="00974BDD" w:rsidP="003E2FFC">
            <w:pPr>
              <w:spacing w:line="360" w:lineRule="auto"/>
              <w:jc w:val="both"/>
              <w:rPr>
                <w:rFonts w:ascii="Times New Roman" w:hAnsi="Times New Roman" w:cs="Times New Roman"/>
                <w:b/>
                <w:sz w:val="20"/>
              </w:rPr>
            </w:pPr>
            <w:r w:rsidRPr="003E2FFC">
              <w:rPr>
                <w:rFonts w:ascii="Times New Roman" w:hAnsi="Times New Roman" w:cs="Times New Roman"/>
                <w:b/>
                <w:sz w:val="20"/>
              </w:rPr>
              <w:t>100.0</w:t>
            </w:r>
          </w:p>
        </w:tc>
        <w:tc>
          <w:tcPr>
            <w:tcW w:w="889" w:type="dxa"/>
            <w:tcBorders>
              <w:left w:val="single" w:sz="4" w:space="0" w:color="auto"/>
            </w:tcBorders>
          </w:tcPr>
          <w:p w:rsidR="00974BDD" w:rsidRPr="003E2FFC" w:rsidRDefault="00974BDD" w:rsidP="003E2FFC">
            <w:pPr>
              <w:spacing w:line="360" w:lineRule="auto"/>
              <w:jc w:val="both"/>
              <w:rPr>
                <w:rFonts w:ascii="Times New Roman" w:hAnsi="Times New Roman" w:cs="Times New Roman"/>
                <w:b/>
                <w:sz w:val="20"/>
              </w:rPr>
            </w:pPr>
            <w:r w:rsidRPr="003E2FFC">
              <w:rPr>
                <w:rFonts w:ascii="Times New Roman" w:hAnsi="Times New Roman" w:cs="Times New Roman"/>
                <w:b/>
                <w:sz w:val="20"/>
              </w:rPr>
              <w:t>46</w:t>
            </w:r>
          </w:p>
        </w:tc>
        <w:tc>
          <w:tcPr>
            <w:tcW w:w="1074" w:type="dxa"/>
            <w:tcBorders>
              <w:right w:val="single" w:sz="4" w:space="0" w:color="auto"/>
            </w:tcBorders>
          </w:tcPr>
          <w:p w:rsidR="00974BDD" w:rsidRPr="003E2FFC" w:rsidRDefault="00974BDD" w:rsidP="003E2FFC">
            <w:pPr>
              <w:spacing w:line="360" w:lineRule="auto"/>
              <w:jc w:val="both"/>
              <w:rPr>
                <w:rFonts w:ascii="Times New Roman" w:hAnsi="Times New Roman" w:cs="Times New Roman"/>
                <w:b/>
                <w:sz w:val="20"/>
              </w:rPr>
            </w:pPr>
            <w:r w:rsidRPr="003E2FFC">
              <w:rPr>
                <w:rFonts w:ascii="Times New Roman" w:hAnsi="Times New Roman" w:cs="Times New Roman"/>
                <w:b/>
                <w:sz w:val="20"/>
              </w:rPr>
              <w:t>100.0</w:t>
            </w:r>
          </w:p>
        </w:tc>
        <w:tc>
          <w:tcPr>
            <w:tcW w:w="889" w:type="dxa"/>
            <w:tcBorders>
              <w:left w:val="single" w:sz="4" w:space="0" w:color="auto"/>
              <w:right w:val="single" w:sz="4" w:space="0" w:color="auto"/>
            </w:tcBorders>
          </w:tcPr>
          <w:p w:rsidR="00974BDD" w:rsidRPr="003E2FFC" w:rsidRDefault="00974BDD" w:rsidP="003E2FFC">
            <w:pPr>
              <w:spacing w:line="360" w:lineRule="auto"/>
              <w:jc w:val="both"/>
              <w:rPr>
                <w:rFonts w:ascii="Times New Roman" w:hAnsi="Times New Roman" w:cs="Times New Roman"/>
                <w:b/>
                <w:sz w:val="20"/>
              </w:rPr>
            </w:pPr>
            <w:r w:rsidRPr="003E2FFC">
              <w:rPr>
                <w:rFonts w:ascii="Times New Roman" w:hAnsi="Times New Roman" w:cs="Times New Roman"/>
                <w:b/>
                <w:sz w:val="20"/>
              </w:rPr>
              <w:t>89</w:t>
            </w:r>
          </w:p>
        </w:tc>
        <w:tc>
          <w:tcPr>
            <w:tcW w:w="800" w:type="dxa"/>
            <w:tcBorders>
              <w:left w:val="single" w:sz="4" w:space="0" w:color="auto"/>
              <w:right w:val="single" w:sz="4" w:space="0" w:color="auto"/>
            </w:tcBorders>
          </w:tcPr>
          <w:p w:rsidR="00974BDD" w:rsidRPr="003E2FFC" w:rsidRDefault="00974BDD" w:rsidP="003E2FFC">
            <w:pPr>
              <w:spacing w:line="360" w:lineRule="auto"/>
              <w:jc w:val="both"/>
              <w:rPr>
                <w:rFonts w:ascii="Times New Roman" w:hAnsi="Times New Roman" w:cs="Times New Roman"/>
                <w:b/>
                <w:sz w:val="20"/>
              </w:rPr>
            </w:pPr>
            <w:r w:rsidRPr="003E2FFC">
              <w:rPr>
                <w:rFonts w:ascii="Times New Roman" w:hAnsi="Times New Roman" w:cs="Times New Roman"/>
                <w:b/>
                <w:sz w:val="20"/>
              </w:rPr>
              <w:t>100.0</w:t>
            </w:r>
          </w:p>
        </w:tc>
        <w:tc>
          <w:tcPr>
            <w:tcW w:w="948" w:type="dxa"/>
            <w:tcBorders>
              <w:left w:val="single" w:sz="4" w:space="0" w:color="auto"/>
            </w:tcBorders>
          </w:tcPr>
          <w:p w:rsidR="00974BDD" w:rsidRPr="003E2FFC" w:rsidRDefault="00974BDD" w:rsidP="003E2FFC">
            <w:pPr>
              <w:spacing w:line="360" w:lineRule="auto"/>
              <w:jc w:val="both"/>
              <w:rPr>
                <w:rFonts w:ascii="Times New Roman" w:hAnsi="Times New Roman" w:cs="Times New Roman"/>
                <w:b/>
                <w:sz w:val="20"/>
              </w:rPr>
            </w:pPr>
          </w:p>
        </w:tc>
      </w:tr>
      <w:tr w:rsidR="00974BDD" w:rsidRPr="003E2FFC" w:rsidTr="002F07D0">
        <w:tc>
          <w:tcPr>
            <w:tcW w:w="9884" w:type="dxa"/>
            <w:gridSpan w:val="8"/>
          </w:tcPr>
          <w:p w:rsidR="00974BDD" w:rsidRPr="003E2FFC" w:rsidRDefault="00974BDD" w:rsidP="003E2FFC">
            <w:pPr>
              <w:spacing w:line="360" w:lineRule="auto"/>
              <w:jc w:val="both"/>
              <w:rPr>
                <w:rFonts w:ascii="Times New Roman" w:hAnsi="Times New Roman" w:cs="Times New Roman"/>
                <w:sz w:val="20"/>
              </w:rPr>
            </w:pPr>
            <w:r w:rsidRPr="003E2FFC">
              <w:rPr>
                <w:rFonts w:ascii="Times New Roman" w:hAnsi="Times New Roman" w:cs="Times New Roman"/>
                <w:sz w:val="20"/>
              </w:rPr>
              <w:t>P-value by Chi-Square test. P-value&lt;0.05 is considered to be statistically significant. *P-value&lt;0.05.</w:t>
            </w:r>
          </w:p>
        </w:tc>
      </w:tr>
    </w:tbl>
    <w:p w:rsidR="00974BDD" w:rsidRPr="003E2FFC" w:rsidRDefault="00974BDD" w:rsidP="003E2FFC">
      <w:pPr>
        <w:spacing w:after="0" w:line="360" w:lineRule="auto"/>
        <w:jc w:val="both"/>
        <w:rPr>
          <w:rFonts w:ascii="Times New Roman" w:hAnsi="Times New Roman" w:cs="Times New Roman"/>
          <w:b/>
          <w:sz w:val="20"/>
        </w:rPr>
      </w:pPr>
    </w:p>
    <w:p w:rsidR="00974BDD" w:rsidRPr="003E2FFC" w:rsidRDefault="00974BDD" w:rsidP="003E2FFC">
      <w:pPr>
        <w:spacing w:after="0" w:line="360" w:lineRule="auto"/>
        <w:jc w:val="both"/>
        <w:rPr>
          <w:rFonts w:ascii="Times New Roman" w:hAnsi="Times New Roman" w:cs="Times New Roman"/>
          <w:sz w:val="20"/>
        </w:rPr>
      </w:pPr>
      <w:r w:rsidRPr="003E2FFC">
        <w:rPr>
          <w:rFonts w:ascii="Times New Roman" w:hAnsi="Times New Roman" w:cs="Times New Roman"/>
          <w:sz w:val="20"/>
        </w:rPr>
        <w:t>Of 43 male cases studied, the most common adverse effect was Hyperuricemia which was observed in 4 cases (9.3% of total males), followed by Gastritis and hyperuricemia, N</w:t>
      </w:r>
      <w:r w:rsidR="00351D0E" w:rsidRPr="003E2FFC">
        <w:rPr>
          <w:rFonts w:ascii="Times New Roman" w:hAnsi="Times New Roman" w:cs="Times New Roman"/>
          <w:sz w:val="20"/>
        </w:rPr>
        <w:t>eu</w:t>
      </w:r>
      <w:r w:rsidRPr="003E2FFC">
        <w:rPr>
          <w:rFonts w:ascii="Times New Roman" w:hAnsi="Times New Roman" w:cs="Times New Roman"/>
          <w:sz w:val="20"/>
        </w:rPr>
        <w:t>ritis, Hearing loss and Thrombocytopenia which was observed in one case each.</w:t>
      </w:r>
    </w:p>
    <w:p w:rsidR="00974BDD" w:rsidRPr="003E2FFC" w:rsidRDefault="00974BDD" w:rsidP="003E2FFC">
      <w:pPr>
        <w:spacing w:after="0" w:line="360" w:lineRule="auto"/>
        <w:jc w:val="both"/>
        <w:rPr>
          <w:rFonts w:ascii="Times New Roman" w:hAnsi="Times New Roman" w:cs="Times New Roman"/>
          <w:sz w:val="20"/>
        </w:rPr>
      </w:pPr>
      <w:r w:rsidRPr="003E2FFC">
        <w:rPr>
          <w:rFonts w:ascii="Times New Roman" w:hAnsi="Times New Roman" w:cs="Times New Roman"/>
          <w:sz w:val="20"/>
        </w:rPr>
        <w:lastRenderedPageBreak/>
        <w:t>Of 46 female cases studied, the most common adverse effect was Gastritis was observed in 7 cases (15.2% of total females), followed by Hyperuricemia in 6 cases (13.0% of total females), followed by Gastritis and hyperuricemia, Drug induced hepatitis and Skin rash which was observed in three cases each.</w:t>
      </w:r>
    </w:p>
    <w:p w:rsidR="00974BDD" w:rsidRPr="003E2FFC" w:rsidRDefault="00974BDD" w:rsidP="003E2FFC">
      <w:pPr>
        <w:spacing w:after="0" w:line="360" w:lineRule="auto"/>
        <w:jc w:val="both"/>
        <w:rPr>
          <w:rFonts w:ascii="Times New Roman" w:hAnsi="Times New Roman" w:cs="Times New Roman"/>
          <w:sz w:val="20"/>
        </w:rPr>
      </w:pPr>
      <w:r w:rsidRPr="003E2FFC">
        <w:rPr>
          <w:rFonts w:ascii="Times New Roman" w:hAnsi="Times New Roman" w:cs="Times New Roman"/>
          <w:sz w:val="20"/>
        </w:rPr>
        <w:t>Distribution of incidence of adverse effect of ATT differs significantly between group of male and group of female cases studied (P-value&lt;0.05).</w:t>
      </w:r>
    </w:p>
    <w:p w:rsidR="00974BDD" w:rsidRPr="003E2FFC" w:rsidRDefault="00974BDD" w:rsidP="003E2FFC">
      <w:pPr>
        <w:spacing w:after="0" w:line="360" w:lineRule="auto"/>
        <w:jc w:val="both"/>
        <w:rPr>
          <w:rFonts w:ascii="Times New Roman" w:hAnsi="Times New Roman" w:cs="Times New Roman"/>
          <w:b/>
          <w:sz w:val="20"/>
        </w:rPr>
      </w:pPr>
      <w:r w:rsidRPr="003E2FFC">
        <w:rPr>
          <w:rFonts w:ascii="Times New Roman" w:hAnsi="Times New Roman" w:cs="Times New Roman"/>
          <w:b/>
          <w:noProof/>
          <w:sz w:val="20"/>
          <w:lang w:val="en-IN" w:eastAsia="en-IN"/>
        </w:rPr>
        <w:drawing>
          <wp:inline distT="0" distB="0" distL="0" distR="0" wp14:anchorId="6892DEE6" wp14:editId="657E01BB">
            <wp:extent cx="5810250" cy="32004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74BDD" w:rsidRPr="003E2FFC" w:rsidRDefault="00974BDD" w:rsidP="003E2FFC">
      <w:pPr>
        <w:spacing w:after="0" w:line="360" w:lineRule="auto"/>
        <w:jc w:val="both"/>
        <w:rPr>
          <w:rFonts w:ascii="Times New Roman" w:hAnsi="Times New Roman" w:cs="Times New Roman"/>
          <w:b/>
          <w:sz w:val="20"/>
        </w:rPr>
      </w:pPr>
      <w:r w:rsidRPr="003E2FFC">
        <w:rPr>
          <w:rFonts w:ascii="Times New Roman" w:hAnsi="Times New Roman" w:cs="Times New Roman"/>
          <w:b/>
          <w:sz w:val="20"/>
        </w:rPr>
        <w:t>Figure 5) Distribution of adverse effects of ATT according to sex in the study group.</w:t>
      </w:r>
    </w:p>
    <w:p w:rsidR="003E2FFC" w:rsidRDefault="003E2FFC" w:rsidP="003E2FFC">
      <w:pPr>
        <w:spacing w:after="0" w:line="360" w:lineRule="auto"/>
        <w:jc w:val="both"/>
        <w:rPr>
          <w:rFonts w:ascii="Times New Roman" w:hAnsi="Times New Roman" w:cs="Times New Roman"/>
          <w:b/>
          <w:sz w:val="20"/>
        </w:rPr>
      </w:pPr>
    </w:p>
    <w:p w:rsidR="00E044D7" w:rsidRPr="003E2FFC" w:rsidRDefault="00351D0E" w:rsidP="003E2FFC">
      <w:pPr>
        <w:spacing w:after="0" w:line="360" w:lineRule="auto"/>
        <w:jc w:val="both"/>
        <w:rPr>
          <w:rFonts w:ascii="Times New Roman" w:hAnsi="Times New Roman" w:cs="Times New Roman"/>
          <w:b/>
          <w:sz w:val="20"/>
        </w:rPr>
      </w:pPr>
      <w:r w:rsidRPr="003E2FFC">
        <w:rPr>
          <w:rFonts w:ascii="Times New Roman" w:hAnsi="Times New Roman" w:cs="Times New Roman"/>
          <w:b/>
          <w:sz w:val="20"/>
        </w:rPr>
        <w:t>DISCUSSION:</w:t>
      </w:r>
    </w:p>
    <w:p w:rsidR="0037106C" w:rsidRPr="003E2FFC" w:rsidRDefault="0037106C" w:rsidP="003E2FFC">
      <w:pPr>
        <w:spacing w:after="0" w:line="360" w:lineRule="auto"/>
        <w:jc w:val="both"/>
        <w:rPr>
          <w:rFonts w:ascii="Times New Roman" w:hAnsi="Times New Roman" w:cs="Times New Roman"/>
          <w:sz w:val="20"/>
        </w:rPr>
      </w:pPr>
      <w:r w:rsidRPr="003E2FFC">
        <w:rPr>
          <w:rFonts w:ascii="Times New Roman" w:hAnsi="Times New Roman" w:cs="Times New Roman"/>
          <w:sz w:val="20"/>
        </w:rPr>
        <w:t>India is the highest TB burden</w:t>
      </w:r>
      <w:r w:rsidR="00D61D63" w:rsidRPr="003E2FFC">
        <w:rPr>
          <w:rFonts w:ascii="Times New Roman" w:hAnsi="Times New Roman" w:cs="Times New Roman"/>
          <w:sz w:val="20"/>
        </w:rPr>
        <w:t xml:space="preserve"> co</w:t>
      </w:r>
      <w:r w:rsidR="00A34070" w:rsidRPr="003E2FFC">
        <w:rPr>
          <w:rFonts w:ascii="Times New Roman" w:hAnsi="Times New Roman" w:cs="Times New Roman"/>
          <w:sz w:val="20"/>
        </w:rPr>
        <w:t>untry accounting for one fifth (</w:t>
      </w:r>
      <w:r w:rsidR="00D61D63" w:rsidRPr="003E2FFC">
        <w:rPr>
          <w:rFonts w:ascii="Times New Roman" w:hAnsi="Times New Roman" w:cs="Times New Roman"/>
          <w:sz w:val="20"/>
        </w:rPr>
        <w:t>21%</w:t>
      </w:r>
      <w:r w:rsidR="00A34070" w:rsidRPr="003E2FFC">
        <w:rPr>
          <w:rFonts w:ascii="Times New Roman" w:hAnsi="Times New Roman" w:cs="Times New Roman"/>
          <w:sz w:val="20"/>
        </w:rPr>
        <w:t xml:space="preserve">) </w:t>
      </w:r>
      <w:r w:rsidR="00D61D63" w:rsidRPr="003E2FFC">
        <w:rPr>
          <w:rFonts w:ascii="Times New Roman" w:hAnsi="Times New Roman" w:cs="Times New Roman"/>
          <w:sz w:val="20"/>
        </w:rPr>
        <w:t>of the global incidence. Default is one of the unfavorable outcomes for patients on DOTS and represents an im</w:t>
      </w:r>
      <w:r w:rsidR="0060489F" w:rsidRPr="003E2FFC">
        <w:rPr>
          <w:rFonts w:ascii="Times New Roman" w:hAnsi="Times New Roman" w:cs="Times New Roman"/>
          <w:sz w:val="20"/>
        </w:rPr>
        <w:t xml:space="preserve">portant challenge for the Tuberculosis </w:t>
      </w:r>
      <w:proofErr w:type="gramStart"/>
      <w:r w:rsidR="0060489F" w:rsidRPr="003E2FFC">
        <w:rPr>
          <w:rFonts w:ascii="Times New Roman" w:hAnsi="Times New Roman" w:cs="Times New Roman"/>
          <w:sz w:val="20"/>
        </w:rPr>
        <w:t xml:space="preserve">elimination </w:t>
      </w:r>
      <w:r w:rsidR="00D61D63" w:rsidRPr="003E2FFC">
        <w:rPr>
          <w:rFonts w:ascii="Times New Roman" w:hAnsi="Times New Roman" w:cs="Times New Roman"/>
          <w:sz w:val="20"/>
        </w:rPr>
        <w:t xml:space="preserve"> program</w:t>
      </w:r>
      <w:proofErr w:type="gramEnd"/>
      <w:r w:rsidR="00D61D63" w:rsidRPr="003E2FFC">
        <w:rPr>
          <w:rFonts w:ascii="Times New Roman" w:hAnsi="Times New Roman" w:cs="Times New Roman"/>
          <w:sz w:val="20"/>
        </w:rPr>
        <w:t xml:space="preserve">. In study done by </w:t>
      </w:r>
      <w:proofErr w:type="spellStart"/>
      <w:r w:rsidR="00D61D63" w:rsidRPr="003E2FFC">
        <w:rPr>
          <w:rFonts w:ascii="Times New Roman" w:hAnsi="Times New Roman" w:cs="Times New Roman"/>
          <w:sz w:val="20"/>
        </w:rPr>
        <w:t>Geeta</w:t>
      </w:r>
      <w:proofErr w:type="spellEnd"/>
      <w:r w:rsidR="00D61D63" w:rsidRPr="003E2FFC">
        <w:rPr>
          <w:rFonts w:ascii="Times New Roman" w:hAnsi="Times New Roman" w:cs="Times New Roman"/>
          <w:sz w:val="20"/>
        </w:rPr>
        <w:t xml:space="preserve"> S </w:t>
      </w:r>
      <w:proofErr w:type="spellStart"/>
      <w:r w:rsidR="00D61D63" w:rsidRPr="003E2FFC">
        <w:rPr>
          <w:rFonts w:ascii="Times New Roman" w:hAnsi="Times New Roman" w:cs="Times New Roman"/>
          <w:sz w:val="20"/>
        </w:rPr>
        <w:t>Pardeshi</w:t>
      </w:r>
      <w:proofErr w:type="spellEnd"/>
      <w:r w:rsidR="00BE365C" w:rsidRPr="003E2FFC">
        <w:rPr>
          <w:rFonts w:ascii="Times New Roman" w:hAnsi="Times New Roman" w:cs="Times New Roman"/>
          <w:sz w:val="20"/>
        </w:rPr>
        <w:t xml:space="preserve"> reported default rate 10.33</w:t>
      </w:r>
      <w:r w:rsidR="00D61D63" w:rsidRPr="003E2FFC">
        <w:rPr>
          <w:rFonts w:ascii="Times New Roman" w:hAnsi="Times New Roman" w:cs="Times New Roman"/>
          <w:sz w:val="20"/>
        </w:rPr>
        <w:t>%</w:t>
      </w:r>
      <w:r w:rsidR="009A3084" w:rsidRPr="003E2FFC">
        <w:rPr>
          <w:rFonts w:ascii="Times New Roman" w:hAnsi="Times New Roman" w:cs="Times New Roman"/>
          <w:sz w:val="20"/>
          <w:vertAlign w:val="superscript"/>
        </w:rPr>
        <w:t>6</w:t>
      </w:r>
      <w:r w:rsidR="00D61D63" w:rsidRPr="003E2FFC">
        <w:rPr>
          <w:rFonts w:ascii="Times New Roman" w:hAnsi="Times New Roman" w:cs="Times New Roman"/>
          <w:sz w:val="20"/>
        </w:rPr>
        <w:t>.</w:t>
      </w:r>
      <w:r w:rsidR="00BE365C" w:rsidRPr="003E2FFC">
        <w:rPr>
          <w:rFonts w:ascii="Times New Roman" w:hAnsi="Times New Roman" w:cs="Times New Roman"/>
          <w:sz w:val="20"/>
        </w:rPr>
        <w:t xml:space="preserve"> Non-adherence to tuberculosis therapy leading to prolonged infectiousness continuing chain of transmission, drug resistance and death. </w:t>
      </w:r>
      <w:r w:rsidR="00D61D63" w:rsidRPr="003E2FFC">
        <w:rPr>
          <w:rFonts w:ascii="Times New Roman" w:hAnsi="Times New Roman" w:cs="Times New Roman"/>
          <w:sz w:val="20"/>
        </w:rPr>
        <w:t xml:space="preserve"> </w:t>
      </w:r>
      <w:r w:rsidR="00BE365C" w:rsidRPr="003E2FFC">
        <w:rPr>
          <w:rFonts w:ascii="Times New Roman" w:hAnsi="Times New Roman" w:cs="Times New Roman"/>
          <w:sz w:val="20"/>
        </w:rPr>
        <w:t xml:space="preserve">In extrinsic factors associated with default important </w:t>
      </w:r>
      <w:r w:rsidR="00A34070" w:rsidRPr="003E2FFC">
        <w:rPr>
          <w:rFonts w:ascii="Times New Roman" w:hAnsi="Times New Roman" w:cs="Times New Roman"/>
          <w:sz w:val="20"/>
        </w:rPr>
        <w:t>is a side effect</w:t>
      </w:r>
      <w:r w:rsidR="00BE365C" w:rsidRPr="003E2FFC">
        <w:rPr>
          <w:rFonts w:ascii="Times New Roman" w:hAnsi="Times New Roman" w:cs="Times New Roman"/>
          <w:sz w:val="20"/>
        </w:rPr>
        <w:t xml:space="preserve"> of anti</w:t>
      </w:r>
      <w:r w:rsidR="005D5D67" w:rsidRPr="003E2FFC">
        <w:rPr>
          <w:rFonts w:ascii="Times New Roman" w:hAnsi="Times New Roman" w:cs="Times New Roman"/>
          <w:sz w:val="20"/>
        </w:rPr>
        <w:t>-</w:t>
      </w:r>
      <w:r w:rsidR="00BE365C" w:rsidRPr="003E2FFC">
        <w:rPr>
          <w:rFonts w:ascii="Times New Roman" w:hAnsi="Times New Roman" w:cs="Times New Roman"/>
          <w:sz w:val="20"/>
        </w:rPr>
        <w:t>tuberculosis medication</w:t>
      </w:r>
      <w:r w:rsidR="009A3084" w:rsidRPr="003E2FFC">
        <w:rPr>
          <w:rFonts w:ascii="Times New Roman" w:hAnsi="Times New Roman" w:cs="Times New Roman"/>
          <w:sz w:val="20"/>
          <w:vertAlign w:val="superscript"/>
        </w:rPr>
        <w:t>7</w:t>
      </w:r>
      <w:r w:rsidR="00BE365C" w:rsidRPr="003E2FFC">
        <w:rPr>
          <w:rFonts w:ascii="Times New Roman" w:hAnsi="Times New Roman" w:cs="Times New Roman"/>
          <w:sz w:val="20"/>
        </w:rPr>
        <w:t>.</w:t>
      </w:r>
    </w:p>
    <w:p w:rsidR="0068464A" w:rsidRPr="003E2FFC" w:rsidRDefault="00A34070" w:rsidP="003E2FFC">
      <w:pPr>
        <w:spacing w:after="0" w:line="360" w:lineRule="auto"/>
        <w:jc w:val="both"/>
        <w:rPr>
          <w:rFonts w:ascii="Times New Roman" w:hAnsi="Times New Roman" w:cs="Times New Roman"/>
          <w:sz w:val="20"/>
        </w:rPr>
      </w:pPr>
      <w:r w:rsidRPr="003E2FFC">
        <w:rPr>
          <w:rFonts w:ascii="Times New Roman" w:hAnsi="Times New Roman" w:cs="Times New Roman"/>
          <w:sz w:val="20"/>
        </w:rPr>
        <w:t>In this study 31(34.8%) patients of 89 had side effects of primary drugs used to treat tuberculosis.</w:t>
      </w:r>
      <w:r w:rsidR="00883BAE" w:rsidRPr="003E2FFC">
        <w:rPr>
          <w:rFonts w:ascii="Times New Roman" w:hAnsi="Times New Roman" w:cs="Times New Roman"/>
          <w:sz w:val="20"/>
        </w:rPr>
        <w:t xml:space="preserve"> Reported incidence of side effects to anti-TB drugs 8.3% in study done by </w:t>
      </w:r>
      <w:proofErr w:type="spellStart"/>
      <w:r w:rsidR="00883BAE" w:rsidRPr="003E2FFC">
        <w:rPr>
          <w:rFonts w:ascii="Times New Roman" w:hAnsi="Times New Roman" w:cs="Times New Roman"/>
          <w:sz w:val="20"/>
        </w:rPr>
        <w:t>Banu</w:t>
      </w:r>
      <w:proofErr w:type="spellEnd"/>
      <w:r w:rsidR="00883BAE" w:rsidRPr="003E2FFC">
        <w:rPr>
          <w:rFonts w:ascii="Times New Roman" w:hAnsi="Times New Roman" w:cs="Times New Roman"/>
          <w:sz w:val="20"/>
        </w:rPr>
        <w:t xml:space="preserve"> Eris Gulbay</w:t>
      </w:r>
      <w:r w:rsidR="009A3084" w:rsidRPr="003E2FFC">
        <w:rPr>
          <w:rFonts w:ascii="Times New Roman" w:hAnsi="Times New Roman" w:cs="Times New Roman"/>
          <w:sz w:val="20"/>
          <w:vertAlign w:val="superscript"/>
        </w:rPr>
        <w:t>8</w:t>
      </w:r>
      <w:r w:rsidR="00883BAE" w:rsidRPr="003E2FFC">
        <w:rPr>
          <w:rFonts w:ascii="Times New Roman" w:hAnsi="Times New Roman" w:cs="Times New Roman"/>
          <w:sz w:val="20"/>
        </w:rPr>
        <w:t>.</w:t>
      </w:r>
    </w:p>
    <w:p w:rsidR="00A34070" w:rsidRPr="003E2FFC" w:rsidRDefault="000935A9" w:rsidP="003E2FFC">
      <w:pPr>
        <w:spacing w:after="0" w:line="360" w:lineRule="auto"/>
        <w:jc w:val="both"/>
        <w:rPr>
          <w:rFonts w:ascii="Times New Roman" w:hAnsi="Times New Roman" w:cs="Times New Roman"/>
          <w:sz w:val="20"/>
        </w:rPr>
      </w:pPr>
      <w:r w:rsidRPr="003E2FFC">
        <w:rPr>
          <w:rFonts w:ascii="Times New Roman" w:hAnsi="Times New Roman" w:cs="Times New Roman"/>
          <w:sz w:val="20"/>
        </w:rPr>
        <w:t xml:space="preserve"> In this study females outnumbered males with adverse drug reactions to anti-tuberculosis treatment</w:t>
      </w:r>
      <w:r w:rsidR="00715481" w:rsidRPr="003E2FFC">
        <w:rPr>
          <w:rFonts w:ascii="Times New Roman" w:hAnsi="Times New Roman" w:cs="Times New Roman"/>
          <w:sz w:val="20"/>
        </w:rPr>
        <w:t xml:space="preserve"> (females 45.7% compared to males 18.6%).</w:t>
      </w:r>
    </w:p>
    <w:p w:rsidR="001D59E7" w:rsidRPr="003E2FFC" w:rsidRDefault="001D59E7" w:rsidP="003E2FFC">
      <w:pPr>
        <w:spacing w:after="0" w:line="360" w:lineRule="auto"/>
        <w:jc w:val="both"/>
        <w:rPr>
          <w:rFonts w:ascii="Times New Roman" w:hAnsi="Times New Roman" w:cs="Times New Roman"/>
          <w:sz w:val="20"/>
        </w:rPr>
      </w:pPr>
      <w:r w:rsidRPr="003E2FFC">
        <w:rPr>
          <w:rFonts w:ascii="Times New Roman" w:hAnsi="Times New Roman" w:cs="Times New Roman"/>
          <w:sz w:val="20"/>
        </w:rPr>
        <w:t>10</w:t>
      </w:r>
      <w:r w:rsidR="00297448" w:rsidRPr="003E2FFC">
        <w:rPr>
          <w:rFonts w:ascii="Times New Roman" w:hAnsi="Times New Roman" w:cs="Times New Roman"/>
          <w:sz w:val="20"/>
        </w:rPr>
        <w:t xml:space="preserve"> </w:t>
      </w:r>
      <w:r w:rsidRPr="003E2FFC">
        <w:rPr>
          <w:rFonts w:ascii="Times New Roman" w:hAnsi="Times New Roman" w:cs="Times New Roman"/>
          <w:sz w:val="20"/>
        </w:rPr>
        <w:t>patients (11.2%) of 89 showed hyperuricemia, female affection was more compared to male exhibiting symptomatic raised uric acid levels ( 6 females and 4 males). 4 patients showed hyperuricemia associated with gastritis (3 female and 1 male) . Total c</w:t>
      </w:r>
      <w:r w:rsidR="00F2016F" w:rsidRPr="003E2FFC">
        <w:rPr>
          <w:rFonts w:ascii="Times New Roman" w:hAnsi="Times New Roman" w:cs="Times New Roman"/>
          <w:sz w:val="20"/>
        </w:rPr>
        <w:t xml:space="preserve">ases of </w:t>
      </w:r>
      <w:proofErr w:type="spellStart"/>
      <w:r w:rsidR="00A23D03" w:rsidRPr="003E2FFC">
        <w:rPr>
          <w:rFonts w:ascii="Times New Roman" w:hAnsi="Times New Roman" w:cs="Times New Roman"/>
          <w:sz w:val="20"/>
        </w:rPr>
        <w:t>hyperuricemic</w:t>
      </w:r>
      <w:proofErr w:type="spellEnd"/>
      <w:r w:rsidR="00A23D03" w:rsidRPr="003E2FFC">
        <w:rPr>
          <w:rFonts w:ascii="Times New Roman" w:hAnsi="Times New Roman" w:cs="Times New Roman"/>
          <w:sz w:val="20"/>
        </w:rPr>
        <w:t xml:space="preserve"> arthralgia</w:t>
      </w:r>
      <w:r w:rsidRPr="003E2FFC">
        <w:rPr>
          <w:rFonts w:ascii="Times New Roman" w:hAnsi="Times New Roman" w:cs="Times New Roman"/>
          <w:sz w:val="20"/>
        </w:rPr>
        <w:t xml:space="preserve"> reported were 14 of 89 </w:t>
      </w:r>
      <w:r w:rsidR="00A23D03" w:rsidRPr="003E2FFC">
        <w:rPr>
          <w:rFonts w:ascii="Times New Roman" w:hAnsi="Times New Roman" w:cs="Times New Roman"/>
          <w:sz w:val="20"/>
        </w:rPr>
        <w:t>(15.73</w:t>
      </w:r>
      <w:r w:rsidRPr="003E2FFC">
        <w:rPr>
          <w:rFonts w:ascii="Times New Roman" w:hAnsi="Times New Roman" w:cs="Times New Roman"/>
          <w:sz w:val="20"/>
        </w:rPr>
        <w:t>%) where female affection was 10.11%.</w:t>
      </w:r>
      <w:r w:rsidR="000613EE" w:rsidRPr="003E2FFC">
        <w:rPr>
          <w:rFonts w:ascii="Times New Roman" w:hAnsi="Times New Roman" w:cs="Times New Roman"/>
          <w:sz w:val="20"/>
        </w:rPr>
        <w:t xml:space="preserve"> Hyperuricemia has been reported in 43% -100%of patients treated with Pyrazinamide alone or in combination with Ethambutol</w:t>
      </w:r>
      <w:r w:rsidR="009A3084" w:rsidRPr="003E2FFC">
        <w:rPr>
          <w:rFonts w:ascii="Times New Roman" w:hAnsi="Times New Roman" w:cs="Times New Roman"/>
          <w:sz w:val="20"/>
          <w:vertAlign w:val="superscript"/>
        </w:rPr>
        <w:t>9</w:t>
      </w:r>
      <w:r w:rsidR="000613EE" w:rsidRPr="003E2FFC">
        <w:rPr>
          <w:rFonts w:ascii="Times New Roman" w:hAnsi="Times New Roman" w:cs="Times New Roman"/>
          <w:sz w:val="20"/>
        </w:rPr>
        <w:t>.</w:t>
      </w:r>
    </w:p>
    <w:p w:rsidR="00F6798A" w:rsidRPr="003E2FFC" w:rsidRDefault="00254705" w:rsidP="003E2FFC">
      <w:pPr>
        <w:spacing w:after="0" w:line="360" w:lineRule="auto"/>
        <w:jc w:val="both"/>
        <w:rPr>
          <w:rFonts w:ascii="Times New Roman" w:hAnsi="Times New Roman" w:cs="Times New Roman"/>
          <w:sz w:val="20"/>
        </w:rPr>
      </w:pPr>
      <w:r w:rsidRPr="003E2FFC">
        <w:rPr>
          <w:rFonts w:ascii="Times New Roman" w:hAnsi="Times New Roman" w:cs="Times New Roman"/>
          <w:sz w:val="20"/>
        </w:rPr>
        <w:lastRenderedPageBreak/>
        <w:t xml:space="preserve"> </w:t>
      </w:r>
      <w:r w:rsidR="00F6798A" w:rsidRPr="003E2FFC">
        <w:rPr>
          <w:rFonts w:ascii="Times New Roman" w:hAnsi="Times New Roman" w:cs="Times New Roman"/>
          <w:sz w:val="20"/>
        </w:rPr>
        <w:t>ATT induced</w:t>
      </w:r>
      <w:r w:rsidRPr="003E2FFC">
        <w:rPr>
          <w:rFonts w:ascii="Times New Roman" w:hAnsi="Times New Roman" w:cs="Times New Roman"/>
          <w:sz w:val="20"/>
        </w:rPr>
        <w:t xml:space="preserve"> hepatotoxicity</w:t>
      </w:r>
      <w:r w:rsidR="00C62B11" w:rsidRPr="003E2FFC">
        <w:rPr>
          <w:rFonts w:ascii="Times New Roman" w:hAnsi="Times New Roman" w:cs="Times New Roman"/>
          <w:sz w:val="20"/>
        </w:rPr>
        <w:t xml:space="preserve"> </w:t>
      </w:r>
      <w:r w:rsidR="001E2A17" w:rsidRPr="003E2FFC">
        <w:rPr>
          <w:rFonts w:ascii="Times New Roman" w:hAnsi="Times New Roman" w:cs="Times New Roman"/>
          <w:sz w:val="20"/>
        </w:rPr>
        <w:t xml:space="preserve">during standard multidrug TB treatment has been reported to be between </w:t>
      </w:r>
      <w:r w:rsidR="00C62B11" w:rsidRPr="003E2FFC">
        <w:rPr>
          <w:rFonts w:ascii="Times New Roman" w:hAnsi="Times New Roman" w:cs="Times New Roman"/>
          <w:sz w:val="20"/>
        </w:rPr>
        <w:t>2-28</w:t>
      </w:r>
      <w:r w:rsidRPr="003E2FFC">
        <w:rPr>
          <w:rFonts w:ascii="Times New Roman" w:hAnsi="Times New Roman" w:cs="Times New Roman"/>
          <w:sz w:val="20"/>
        </w:rPr>
        <w:t>%</w:t>
      </w:r>
      <w:r w:rsidR="009A3084" w:rsidRPr="003E2FFC">
        <w:rPr>
          <w:rFonts w:ascii="Times New Roman" w:hAnsi="Times New Roman" w:cs="Times New Roman"/>
          <w:sz w:val="20"/>
          <w:vertAlign w:val="superscript"/>
        </w:rPr>
        <w:t>10</w:t>
      </w:r>
      <w:r w:rsidRPr="003E2FFC">
        <w:rPr>
          <w:rFonts w:ascii="Times New Roman" w:hAnsi="Times New Roman" w:cs="Times New Roman"/>
          <w:sz w:val="20"/>
        </w:rPr>
        <w:t xml:space="preserve">. </w:t>
      </w:r>
      <w:r w:rsidR="00F6798A" w:rsidRPr="003E2FFC">
        <w:rPr>
          <w:rFonts w:ascii="Times New Roman" w:hAnsi="Times New Roman" w:cs="Times New Roman"/>
          <w:sz w:val="20"/>
        </w:rPr>
        <w:t xml:space="preserve"> </w:t>
      </w:r>
      <w:r w:rsidR="009A3084" w:rsidRPr="003E2FFC">
        <w:rPr>
          <w:rFonts w:ascii="Times New Roman" w:hAnsi="Times New Roman" w:cs="Times New Roman"/>
          <w:sz w:val="20"/>
        </w:rPr>
        <w:t>I</w:t>
      </w:r>
      <w:r w:rsidR="00F6798A" w:rsidRPr="003E2FFC">
        <w:rPr>
          <w:rFonts w:ascii="Times New Roman" w:hAnsi="Times New Roman" w:cs="Times New Roman"/>
          <w:sz w:val="20"/>
        </w:rPr>
        <w:t>n this study</w:t>
      </w:r>
      <w:r w:rsidR="009A3084" w:rsidRPr="003E2FFC">
        <w:rPr>
          <w:rFonts w:ascii="Times New Roman" w:hAnsi="Times New Roman" w:cs="Times New Roman"/>
          <w:sz w:val="20"/>
        </w:rPr>
        <w:t xml:space="preserve"> hepatitis</w:t>
      </w:r>
      <w:r w:rsidR="00F6798A" w:rsidRPr="003E2FFC">
        <w:rPr>
          <w:rFonts w:ascii="Times New Roman" w:hAnsi="Times New Roman" w:cs="Times New Roman"/>
          <w:sz w:val="20"/>
        </w:rPr>
        <w:t xml:space="preserve"> is reported 3.4%.</w:t>
      </w:r>
      <w:r w:rsidR="009A3084" w:rsidRPr="003E2FFC">
        <w:rPr>
          <w:rFonts w:ascii="Times New Roman" w:hAnsi="Times New Roman" w:cs="Times New Roman"/>
          <w:sz w:val="20"/>
        </w:rPr>
        <w:t xml:space="preserve"> </w:t>
      </w:r>
      <w:r w:rsidR="00FC1D9D" w:rsidRPr="003E2FFC">
        <w:rPr>
          <w:rFonts w:ascii="Times New Roman" w:hAnsi="Times New Roman" w:cs="Times New Roman"/>
          <w:sz w:val="20"/>
        </w:rPr>
        <w:t>Antituberculo</w:t>
      </w:r>
      <w:r w:rsidR="00F6798A" w:rsidRPr="003E2FFC">
        <w:rPr>
          <w:rFonts w:ascii="Times New Roman" w:hAnsi="Times New Roman" w:cs="Times New Roman"/>
          <w:sz w:val="20"/>
        </w:rPr>
        <w:t>s</w:t>
      </w:r>
      <w:r w:rsidR="00FC1D9D" w:rsidRPr="003E2FFC">
        <w:rPr>
          <w:rFonts w:ascii="Times New Roman" w:hAnsi="Times New Roman" w:cs="Times New Roman"/>
          <w:sz w:val="20"/>
        </w:rPr>
        <w:t>is</w:t>
      </w:r>
      <w:r w:rsidR="00F6798A" w:rsidRPr="003E2FFC">
        <w:rPr>
          <w:rFonts w:ascii="Times New Roman" w:hAnsi="Times New Roman" w:cs="Times New Roman"/>
          <w:sz w:val="20"/>
        </w:rPr>
        <w:t xml:space="preserve"> drugs</w:t>
      </w:r>
      <w:r w:rsidR="00A23D03" w:rsidRPr="003E2FFC">
        <w:rPr>
          <w:rFonts w:ascii="Times New Roman" w:hAnsi="Times New Roman" w:cs="Times New Roman"/>
          <w:sz w:val="20"/>
        </w:rPr>
        <w:t xml:space="preserve"> </w:t>
      </w:r>
      <w:r w:rsidR="00D31507" w:rsidRPr="003E2FFC">
        <w:rPr>
          <w:rFonts w:ascii="Times New Roman" w:hAnsi="Times New Roman" w:cs="Times New Roman"/>
          <w:sz w:val="20"/>
        </w:rPr>
        <w:t>causing hepatic</w:t>
      </w:r>
      <w:r w:rsidR="00A23D03" w:rsidRPr="003E2FFC">
        <w:rPr>
          <w:rFonts w:ascii="Times New Roman" w:hAnsi="Times New Roman" w:cs="Times New Roman"/>
          <w:sz w:val="20"/>
        </w:rPr>
        <w:t xml:space="preserve"> injury</w:t>
      </w:r>
      <w:r w:rsidR="00F6798A" w:rsidRPr="003E2FFC">
        <w:rPr>
          <w:rFonts w:ascii="Times New Roman" w:hAnsi="Times New Roman" w:cs="Times New Roman"/>
          <w:sz w:val="20"/>
        </w:rPr>
        <w:t xml:space="preserve"> has wide spectrum of presentations, ranging from asymptomatic mild rise in liver biochemical tests to acute hepatitis and acute liver </w:t>
      </w:r>
      <w:r w:rsidR="005C2988" w:rsidRPr="003E2FFC">
        <w:rPr>
          <w:rFonts w:ascii="Times New Roman" w:hAnsi="Times New Roman" w:cs="Times New Roman"/>
          <w:sz w:val="20"/>
        </w:rPr>
        <w:t xml:space="preserve">failure. Female </w:t>
      </w:r>
      <w:r w:rsidR="00297448" w:rsidRPr="003E2FFC">
        <w:rPr>
          <w:rFonts w:ascii="Times New Roman" w:hAnsi="Times New Roman" w:cs="Times New Roman"/>
          <w:sz w:val="20"/>
        </w:rPr>
        <w:t>gender,</w:t>
      </w:r>
      <w:r w:rsidR="005C2988" w:rsidRPr="003E2FFC">
        <w:rPr>
          <w:rFonts w:ascii="Times New Roman" w:hAnsi="Times New Roman" w:cs="Times New Roman"/>
          <w:sz w:val="20"/>
        </w:rPr>
        <w:t xml:space="preserve"> old age, malnutrition and Indians, these are positive predictor of more severe liver disease</w:t>
      </w:r>
      <w:r w:rsidR="00883BAE" w:rsidRPr="003E2FFC">
        <w:rPr>
          <w:rFonts w:ascii="Times New Roman" w:hAnsi="Times New Roman" w:cs="Times New Roman"/>
          <w:sz w:val="20"/>
          <w:vertAlign w:val="superscript"/>
        </w:rPr>
        <w:t>11</w:t>
      </w:r>
      <w:r w:rsidR="00A23D03" w:rsidRPr="003E2FFC">
        <w:rPr>
          <w:rFonts w:ascii="Times New Roman" w:hAnsi="Times New Roman" w:cs="Times New Roman"/>
          <w:sz w:val="20"/>
          <w:vertAlign w:val="superscript"/>
        </w:rPr>
        <w:t>, 12</w:t>
      </w:r>
      <w:r w:rsidR="005C2988" w:rsidRPr="003E2FFC">
        <w:rPr>
          <w:rFonts w:ascii="Times New Roman" w:hAnsi="Times New Roman" w:cs="Times New Roman"/>
          <w:sz w:val="20"/>
        </w:rPr>
        <w:t>.</w:t>
      </w:r>
      <w:r w:rsidR="001826FB" w:rsidRPr="003E2FFC">
        <w:rPr>
          <w:rFonts w:ascii="Times New Roman" w:hAnsi="Times New Roman" w:cs="Times New Roman"/>
          <w:sz w:val="20"/>
        </w:rPr>
        <w:t xml:space="preserve"> </w:t>
      </w:r>
    </w:p>
    <w:p w:rsidR="001826FB" w:rsidRPr="003E2FFC" w:rsidRDefault="001826FB" w:rsidP="003E2FFC">
      <w:pPr>
        <w:spacing w:after="0" w:line="360" w:lineRule="auto"/>
        <w:jc w:val="both"/>
        <w:rPr>
          <w:rFonts w:ascii="Times New Roman" w:hAnsi="Times New Roman" w:cs="Times New Roman"/>
          <w:sz w:val="20"/>
        </w:rPr>
      </w:pPr>
      <w:r w:rsidRPr="003E2FFC">
        <w:rPr>
          <w:rFonts w:ascii="Times New Roman" w:hAnsi="Times New Roman" w:cs="Times New Roman"/>
          <w:sz w:val="20"/>
        </w:rPr>
        <w:t>Other side ef</w:t>
      </w:r>
      <w:r w:rsidR="00F2016F" w:rsidRPr="003E2FFC">
        <w:rPr>
          <w:rFonts w:ascii="Times New Roman" w:hAnsi="Times New Roman" w:cs="Times New Roman"/>
          <w:sz w:val="20"/>
        </w:rPr>
        <w:t xml:space="preserve">fects observed were gastritis (7 patients- </w:t>
      </w:r>
      <w:r w:rsidR="00A23D03" w:rsidRPr="003E2FFC">
        <w:rPr>
          <w:rFonts w:ascii="Times New Roman" w:hAnsi="Times New Roman" w:cs="Times New Roman"/>
          <w:sz w:val="20"/>
        </w:rPr>
        <w:t>females, 7.9</w:t>
      </w:r>
      <w:r w:rsidRPr="003E2FFC">
        <w:rPr>
          <w:rFonts w:ascii="Times New Roman" w:hAnsi="Times New Roman" w:cs="Times New Roman"/>
          <w:sz w:val="20"/>
        </w:rPr>
        <w:t xml:space="preserve">%), skin </w:t>
      </w:r>
      <w:r w:rsidR="00D31507" w:rsidRPr="003E2FFC">
        <w:rPr>
          <w:rFonts w:ascii="Times New Roman" w:hAnsi="Times New Roman" w:cs="Times New Roman"/>
          <w:sz w:val="20"/>
        </w:rPr>
        <w:t>rash (</w:t>
      </w:r>
      <w:r w:rsidRPr="003E2FFC">
        <w:rPr>
          <w:rFonts w:ascii="Times New Roman" w:hAnsi="Times New Roman" w:cs="Times New Roman"/>
          <w:sz w:val="20"/>
        </w:rPr>
        <w:t xml:space="preserve">3 </w:t>
      </w:r>
      <w:r w:rsidR="00D31507" w:rsidRPr="003E2FFC">
        <w:rPr>
          <w:rFonts w:ascii="Times New Roman" w:hAnsi="Times New Roman" w:cs="Times New Roman"/>
          <w:sz w:val="20"/>
        </w:rPr>
        <w:t>patients, 4.3</w:t>
      </w:r>
      <w:r w:rsidRPr="003E2FFC">
        <w:rPr>
          <w:rFonts w:ascii="Times New Roman" w:hAnsi="Times New Roman" w:cs="Times New Roman"/>
          <w:sz w:val="20"/>
        </w:rPr>
        <w:t xml:space="preserve">%), thrombocytopenia </w:t>
      </w:r>
      <w:r w:rsidR="00D31507" w:rsidRPr="003E2FFC">
        <w:rPr>
          <w:rFonts w:ascii="Times New Roman" w:hAnsi="Times New Roman" w:cs="Times New Roman"/>
          <w:sz w:val="20"/>
        </w:rPr>
        <w:t>(1</w:t>
      </w:r>
      <w:r w:rsidRPr="003E2FFC">
        <w:rPr>
          <w:rFonts w:ascii="Times New Roman" w:hAnsi="Times New Roman" w:cs="Times New Roman"/>
          <w:sz w:val="20"/>
        </w:rPr>
        <w:t xml:space="preserve"> </w:t>
      </w:r>
      <w:r w:rsidR="00D31507" w:rsidRPr="003E2FFC">
        <w:rPr>
          <w:rFonts w:ascii="Times New Roman" w:hAnsi="Times New Roman" w:cs="Times New Roman"/>
          <w:sz w:val="20"/>
        </w:rPr>
        <w:t>patient, 1.1</w:t>
      </w:r>
      <w:r w:rsidRPr="003E2FFC">
        <w:rPr>
          <w:rFonts w:ascii="Times New Roman" w:hAnsi="Times New Roman" w:cs="Times New Roman"/>
          <w:sz w:val="20"/>
        </w:rPr>
        <w:t>%)</w:t>
      </w:r>
      <w:r w:rsidR="00D31507" w:rsidRPr="003E2FFC">
        <w:rPr>
          <w:rFonts w:ascii="Times New Roman" w:hAnsi="Times New Roman" w:cs="Times New Roman"/>
          <w:sz w:val="20"/>
        </w:rPr>
        <w:t>, ototoxicity</w:t>
      </w:r>
      <w:r w:rsidR="00A23D03" w:rsidRPr="003E2FFC">
        <w:rPr>
          <w:rFonts w:ascii="Times New Roman" w:hAnsi="Times New Roman" w:cs="Times New Roman"/>
          <w:sz w:val="20"/>
        </w:rPr>
        <w:t xml:space="preserve"> </w:t>
      </w:r>
      <w:r w:rsidRPr="003E2FFC">
        <w:rPr>
          <w:rFonts w:ascii="Times New Roman" w:hAnsi="Times New Roman" w:cs="Times New Roman"/>
          <w:sz w:val="20"/>
        </w:rPr>
        <w:t xml:space="preserve">(1 </w:t>
      </w:r>
      <w:r w:rsidR="00D31507" w:rsidRPr="003E2FFC">
        <w:rPr>
          <w:rFonts w:ascii="Times New Roman" w:hAnsi="Times New Roman" w:cs="Times New Roman"/>
          <w:sz w:val="20"/>
        </w:rPr>
        <w:t>patient, 1.1</w:t>
      </w:r>
      <w:r w:rsidRPr="003E2FFC">
        <w:rPr>
          <w:rFonts w:ascii="Times New Roman" w:hAnsi="Times New Roman" w:cs="Times New Roman"/>
          <w:sz w:val="20"/>
        </w:rPr>
        <w:t>%) and</w:t>
      </w:r>
      <w:r w:rsidR="00A23D03" w:rsidRPr="003E2FFC">
        <w:rPr>
          <w:rFonts w:ascii="Times New Roman" w:hAnsi="Times New Roman" w:cs="Times New Roman"/>
          <w:sz w:val="20"/>
        </w:rPr>
        <w:t xml:space="preserve"> peripheral</w:t>
      </w:r>
      <w:r w:rsidRPr="003E2FFC">
        <w:rPr>
          <w:rFonts w:ascii="Times New Roman" w:hAnsi="Times New Roman" w:cs="Times New Roman"/>
          <w:sz w:val="20"/>
        </w:rPr>
        <w:t xml:space="preserve"> neuritis</w:t>
      </w:r>
      <w:r w:rsidR="00A23D03" w:rsidRPr="003E2FFC">
        <w:rPr>
          <w:rFonts w:ascii="Times New Roman" w:hAnsi="Times New Roman" w:cs="Times New Roman"/>
          <w:sz w:val="20"/>
        </w:rPr>
        <w:t xml:space="preserve"> </w:t>
      </w:r>
      <w:r w:rsidRPr="003E2FFC">
        <w:rPr>
          <w:rFonts w:ascii="Times New Roman" w:hAnsi="Times New Roman" w:cs="Times New Roman"/>
          <w:sz w:val="20"/>
        </w:rPr>
        <w:t xml:space="preserve">(1 </w:t>
      </w:r>
      <w:r w:rsidR="00D31507" w:rsidRPr="003E2FFC">
        <w:rPr>
          <w:rFonts w:ascii="Times New Roman" w:hAnsi="Times New Roman" w:cs="Times New Roman"/>
          <w:sz w:val="20"/>
        </w:rPr>
        <w:t>patient, 1.1</w:t>
      </w:r>
      <w:r w:rsidRPr="003E2FFC">
        <w:rPr>
          <w:rFonts w:ascii="Times New Roman" w:hAnsi="Times New Roman" w:cs="Times New Roman"/>
          <w:sz w:val="20"/>
        </w:rPr>
        <w:t>%).</w:t>
      </w:r>
    </w:p>
    <w:p w:rsidR="001826FB" w:rsidRPr="003E2FFC" w:rsidRDefault="00A23D03" w:rsidP="003E2FFC">
      <w:pPr>
        <w:spacing w:after="0" w:line="360" w:lineRule="auto"/>
        <w:jc w:val="both"/>
        <w:rPr>
          <w:rFonts w:ascii="Times New Roman" w:hAnsi="Times New Roman" w:cs="Times New Roman"/>
          <w:sz w:val="20"/>
        </w:rPr>
      </w:pPr>
      <w:r w:rsidRPr="003E2FFC">
        <w:rPr>
          <w:rFonts w:ascii="Times New Roman" w:hAnsi="Times New Roman" w:cs="Times New Roman"/>
          <w:sz w:val="20"/>
        </w:rPr>
        <w:t>Thrombocytopenia</w:t>
      </w:r>
      <w:r w:rsidR="00AE63AC" w:rsidRPr="003E2FFC">
        <w:rPr>
          <w:rFonts w:ascii="Times New Roman" w:hAnsi="Times New Roman" w:cs="Times New Roman"/>
          <w:sz w:val="20"/>
        </w:rPr>
        <w:t xml:space="preserve"> is most common hematological manifestation in patients with HIV and TB</w:t>
      </w:r>
      <w:r w:rsidR="00AE63AC" w:rsidRPr="003E2FFC">
        <w:rPr>
          <w:rFonts w:ascii="Times New Roman" w:hAnsi="Times New Roman" w:cs="Times New Roman"/>
          <w:sz w:val="20"/>
          <w:vertAlign w:val="superscript"/>
        </w:rPr>
        <w:t>1</w:t>
      </w:r>
      <w:r w:rsidR="009A3084" w:rsidRPr="003E2FFC">
        <w:rPr>
          <w:rFonts w:ascii="Times New Roman" w:hAnsi="Times New Roman" w:cs="Times New Roman"/>
          <w:sz w:val="20"/>
          <w:vertAlign w:val="superscript"/>
        </w:rPr>
        <w:t>3</w:t>
      </w:r>
      <w:r w:rsidR="00AE63AC" w:rsidRPr="003E2FFC">
        <w:rPr>
          <w:rFonts w:ascii="Times New Roman" w:hAnsi="Times New Roman" w:cs="Times New Roman"/>
          <w:sz w:val="20"/>
        </w:rPr>
        <w:t>. In non-HIV affected TB patients it is an uncommon but potentially fatal adverse effect of rifampicin</w:t>
      </w:r>
      <w:r w:rsidR="00AE63AC" w:rsidRPr="003E2FFC">
        <w:rPr>
          <w:rFonts w:ascii="Times New Roman" w:hAnsi="Times New Roman" w:cs="Times New Roman"/>
          <w:sz w:val="20"/>
          <w:vertAlign w:val="superscript"/>
        </w:rPr>
        <w:t>1</w:t>
      </w:r>
      <w:r w:rsidR="009A3084" w:rsidRPr="003E2FFC">
        <w:rPr>
          <w:rFonts w:ascii="Times New Roman" w:hAnsi="Times New Roman" w:cs="Times New Roman"/>
          <w:sz w:val="20"/>
          <w:vertAlign w:val="superscript"/>
        </w:rPr>
        <w:t>4</w:t>
      </w:r>
      <w:r w:rsidR="00AE63AC" w:rsidRPr="003E2FFC">
        <w:rPr>
          <w:rFonts w:ascii="Times New Roman" w:hAnsi="Times New Roman" w:cs="Times New Roman"/>
          <w:sz w:val="20"/>
        </w:rPr>
        <w:t>.</w:t>
      </w:r>
    </w:p>
    <w:p w:rsidR="00297448" w:rsidRPr="003E2FFC" w:rsidRDefault="00297448" w:rsidP="003E2FFC">
      <w:pPr>
        <w:spacing w:after="0" w:line="360" w:lineRule="auto"/>
        <w:jc w:val="both"/>
        <w:rPr>
          <w:rFonts w:ascii="Times New Roman" w:hAnsi="Times New Roman" w:cs="Times New Roman"/>
          <w:sz w:val="20"/>
        </w:rPr>
      </w:pPr>
      <w:r w:rsidRPr="003E2FFC">
        <w:rPr>
          <w:rFonts w:ascii="Times New Roman" w:hAnsi="Times New Roman" w:cs="Times New Roman"/>
          <w:sz w:val="20"/>
        </w:rPr>
        <w:t xml:space="preserve">Ototoxicity is important adverse effect of streptomycin. In this study observed in one patient (1.1%). In study done by </w:t>
      </w:r>
      <w:proofErr w:type="spellStart"/>
      <w:r w:rsidRPr="003E2FFC">
        <w:rPr>
          <w:rFonts w:ascii="Times New Roman" w:hAnsi="Times New Roman" w:cs="Times New Roman"/>
          <w:sz w:val="20"/>
        </w:rPr>
        <w:t>Banu</w:t>
      </w:r>
      <w:proofErr w:type="spellEnd"/>
      <w:r w:rsidRPr="003E2FFC">
        <w:rPr>
          <w:rFonts w:ascii="Times New Roman" w:hAnsi="Times New Roman" w:cs="Times New Roman"/>
          <w:sz w:val="20"/>
        </w:rPr>
        <w:t xml:space="preserve"> Eris </w:t>
      </w:r>
      <w:proofErr w:type="spellStart"/>
      <w:r w:rsidRPr="003E2FFC">
        <w:rPr>
          <w:rFonts w:ascii="Times New Roman" w:hAnsi="Times New Roman" w:cs="Times New Roman"/>
          <w:sz w:val="20"/>
        </w:rPr>
        <w:t>Gulbay</w:t>
      </w:r>
      <w:proofErr w:type="spellEnd"/>
      <w:r w:rsidRPr="003E2FFC">
        <w:rPr>
          <w:rFonts w:ascii="Times New Roman" w:hAnsi="Times New Roman" w:cs="Times New Roman"/>
          <w:sz w:val="20"/>
        </w:rPr>
        <w:t xml:space="preserve"> ototoxicity reported 1.7%</w:t>
      </w:r>
      <w:r w:rsidRPr="003E2FFC">
        <w:rPr>
          <w:rFonts w:ascii="Times New Roman" w:hAnsi="Times New Roman" w:cs="Times New Roman"/>
          <w:sz w:val="20"/>
          <w:vertAlign w:val="superscript"/>
        </w:rPr>
        <w:t>8</w:t>
      </w:r>
      <w:r w:rsidRPr="003E2FFC">
        <w:rPr>
          <w:rFonts w:ascii="Times New Roman" w:hAnsi="Times New Roman" w:cs="Times New Roman"/>
          <w:sz w:val="20"/>
        </w:rPr>
        <w:t>.</w:t>
      </w:r>
    </w:p>
    <w:p w:rsidR="00297448" w:rsidRPr="003E2FFC" w:rsidRDefault="00297448" w:rsidP="003E2FFC">
      <w:pPr>
        <w:spacing w:after="0" w:line="360" w:lineRule="auto"/>
        <w:jc w:val="both"/>
        <w:rPr>
          <w:rFonts w:ascii="Times New Roman" w:hAnsi="Times New Roman" w:cs="Times New Roman"/>
          <w:sz w:val="20"/>
        </w:rPr>
      </w:pPr>
      <w:r w:rsidRPr="003E2FFC">
        <w:rPr>
          <w:rFonts w:ascii="Times New Roman" w:hAnsi="Times New Roman" w:cs="Times New Roman"/>
          <w:sz w:val="20"/>
        </w:rPr>
        <w:t xml:space="preserve">Peripheral neuritis </w:t>
      </w:r>
      <w:r w:rsidR="006C2D52" w:rsidRPr="003E2FFC">
        <w:rPr>
          <w:rFonts w:ascii="Times New Roman" w:hAnsi="Times New Roman" w:cs="Times New Roman"/>
          <w:sz w:val="20"/>
        </w:rPr>
        <w:t>observed in</w:t>
      </w:r>
      <w:r w:rsidRPr="003E2FFC">
        <w:rPr>
          <w:rFonts w:ascii="Times New Roman" w:hAnsi="Times New Roman" w:cs="Times New Roman"/>
          <w:sz w:val="20"/>
        </w:rPr>
        <w:t xml:space="preserve"> one patient (1.1%)</w:t>
      </w:r>
      <w:r w:rsidR="00C72EF0" w:rsidRPr="003E2FFC">
        <w:rPr>
          <w:rFonts w:ascii="Times New Roman" w:hAnsi="Times New Roman" w:cs="Times New Roman"/>
          <w:sz w:val="20"/>
        </w:rPr>
        <w:t xml:space="preserve"> in this study.  Incidence of polyneuropathy in INH- treated patients revealed 2-44%</w:t>
      </w:r>
      <w:r w:rsidR="00C72EF0" w:rsidRPr="003E2FFC">
        <w:rPr>
          <w:rFonts w:ascii="Times New Roman" w:hAnsi="Times New Roman" w:cs="Times New Roman"/>
          <w:sz w:val="20"/>
          <w:vertAlign w:val="superscript"/>
        </w:rPr>
        <w:t>15</w:t>
      </w:r>
      <w:r w:rsidR="00C72EF0" w:rsidRPr="003E2FFC">
        <w:rPr>
          <w:rFonts w:ascii="Times New Roman" w:hAnsi="Times New Roman" w:cs="Times New Roman"/>
          <w:sz w:val="20"/>
        </w:rPr>
        <w:t>.</w:t>
      </w:r>
      <w:r w:rsidR="001B0D8A" w:rsidRPr="003E2FFC">
        <w:rPr>
          <w:rFonts w:ascii="Times New Roman" w:hAnsi="Times New Roman" w:cs="Times New Roman"/>
          <w:sz w:val="20"/>
        </w:rPr>
        <w:t xml:space="preserve"> </w:t>
      </w:r>
      <w:r w:rsidR="00D02C38" w:rsidRPr="003E2FFC">
        <w:rPr>
          <w:rFonts w:ascii="Times New Roman" w:hAnsi="Times New Roman" w:cs="Times New Roman"/>
          <w:sz w:val="20"/>
        </w:rPr>
        <w:t xml:space="preserve">Likely </w:t>
      </w:r>
      <w:r w:rsidR="00AF36B9" w:rsidRPr="003E2FFC">
        <w:rPr>
          <w:rFonts w:ascii="Times New Roman" w:hAnsi="Times New Roman" w:cs="Times New Roman"/>
          <w:sz w:val="20"/>
        </w:rPr>
        <w:t>pathophysiology</w:t>
      </w:r>
      <w:r w:rsidR="006C2D52" w:rsidRPr="003E2FFC">
        <w:rPr>
          <w:rFonts w:ascii="Times New Roman" w:hAnsi="Times New Roman" w:cs="Times New Roman"/>
          <w:sz w:val="20"/>
        </w:rPr>
        <w:t xml:space="preserve"> behind</w:t>
      </w:r>
      <w:r w:rsidR="00D02C38" w:rsidRPr="003E2FFC">
        <w:rPr>
          <w:rFonts w:ascii="Times New Roman" w:hAnsi="Times New Roman" w:cs="Times New Roman"/>
          <w:sz w:val="20"/>
        </w:rPr>
        <w:t xml:space="preserve"> </w:t>
      </w:r>
      <w:r w:rsidR="00A23D03" w:rsidRPr="003E2FFC">
        <w:rPr>
          <w:rFonts w:ascii="Times New Roman" w:hAnsi="Times New Roman" w:cs="Times New Roman"/>
          <w:sz w:val="20"/>
        </w:rPr>
        <w:t>this</w:t>
      </w:r>
      <w:r w:rsidR="00D31507" w:rsidRPr="003E2FFC">
        <w:rPr>
          <w:rFonts w:ascii="Times New Roman" w:hAnsi="Times New Roman" w:cs="Times New Roman"/>
          <w:sz w:val="20"/>
        </w:rPr>
        <w:t xml:space="preserve"> is</w:t>
      </w:r>
      <w:r w:rsidR="00A23D03" w:rsidRPr="003E2FFC">
        <w:rPr>
          <w:rFonts w:ascii="Times New Roman" w:hAnsi="Times New Roman" w:cs="Times New Roman"/>
          <w:sz w:val="20"/>
        </w:rPr>
        <w:t xml:space="preserve"> nicotinic</w:t>
      </w:r>
      <w:r w:rsidR="00D02C38" w:rsidRPr="003E2FFC">
        <w:rPr>
          <w:rFonts w:ascii="Times New Roman" w:hAnsi="Times New Roman" w:cs="Times New Roman"/>
          <w:sz w:val="20"/>
        </w:rPr>
        <w:t xml:space="preserve"> acid hydrazide interferes with vitamin B6 (pyridoxine) metabolism leading to deficiency in biological active B6 by inhibition of pyridoxine-dependent enzyme systems</w:t>
      </w:r>
      <w:r w:rsidR="006C2D52" w:rsidRPr="003E2FFC">
        <w:rPr>
          <w:rFonts w:ascii="Times New Roman" w:hAnsi="Times New Roman" w:cs="Times New Roman"/>
          <w:sz w:val="20"/>
          <w:vertAlign w:val="superscript"/>
        </w:rPr>
        <w:t>16</w:t>
      </w:r>
      <w:r w:rsidR="00D02C38" w:rsidRPr="003E2FFC">
        <w:rPr>
          <w:rFonts w:ascii="Times New Roman" w:hAnsi="Times New Roman" w:cs="Times New Roman"/>
          <w:sz w:val="20"/>
        </w:rPr>
        <w:t xml:space="preserve">. </w:t>
      </w:r>
      <w:r w:rsidR="006C2D52" w:rsidRPr="003E2FFC">
        <w:rPr>
          <w:rFonts w:ascii="Times New Roman" w:hAnsi="Times New Roman" w:cs="Times New Roman"/>
          <w:sz w:val="20"/>
        </w:rPr>
        <w:t>Increased</w:t>
      </w:r>
      <w:r w:rsidR="003A6809" w:rsidRPr="003E2FFC">
        <w:rPr>
          <w:rFonts w:ascii="Times New Roman" w:hAnsi="Times New Roman" w:cs="Times New Roman"/>
          <w:sz w:val="20"/>
        </w:rPr>
        <w:t xml:space="preserve"> blood concentration of Isoniazid</w:t>
      </w:r>
      <w:r w:rsidR="00D02C38" w:rsidRPr="003E2FFC">
        <w:rPr>
          <w:rFonts w:ascii="Times New Roman" w:hAnsi="Times New Roman" w:cs="Times New Roman"/>
          <w:sz w:val="20"/>
        </w:rPr>
        <w:t xml:space="preserve"> results in an </w:t>
      </w:r>
      <w:proofErr w:type="gramStart"/>
      <w:r w:rsidR="00D02C38" w:rsidRPr="003E2FFC">
        <w:rPr>
          <w:rFonts w:ascii="Times New Roman" w:hAnsi="Times New Roman" w:cs="Times New Roman"/>
          <w:sz w:val="20"/>
        </w:rPr>
        <w:t>i</w:t>
      </w:r>
      <w:r w:rsidR="006C2D52" w:rsidRPr="003E2FFC">
        <w:rPr>
          <w:rFonts w:ascii="Times New Roman" w:hAnsi="Times New Roman" w:cs="Times New Roman"/>
          <w:sz w:val="20"/>
        </w:rPr>
        <w:t>ncreased</w:t>
      </w:r>
      <w:r w:rsidR="008D284A" w:rsidRPr="003E2FFC">
        <w:rPr>
          <w:rFonts w:ascii="Times New Roman" w:hAnsi="Times New Roman" w:cs="Times New Roman"/>
          <w:sz w:val="20"/>
        </w:rPr>
        <w:t xml:space="preserve"> </w:t>
      </w:r>
      <w:r w:rsidR="006C2D52" w:rsidRPr="003E2FFC">
        <w:rPr>
          <w:rFonts w:ascii="Times New Roman" w:hAnsi="Times New Roman" w:cs="Times New Roman"/>
          <w:sz w:val="20"/>
        </w:rPr>
        <w:t xml:space="preserve"> risk</w:t>
      </w:r>
      <w:proofErr w:type="gramEnd"/>
      <w:r w:rsidR="006C2D52" w:rsidRPr="003E2FFC">
        <w:rPr>
          <w:rFonts w:ascii="Times New Roman" w:hAnsi="Times New Roman" w:cs="Times New Roman"/>
          <w:sz w:val="20"/>
        </w:rPr>
        <w:t xml:space="preserve"> of adverse effects</w:t>
      </w:r>
      <w:r w:rsidR="006C2D52" w:rsidRPr="003E2FFC">
        <w:rPr>
          <w:rFonts w:ascii="Times New Roman" w:hAnsi="Times New Roman" w:cs="Times New Roman"/>
          <w:sz w:val="20"/>
          <w:vertAlign w:val="superscript"/>
        </w:rPr>
        <w:t xml:space="preserve"> 17</w:t>
      </w:r>
      <w:r w:rsidR="00D02C38" w:rsidRPr="003E2FFC">
        <w:rPr>
          <w:rFonts w:ascii="Times New Roman" w:hAnsi="Times New Roman" w:cs="Times New Roman"/>
          <w:sz w:val="20"/>
        </w:rPr>
        <w:t xml:space="preserve">. </w:t>
      </w:r>
      <w:r w:rsidR="001B0D8A" w:rsidRPr="003E2FFC">
        <w:rPr>
          <w:rFonts w:ascii="Times New Roman" w:hAnsi="Times New Roman" w:cs="Times New Roman"/>
          <w:sz w:val="20"/>
        </w:rPr>
        <w:t xml:space="preserve">This is a rare complication with appropriate doses of </w:t>
      </w:r>
      <w:r w:rsidR="00D31507" w:rsidRPr="003E2FFC">
        <w:rPr>
          <w:rFonts w:ascii="Times New Roman" w:hAnsi="Times New Roman" w:cs="Times New Roman"/>
          <w:sz w:val="20"/>
        </w:rPr>
        <w:t>Isoniazid</w:t>
      </w:r>
      <w:r w:rsidR="001B0D8A" w:rsidRPr="003E2FFC">
        <w:rPr>
          <w:rFonts w:ascii="Times New Roman" w:hAnsi="Times New Roman" w:cs="Times New Roman"/>
          <w:sz w:val="20"/>
        </w:rPr>
        <w:t xml:space="preserve"> (5mg /Kg body weight). High incidence can be observed in malnourished patients receiving anti-TB drugs</w:t>
      </w:r>
      <w:r w:rsidR="001B0D8A" w:rsidRPr="003E2FFC">
        <w:rPr>
          <w:rFonts w:ascii="Times New Roman" w:hAnsi="Times New Roman" w:cs="Times New Roman"/>
          <w:sz w:val="20"/>
          <w:vertAlign w:val="superscript"/>
        </w:rPr>
        <w:t>1</w:t>
      </w:r>
      <w:r w:rsidR="00A23D03" w:rsidRPr="003E2FFC">
        <w:rPr>
          <w:rFonts w:ascii="Times New Roman" w:hAnsi="Times New Roman" w:cs="Times New Roman"/>
          <w:sz w:val="20"/>
          <w:vertAlign w:val="superscript"/>
        </w:rPr>
        <w:t>8</w:t>
      </w:r>
      <w:r w:rsidR="001B0D8A" w:rsidRPr="003E2FFC">
        <w:rPr>
          <w:rFonts w:ascii="Times New Roman" w:hAnsi="Times New Roman" w:cs="Times New Roman"/>
          <w:sz w:val="20"/>
        </w:rPr>
        <w:t>.</w:t>
      </w:r>
    </w:p>
    <w:p w:rsidR="00F2016F" w:rsidRPr="003E2FFC" w:rsidRDefault="00F2016F" w:rsidP="003E2FFC">
      <w:pPr>
        <w:spacing w:after="0" w:line="360" w:lineRule="auto"/>
        <w:jc w:val="both"/>
        <w:rPr>
          <w:rFonts w:ascii="Times New Roman" w:hAnsi="Times New Roman" w:cs="Times New Roman"/>
          <w:b/>
          <w:sz w:val="20"/>
        </w:rPr>
      </w:pPr>
      <w:r w:rsidRPr="003E2FFC">
        <w:rPr>
          <w:rFonts w:ascii="Times New Roman" w:hAnsi="Times New Roman" w:cs="Times New Roman"/>
          <w:b/>
          <w:sz w:val="20"/>
        </w:rPr>
        <w:t>CONCLUSION:</w:t>
      </w:r>
    </w:p>
    <w:p w:rsidR="001E5B0B" w:rsidRPr="003E2FFC" w:rsidRDefault="00FC5FB7" w:rsidP="003E2FFC">
      <w:pPr>
        <w:spacing w:after="0" w:line="360" w:lineRule="auto"/>
        <w:jc w:val="both"/>
        <w:rPr>
          <w:rFonts w:ascii="Times New Roman" w:hAnsi="Times New Roman" w:cs="Times New Roman"/>
          <w:sz w:val="20"/>
        </w:rPr>
      </w:pPr>
      <w:r w:rsidRPr="003E2FFC">
        <w:rPr>
          <w:rFonts w:ascii="Times New Roman" w:hAnsi="Times New Roman" w:cs="Times New Roman"/>
          <w:sz w:val="20"/>
        </w:rPr>
        <w:t>Treatment</w:t>
      </w:r>
      <w:r w:rsidR="001E5B0B" w:rsidRPr="003E2FFC">
        <w:rPr>
          <w:rFonts w:ascii="Times New Roman" w:hAnsi="Times New Roman" w:cs="Times New Roman"/>
          <w:sz w:val="20"/>
        </w:rPr>
        <w:t xml:space="preserve"> of tuberculosis </w:t>
      </w:r>
      <w:r w:rsidRPr="003E2FFC">
        <w:rPr>
          <w:rFonts w:ascii="Times New Roman" w:hAnsi="Times New Roman" w:cs="Times New Roman"/>
          <w:sz w:val="20"/>
        </w:rPr>
        <w:t>comprise</w:t>
      </w:r>
      <w:r w:rsidR="00A23D03" w:rsidRPr="003E2FFC">
        <w:rPr>
          <w:rFonts w:ascii="Times New Roman" w:hAnsi="Times New Roman" w:cs="Times New Roman"/>
          <w:sz w:val="20"/>
        </w:rPr>
        <w:t xml:space="preserve">s </w:t>
      </w:r>
      <w:r w:rsidR="001E5B0B" w:rsidRPr="003E2FFC">
        <w:rPr>
          <w:rFonts w:ascii="Times New Roman" w:hAnsi="Times New Roman" w:cs="Times New Roman"/>
          <w:sz w:val="20"/>
        </w:rPr>
        <w:t>not only init</w:t>
      </w:r>
      <w:r w:rsidR="00D31507" w:rsidRPr="003E2FFC">
        <w:rPr>
          <w:rFonts w:ascii="Times New Roman" w:hAnsi="Times New Roman" w:cs="Times New Roman"/>
          <w:sz w:val="20"/>
        </w:rPr>
        <w:t>iation and completion of anti-tuberculosis</w:t>
      </w:r>
      <w:r w:rsidR="001E5B0B" w:rsidRPr="003E2FFC">
        <w:rPr>
          <w:rFonts w:ascii="Times New Roman" w:hAnsi="Times New Roman" w:cs="Times New Roman"/>
          <w:sz w:val="20"/>
        </w:rPr>
        <w:t xml:space="preserve"> drugs but also close monitoring of patients for any serious or even </w:t>
      </w:r>
      <w:r w:rsidR="00A23D03" w:rsidRPr="003E2FFC">
        <w:rPr>
          <w:rFonts w:ascii="Times New Roman" w:hAnsi="Times New Roman" w:cs="Times New Roman"/>
          <w:sz w:val="20"/>
        </w:rPr>
        <w:t>insignificant adverse</w:t>
      </w:r>
      <w:r w:rsidR="001E5B0B" w:rsidRPr="003E2FFC">
        <w:rPr>
          <w:rFonts w:ascii="Times New Roman" w:hAnsi="Times New Roman" w:cs="Times New Roman"/>
          <w:sz w:val="20"/>
        </w:rPr>
        <w:t xml:space="preserve"> reactions</w:t>
      </w:r>
      <w:r w:rsidR="00A23D03" w:rsidRPr="003E2FFC">
        <w:rPr>
          <w:rFonts w:ascii="Times New Roman" w:hAnsi="Times New Roman" w:cs="Times New Roman"/>
          <w:sz w:val="20"/>
        </w:rPr>
        <w:t xml:space="preserve"> which may cause non-adherence to treatment and</w:t>
      </w:r>
      <w:r w:rsidRPr="003E2FFC">
        <w:rPr>
          <w:rFonts w:ascii="Times New Roman" w:hAnsi="Times New Roman" w:cs="Times New Roman"/>
          <w:sz w:val="20"/>
        </w:rPr>
        <w:t xml:space="preserve"> management of same</w:t>
      </w:r>
      <w:r w:rsidR="001E5B0B" w:rsidRPr="003E2FFC">
        <w:rPr>
          <w:rFonts w:ascii="Times New Roman" w:hAnsi="Times New Roman" w:cs="Times New Roman"/>
          <w:sz w:val="20"/>
        </w:rPr>
        <w:t xml:space="preserve">. </w:t>
      </w:r>
    </w:p>
    <w:p w:rsidR="001E5B0B" w:rsidRPr="003E2FFC" w:rsidRDefault="004D7C01" w:rsidP="003E2FFC">
      <w:pPr>
        <w:spacing w:after="0" w:line="360" w:lineRule="auto"/>
        <w:jc w:val="both"/>
        <w:rPr>
          <w:rFonts w:ascii="Times New Roman" w:hAnsi="Times New Roman" w:cs="Times New Roman"/>
          <w:sz w:val="20"/>
        </w:rPr>
      </w:pPr>
      <w:r w:rsidRPr="003E2FFC">
        <w:rPr>
          <w:rFonts w:ascii="Times New Roman" w:hAnsi="Times New Roman" w:cs="Times New Roman"/>
          <w:sz w:val="20"/>
        </w:rPr>
        <w:t>Counseling</w:t>
      </w:r>
      <w:r w:rsidR="001E5B0B" w:rsidRPr="003E2FFC">
        <w:rPr>
          <w:rFonts w:ascii="Times New Roman" w:hAnsi="Times New Roman" w:cs="Times New Roman"/>
          <w:sz w:val="20"/>
        </w:rPr>
        <w:t xml:space="preserve"> of patient </w:t>
      </w:r>
      <w:r w:rsidR="00D31507" w:rsidRPr="003E2FFC">
        <w:rPr>
          <w:rFonts w:ascii="Times New Roman" w:hAnsi="Times New Roman" w:cs="Times New Roman"/>
          <w:sz w:val="20"/>
        </w:rPr>
        <w:t>diagnosed of tuberculosis</w:t>
      </w:r>
      <w:r w:rsidRPr="003E2FFC">
        <w:rPr>
          <w:rFonts w:ascii="Times New Roman" w:hAnsi="Times New Roman" w:cs="Times New Roman"/>
          <w:sz w:val="20"/>
        </w:rPr>
        <w:t xml:space="preserve"> </w:t>
      </w:r>
      <w:r w:rsidR="00A23D03" w:rsidRPr="003E2FFC">
        <w:rPr>
          <w:rFonts w:ascii="Times New Roman" w:hAnsi="Times New Roman" w:cs="Times New Roman"/>
          <w:sz w:val="20"/>
        </w:rPr>
        <w:t>regarding side</w:t>
      </w:r>
      <w:r w:rsidR="001E5B0B" w:rsidRPr="003E2FFC">
        <w:rPr>
          <w:rFonts w:ascii="Times New Roman" w:hAnsi="Times New Roman" w:cs="Times New Roman"/>
          <w:sz w:val="20"/>
        </w:rPr>
        <w:t xml:space="preserve"> effects of drugs</w:t>
      </w:r>
      <w:r w:rsidRPr="003E2FFC">
        <w:rPr>
          <w:rFonts w:ascii="Times New Roman" w:hAnsi="Times New Roman" w:cs="Times New Roman"/>
          <w:sz w:val="20"/>
        </w:rPr>
        <w:t>, timely reporting, managing side effects and reassurance to patient with further safe treatment will improve adherence to treatment, success rate and breaking the chain of transmission.</w:t>
      </w:r>
    </w:p>
    <w:p w:rsidR="001826FB" w:rsidRPr="003E2FFC" w:rsidRDefault="001826FB" w:rsidP="003E2FFC">
      <w:pPr>
        <w:spacing w:after="0" w:line="360" w:lineRule="auto"/>
        <w:jc w:val="both"/>
        <w:rPr>
          <w:rFonts w:ascii="Times New Roman" w:hAnsi="Times New Roman" w:cs="Times New Roman"/>
          <w:sz w:val="20"/>
        </w:rPr>
      </w:pPr>
    </w:p>
    <w:p w:rsidR="00AF36B9" w:rsidRPr="003E2FFC" w:rsidRDefault="00AF36B9" w:rsidP="003E2FFC">
      <w:pPr>
        <w:spacing w:after="0" w:line="360" w:lineRule="auto"/>
        <w:jc w:val="both"/>
        <w:rPr>
          <w:rFonts w:ascii="Times New Roman" w:hAnsi="Times New Roman" w:cs="Times New Roman"/>
          <w:b/>
          <w:sz w:val="20"/>
        </w:rPr>
      </w:pPr>
    </w:p>
    <w:p w:rsidR="00AF36B9" w:rsidRPr="003E2FFC" w:rsidRDefault="00AF36B9" w:rsidP="003E2FFC">
      <w:pPr>
        <w:spacing w:after="0" w:line="360" w:lineRule="auto"/>
        <w:jc w:val="both"/>
        <w:rPr>
          <w:rFonts w:ascii="Times New Roman" w:hAnsi="Times New Roman" w:cs="Times New Roman"/>
          <w:b/>
          <w:sz w:val="20"/>
        </w:rPr>
      </w:pPr>
    </w:p>
    <w:p w:rsidR="00E044D7" w:rsidRPr="003E2FFC" w:rsidRDefault="00351D0E" w:rsidP="003E2FFC">
      <w:pPr>
        <w:spacing w:after="0" w:line="360" w:lineRule="auto"/>
        <w:jc w:val="both"/>
        <w:rPr>
          <w:rFonts w:ascii="Times New Roman" w:hAnsi="Times New Roman" w:cs="Times New Roman"/>
          <w:b/>
          <w:sz w:val="20"/>
        </w:rPr>
      </w:pPr>
      <w:r w:rsidRPr="003E2FFC">
        <w:rPr>
          <w:rFonts w:ascii="Times New Roman" w:hAnsi="Times New Roman" w:cs="Times New Roman"/>
          <w:b/>
          <w:sz w:val="20"/>
        </w:rPr>
        <w:t xml:space="preserve">REFERENCES: </w:t>
      </w:r>
    </w:p>
    <w:p w:rsidR="00E044D7" w:rsidRPr="003E2FFC" w:rsidRDefault="00E044D7" w:rsidP="003E2FFC">
      <w:pPr>
        <w:pStyle w:val="ListParagraph"/>
        <w:numPr>
          <w:ilvl w:val="0"/>
          <w:numId w:val="2"/>
        </w:numPr>
        <w:spacing w:after="0" w:line="360" w:lineRule="auto"/>
        <w:jc w:val="both"/>
        <w:rPr>
          <w:rFonts w:ascii="Times New Roman" w:hAnsi="Times New Roman" w:cs="Times New Roman"/>
          <w:sz w:val="20"/>
        </w:rPr>
      </w:pPr>
      <w:r w:rsidRPr="003E2FFC">
        <w:rPr>
          <w:rFonts w:ascii="Times New Roman" w:hAnsi="Times New Roman" w:cs="Times New Roman"/>
          <w:sz w:val="20"/>
        </w:rPr>
        <w:t xml:space="preserve">Yee D, </w:t>
      </w:r>
      <w:proofErr w:type="spellStart"/>
      <w:r w:rsidRPr="003E2FFC">
        <w:rPr>
          <w:rFonts w:ascii="Times New Roman" w:hAnsi="Times New Roman" w:cs="Times New Roman"/>
          <w:sz w:val="20"/>
        </w:rPr>
        <w:t>Valiquette</w:t>
      </w:r>
      <w:proofErr w:type="spellEnd"/>
      <w:r w:rsidRPr="003E2FFC">
        <w:rPr>
          <w:rFonts w:ascii="Times New Roman" w:hAnsi="Times New Roman" w:cs="Times New Roman"/>
          <w:sz w:val="20"/>
        </w:rPr>
        <w:t xml:space="preserve"> C, Pelletier M, </w:t>
      </w:r>
      <w:r w:rsidR="00D31507" w:rsidRPr="003E2FFC">
        <w:rPr>
          <w:rFonts w:ascii="Times New Roman" w:hAnsi="Times New Roman" w:cs="Times New Roman"/>
          <w:sz w:val="20"/>
        </w:rPr>
        <w:t xml:space="preserve">and </w:t>
      </w:r>
      <w:proofErr w:type="spellStart"/>
      <w:r w:rsidR="00D31507" w:rsidRPr="003E2FFC">
        <w:rPr>
          <w:rFonts w:ascii="Times New Roman" w:hAnsi="Times New Roman" w:cs="Times New Roman"/>
          <w:sz w:val="20"/>
        </w:rPr>
        <w:t>Parision</w:t>
      </w:r>
      <w:proofErr w:type="spellEnd"/>
      <w:r w:rsidRPr="003E2FFC">
        <w:rPr>
          <w:rFonts w:ascii="Times New Roman" w:hAnsi="Times New Roman" w:cs="Times New Roman"/>
          <w:sz w:val="20"/>
        </w:rPr>
        <w:t xml:space="preserve"> I, </w:t>
      </w:r>
      <w:proofErr w:type="spellStart"/>
      <w:r w:rsidRPr="003E2FFC">
        <w:rPr>
          <w:rFonts w:ascii="Times New Roman" w:hAnsi="Times New Roman" w:cs="Times New Roman"/>
          <w:sz w:val="20"/>
        </w:rPr>
        <w:t>Menzies</w:t>
      </w:r>
      <w:proofErr w:type="spellEnd"/>
      <w:r w:rsidRPr="003E2FFC">
        <w:rPr>
          <w:rFonts w:ascii="Times New Roman" w:hAnsi="Times New Roman" w:cs="Times New Roman"/>
          <w:sz w:val="20"/>
        </w:rPr>
        <w:t xml:space="preserve"> D. Incidence of serious side effects from first line anti tubercular drugs among patients treated for active tuberculosis. </w:t>
      </w:r>
      <w:r w:rsidRPr="003E2FFC">
        <w:rPr>
          <w:rFonts w:ascii="Times New Roman" w:hAnsi="Times New Roman" w:cs="Times New Roman"/>
          <w:i/>
          <w:iCs/>
          <w:sz w:val="20"/>
        </w:rPr>
        <w:t xml:space="preserve">Am J </w:t>
      </w:r>
      <w:proofErr w:type="spellStart"/>
      <w:r w:rsidRPr="003E2FFC">
        <w:rPr>
          <w:rFonts w:ascii="Times New Roman" w:hAnsi="Times New Roman" w:cs="Times New Roman"/>
          <w:i/>
          <w:iCs/>
          <w:sz w:val="20"/>
        </w:rPr>
        <w:t>Respir</w:t>
      </w:r>
      <w:proofErr w:type="spellEnd"/>
      <w:r w:rsidRPr="003E2FFC">
        <w:rPr>
          <w:rFonts w:ascii="Times New Roman" w:hAnsi="Times New Roman" w:cs="Times New Roman"/>
          <w:i/>
          <w:iCs/>
          <w:sz w:val="20"/>
        </w:rPr>
        <w:t xml:space="preserve"> </w:t>
      </w:r>
      <w:proofErr w:type="spellStart"/>
      <w:r w:rsidRPr="003E2FFC">
        <w:rPr>
          <w:rFonts w:ascii="Times New Roman" w:hAnsi="Times New Roman" w:cs="Times New Roman"/>
          <w:i/>
          <w:iCs/>
          <w:sz w:val="20"/>
        </w:rPr>
        <w:t>Crit</w:t>
      </w:r>
      <w:proofErr w:type="spellEnd"/>
      <w:r w:rsidRPr="003E2FFC">
        <w:rPr>
          <w:rFonts w:ascii="Times New Roman" w:hAnsi="Times New Roman" w:cs="Times New Roman"/>
          <w:i/>
          <w:iCs/>
          <w:sz w:val="20"/>
        </w:rPr>
        <w:t xml:space="preserve"> Care Med </w:t>
      </w:r>
      <w:r w:rsidRPr="003E2FFC">
        <w:rPr>
          <w:rFonts w:ascii="Times New Roman" w:hAnsi="Times New Roman" w:cs="Times New Roman"/>
          <w:sz w:val="20"/>
        </w:rPr>
        <w:t xml:space="preserve">2003; 167:1472-1477. </w:t>
      </w:r>
    </w:p>
    <w:p w:rsidR="00E044D7" w:rsidRPr="003E2FFC" w:rsidRDefault="00E044D7" w:rsidP="003E2FFC">
      <w:pPr>
        <w:pStyle w:val="ListParagraph"/>
        <w:numPr>
          <w:ilvl w:val="0"/>
          <w:numId w:val="2"/>
        </w:numPr>
        <w:spacing w:after="0" w:line="360" w:lineRule="auto"/>
        <w:jc w:val="both"/>
        <w:rPr>
          <w:rFonts w:ascii="Times New Roman" w:hAnsi="Times New Roman" w:cs="Times New Roman"/>
          <w:sz w:val="20"/>
        </w:rPr>
      </w:pPr>
      <w:r w:rsidRPr="003E2FFC">
        <w:rPr>
          <w:rFonts w:ascii="Times New Roman" w:hAnsi="Times New Roman" w:cs="Times New Roman"/>
          <w:sz w:val="20"/>
        </w:rPr>
        <w:t xml:space="preserve">World Health </w:t>
      </w:r>
      <w:r w:rsidR="00D31507" w:rsidRPr="003E2FFC">
        <w:rPr>
          <w:rFonts w:ascii="Times New Roman" w:hAnsi="Times New Roman" w:cs="Times New Roman"/>
          <w:sz w:val="20"/>
        </w:rPr>
        <w:t>Organization</w:t>
      </w:r>
      <w:r w:rsidRPr="003E2FFC">
        <w:rPr>
          <w:rFonts w:ascii="Times New Roman" w:hAnsi="Times New Roman" w:cs="Times New Roman"/>
          <w:sz w:val="20"/>
        </w:rPr>
        <w:t>. What is DOTS? who/</w:t>
      </w:r>
      <w:proofErr w:type="spellStart"/>
      <w:r w:rsidRPr="003E2FFC">
        <w:rPr>
          <w:rFonts w:ascii="Times New Roman" w:hAnsi="Times New Roman" w:cs="Times New Roman"/>
          <w:sz w:val="20"/>
        </w:rPr>
        <w:t>cds</w:t>
      </w:r>
      <w:proofErr w:type="spellEnd"/>
      <w:r w:rsidRPr="003E2FFC">
        <w:rPr>
          <w:rFonts w:ascii="Times New Roman" w:hAnsi="Times New Roman" w:cs="Times New Roman"/>
          <w:sz w:val="20"/>
        </w:rPr>
        <w:t>/</w:t>
      </w:r>
      <w:proofErr w:type="spellStart"/>
      <w:r w:rsidRPr="003E2FFC">
        <w:rPr>
          <w:rFonts w:ascii="Times New Roman" w:hAnsi="Times New Roman" w:cs="Times New Roman"/>
          <w:sz w:val="20"/>
        </w:rPr>
        <w:t>cpc</w:t>
      </w:r>
      <w:proofErr w:type="spellEnd"/>
      <w:r w:rsidRPr="003E2FFC">
        <w:rPr>
          <w:rFonts w:ascii="Times New Roman" w:hAnsi="Times New Roman" w:cs="Times New Roman"/>
          <w:sz w:val="20"/>
        </w:rPr>
        <w:t>/</w:t>
      </w:r>
      <w:proofErr w:type="spellStart"/>
      <w:r w:rsidRPr="003E2FFC">
        <w:rPr>
          <w:rFonts w:ascii="Times New Roman" w:hAnsi="Times New Roman" w:cs="Times New Roman"/>
          <w:sz w:val="20"/>
        </w:rPr>
        <w:t>tb</w:t>
      </w:r>
      <w:proofErr w:type="spellEnd"/>
      <w:r w:rsidRPr="003E2FFC">
        <w:rPr>
          <w:rFonts w:ascii="Times New Roman" w:hAnsi="Times New Roman" w:cs="Times New Roman"/>
          <w:sz w:val="20"/>
        </w:rPr>
        <w:t>/99.270.</w:t>
      </w:r>
    </w:p>
    <w:p w:rsidR="00E044D7" w:rsidRPr="003E2FFC" w:rsidRDefault="00E044D7" w:rsidP="003E2FFC">
      <w:pPr>
        <w:pStyle w:val="ListParagraph"/>
        <w:numPr>
          <w:ilvl w:val="0"/>
          <w:numId w:val="2"/>
        </w:numPr>
        <w:spacing w:after="0" w:line="360" w:lineRule="auto"/>
        <w:jc w:val="both"/>
        <w:rPr>
          <w:rFonts w:ascii="Times New Roman" w:hAnsi="Times New Roman" w:cs="Times New Roman"/>
          <w:sz w:val="20"/>
        </w:rPr>
      </w:pPr>
      <w:proofErr w:type="spellStart"/>
      <w:r w:rsidRPr="003E2FFC">
        <w:rPr>
          <w:rFonts w:ascii="Times New Roman" w:hAnsi="Times New Roman" w:cs="Times New Roman"/>
          <w:sz w:val="20"/>
        </w:rPr>
        <w:t>BhadkeBB</w:t>
      </w:r>
      <w:proofErr w:type="spellEnd"/>
      <w:r w:rsidRPr="003E2FFC">
        <w:rPr>
          <w:rFonts w:ascii="Times New Roman" w:hAnsi="Times New Roman" w:cs="Times New Roman"/>
          <w:sz w:val="20"/>
        </w:rPr>
        <w:t xml:space="preserve"> </w:t>
      </w:r>
      <w:proofErr w:type="gramStart"/>
      <w:r w:rsidRPr="003E2FFC">
        <w:rPr>
          <w:rFonts w:ascii="Times New Roman" w:hAnsi="Times New Roman" w:cs="Times New Roman"/>
          <w:sz w:val="20"/>
        </w:rPr>
        <w:t>et</w:t>
      </w:r>
      <w:proofErr w:type="gramEnd"/>
      <w:r w:rsidRPr="003E2FFC">
        <w:rPr>
          <w:rFonts w:ascii="Times New Roman" w:hAnsi="Times New Roman" w:cs="Times New Roman"/>
          <w:sz w:val="20"/>
        </w:rPr>
        <w:t xml:space="preserve"> el. Study of various causes of defaulter among tuberculosis patients under revised</w:t>
      </w:r>
      <w:r w:rsidR="00D31507" w:rsidRPr="003E2FFC">
        <w:rPr>
          <w:rFonts w:ascii="Times New Roman" w:hAnsi="Times New Roman" w:cs="Times New Roman"/>
          <w:sz w:val="20"/>
        </w:rPr>
        <w:t xml:space="preserve"> national tuberculosis </w:t>
      </w:r>
      <w:proofErr w:type="spellStart"/>
      <w:r w:rsidR="00D31507" w:rsidRPr="003E2FFC">
        <w:rPr>
          <w:rFonts w:ascii="Times New Roman" w:hAnsi="Times New Roman" w:cs="Times New Roman"/>
          <w:sz w:val="20"/>
        </w:rPr>
        <w:t>programme</w:t>
      </w:r>
      <w:proofErr w:type="spellEnd"/>
      <w:r w:rsidRPr="003E2FFC">
        <w:rPr>
          <w:rFonts w:ascii="Times New Roman" w:hAnsi="Times New Roman" w:cs="Times New Roman"/>
          <w:sz w:val="20"/>
        </w:rPr>
        <w:t xml:space="preserve">: a prospective analysis of 5235 tuberculosis patients. </w:t>
      </w:r>
      <w:proofErr w:type="spellStart"/>
      <w:r w:rsidRPr="003E2FFC">
        <w:rPr>
          <w:rFonts w:ascii="Times New Roman" w:hAnsi="Times New Roman" w:cs="Times New Roman"/>
          <w:i/>
          <w:sz w:val="20"/>
        </w:rPr>
        <w:t>Int</w:t>
      </w:r>
      <w:proofErr w:type="spellEnd"/>
      <w:r w:rsidRPr="003E2FFC">
        <w:rPr>
          <w:rFonts w:ascii="Times New Roman" w:hAnsi="Times New Roman" w:cs="Times New Roman"/>
          <w:i/>
          <w:sz w:val="20"/>
        </w:rPr>
        <w:t xml:space="preserve"> J Res Med SCI. 2016Jul</w:t>
      </w:r>
      <w:r w:rsidR="00D31507" w:rsidRPr="003E2FFC">
        <w:rPr>
          <w:rFonts w:ascii="Times New Roman" w:hAnsi="Times New Roman" w:cs="Times New Roman"/>
          <w:i/>
          <w:sz w:val="20"/>
        </w:rPr>
        <w:t>: 4</w:t>
      </w:r>
      <w:r w:rsidRPr="003E2FFC">
        <w:rPr>
          <w:rFonts w:ascii="Times New Roman" w:hAnsi="Times New Roman" w:cs="Times New Roman"/>
          <w:i/>
          <w:sz w:val="20"/>
        </w:rPr>
        <w:t>(7):2619-2622</w:t>
      </w:r>
      <w:r w:rsidRPr="003E2FFC">
        <w:rPr>
          <w:rFonts w:ascii="Times New Roman" w:hAnsi="Times New Roman" w:cs="Times New Roman"/>
          <w:sz w:val="20"/>
        </w:rPr>
        <w:t>.</w:t>
      </w:r>
    </w:p>
    <w:p w:rsidR="009A3084" w:rsidRPr="003E2FFC" w:rsidRDefault="00F30A64" w:rsidP="003E2FFC">
      <w:pPr>
        <w:pStyle w:val="ListParagraph"/>
        <w:numPr>
          <w:ilvl w:val="0"/>
          <w:numId w:val="2"/>
        </w:numPr>
        <w:spacing w:after="0" w:line="360" w:lineRule="auto"/>
        <w:jc w:val="both"/>
        <w:rPr>
          <w:rFonts w:ascii="Times New Roman" w:hAnsi="Times New Roman" w:cs="Times New Roman"/>
          <w:sz w:val="20"/>
        </w:rPr>
      </w:pPr>
      <w:r w:rsidRPr="003E2FFC">
        <w:rPr>
          <w:rFonts w:ascii="Times New Roman" w:hAnsi="Times New Roman" w:cs="Times New Roman"/>
          <w:sz w:val="20"/>
        </w:rPr>
        <w:t xml:space="preserve">David Comstock et al. Severe </w:t>
      </w:r>
      <w:proofErr w:type="spellStart"/>
      <w:r w:rsidRPr="003E2FFC">
        <w:rPr>
          <w:rFonts w:ascii="Times New Roman" w:hAnsi="Times New Roman" w:cs="Times New Roman"/>
          <w:sz w:val="20"/>
        </w:rPr>
        <w:t>rifamycin</w:t>
      </w:r>
      <w:proofErr w:type="spellEnd"/>
      <w:r w:rsidRPr="003E2FFC">
        <w:rPr>
          <w:rFonts w:ascii="Times New Roman" w:hAnsi="Times New Roman" w:cs="Times New Roman"/>
          <w:sz w:val="20"/>
        </w:rPr>
        <w:t xml:space="preserve">-induced thrombocytopenia in a patient with </w:t>
      </w:r>
      <w:r w:rsidR="00D31507" w:rsidRPr="003E2FFC">
        <w:rPr>
          <w:rFonts w:ascii="Times New Roman" w:hAnsi="Times New Roman" w:cs="Times New Roman"/>
          <w:sz w:val="20"/>
        </w:rPr>
        <w:t>extra pulmonary</w:t>
      </w:r>
      <w:r w:rsidRPr="003E2FFC">
        <w:rPr>
          <w:rFonts w:ascii="Times New Roman" w:hAnsi="Times New Roman" w:cs="Times New Roman"/>
          <w:sz w:val="20"/>
        </w:rPr>
        <w:t xml:space="preserve"> tuberculosis. </w:t>
      </w:r>
      <w:proofErr w:type="spellStart"/>
      <w:r w:rsidRPr="003E2FFC">
        <w:rPr>
          <w:rFonts w:ascii="Times New Roman" w:hAnsi="Times New Roman" w:cs="Times New Roman"/>
          <w:sz w:val="20"/>
        </w:rPr>
        <w:t>Int</w:t>
      </w:r>
      <w:proofErr w:type="spellEnd"/>
      <w:r w:rsidRPr="003E2FFC">
        <w:rPr>
          <w:rFonts w:ascii="Times New Roman" w:hAnsi="Times New Roman" w:cs="Times New Roman"/>
          <w:sz w:val="20"/>
        </w:rPr>
        <w:t xml:space="preserve"> J </w:t>
      </w:r>
      <w:proofErr w:type="spellStart"/>
      <w:r w:rsidRPr="003E2FFC">
        <w:rPr>
          <w:rFonts w:ascii="Times New Roman" w:hAnsi="Times New Roman" w:cs="Times New Roman"/>
          <w:sz w:val="20"/>
        </w:rPr>
        <w:t>Tuberc</w:t>
      </w:r>
      <w:proofErr w:type="spellEnd"/>
      <w:r w:rsidRPr="003E2FFC">
        <w:rPr>
          <w:rFonts w:ascii="Times New Roman" w:hAnsi="Times New Roman" w:cs="Times New Roman"/>
          <w:sz w:val="20"/>
        </w:rPr>
        <w:t xml:space="preserve"> Lung Dis2018</w:t>
      </w:r>
      <w:proofErr w:type="gramStart"/>
      <w:r w:rsidRPr="003E2FFC">
        <w:rPr>
          <w:rFonts w:ascii="Times New Roman" w:hAnsi="Times New Roman" w:cs="Times New Roman"/>
          <w:sz w:val="20"/>
        </w:rPr>
        <w:t>;22</w:t>
      </w:r>
      <w:proofErr w:type="gramEnd"/>
      <w:r w:rsidRPr="003E2FFC">
        <w:rPr>
          <w:rFonts w:ascii="Times New Roman" w:hAnsi="Times New Roman" w:cs="Times New Roman"/>
          <w:sz w:val="20"/>
        </w:rPr>
        <w:t>(10):1243-1244.</w:t>
      </w:r>
    </w:p>
    <w:p w:rsidR="00E044D7" w:rsidRPr="003E2FFC" w:rsidRDefault="00E044D7" w:rsidP="003E2FFC">
      <w:pPr>
        <w:pStyle w:val="ListParagraph"/>
        <w:numPr>
          <w:ilvl w:val="0"/>
          <w:numId w:val="2"/>
        </w:numPr>
        <w:spacing w:after="0" w:line="360" w:lineRule="auto"/>
        <w:jc w:val="both"/>
        <w:rPr>
          <w:rFonts w:ascii="Times New Roman" w:hAnsi="Times New Roman" w:cs="Times New Roman"/>
          <w:sz w:val="20"/>
        </w:rPr>
      </w:pPr>
      <w:r w:rsidRPr="003E2FFC">
        <w:rPr>
          <w:rFonts w:ascii="Times New Roman" w:hAnsi="Times New Roman" w:cs="Times New Roman"/>
          <w:sz w:val="20"/>
        </w:rPr>
        <w:lastRenderedPageBreak/>
        <w:t xml:space="preserve">WHO: Revised International Definitions in Tuberculosis Control. </w:t>
      </w:r>
      <w:proofErr w:type="spellStart"/>
      <w:r w:rsidRPr="003E2FFC">
        <w:rPr>
          <w:rFonts w:ascii="Times New Roman" w:hAnsi="Times New Roman" w:cs="Times New Roman"/>
          <w:sz w:val="20"/>
        </w:rPr>
        <w:t>Int</w:t>
      </w:r>
      <w:proofErr w:type="spellEnd"/>
      <w:r w:rsidRPr="003E2FFC">
        <w:rPr>
          <w:rFonts w:ascii="Times New Roman" w:hAnsi="Times New Roman" w:cs="Times New Roman"/>
          <w:sz w:val="20"/>
        </w:rPr>
        <w:t xml:space="preserve"> J </w:t>
      </w:r>
      <w:proofErr w:type="spellStart"/>
      <w:r w:rsidRPr="003E2FFC">
        <w:rPr>
          <w:rFonts w:ascii="Times New Roman" w:hAnsi="Times New Roman" w:cs="Times New Roman"/>
          <w:sz w:val="20"/>
        </w:rPr>
        <w:t>Tuberc</w:t>
      </w:r>
      <w:proofErr w:type="spellEnd"/>
      <w:r w:rsidRPr="003E2FFC">
        <w:rPr>
          <w:rFonts w:ascii="Times New Roman" w:hAnsi="Times New Roman" w:cs="Times New Roman"/>
          <w:sz w:val="20"/>
        </w:rPr>
        <w:t xml:space="preserve"> Lung Dis 2001</w:t>
      </w:r>
      <w:r w:rsidR="00D61D63" w:rsidRPr="003E2FFC">
        <w:rPr>
          <w:rFonts w:ascii="Times New Roman" w:hAnsi="Times New Roman" w:cs="Times New Roman"/>
          <w:sz w:val="20"/>
        </w:rPr>
        <w:t>; 5:213</w:t>
      </w:r>
      <w:r w:rsidRPr="003E2FFC">
        <w:rPr>
          <w:rFonts w:ascii="Times New Roman" w:hAnsi="Times New Roman" w:cs="Times New Roman"/>
          <w:sz w:val="20"/>
        </w:rPr>
        <w:t>-215.</w:t>
      </w:r>
    </w:p>
    <w:p w:rsidR="00D61D63" w:rsidRPr="003E2FFC" w:rsidRDefault="00F12F09" w:rsidP="003E2FFC">
      <w:pPr>
        <w:pStyle w:val="ListParagraph"/>
        <w:numPr>
          <w:ilvl w:val="0"/>
          <w:numId w:val="2"/>
        </w:numPr>
        <w:spacing w:after="0" w:line="360" w:lineRule="auto"/>
        <w:jc w:val="both"/>
        <w:rPr>
          <w:rFonts w:ascii="Times New Roman" w:hAnsi="Times New Roman" w:cs="Times New Roman"/>
          <w:sz w:val="20"/>
        </w:rPr>
      </w:pPr>
      <w:proofErr w:type="spellStart"/>
      <w:r w:rsidRPr="003E2FFC">
        <w:rPr>
          <w:rFonts w:ascii="Times New Roman" w:hAnsi="Times New Roman" w:cs="Times New Roman"/>
          <w:sz w:val="20"/>
        </w:rPr>
        <w:t>Geeta</w:t>
      </w:r>
      <w:proofErr w:type="spellEnd"/>
      <w:r w:rsidRPr="003E2FFC">
        <w:rPr>
          <w:rFonts w:ascii="Times New Roman" w:hAnsi="Times New Roman" w:cs="Times New Roman"/>
          <w:sz w:val="20"/>
        </w:rPr>
        <w:t xml:space="preserve"> S </w:t>
      </w:r>
      <w:proofErr w:type="spellStart"/>
      <w:r w:rsidRPr="003E2FFC">
        <w:rPr>
          <w:rFonts w:ascii="Times New Roman" w:hAnsi="Times New Roman" w:cs="Times New Roman"/>
          <w:sz w:val="20"/>
        </w:rPr>
        <w:t>Pardeshi</w:t>
      </w:r>
      <w:proofErr w:type="spellEnd"/>
      <w:r w:rsidR="00157D37" w:rsidRPr="003E2FFC">
        <w:rPr>
          <w:rFonts w:ascii="Times New Roman" w:hAnsi="Times New Roman" w:cs="Times New Roman"/>
          <w:sz w:val="20"/>
        </w:rPr>
        <w:t>. Time of Default in Tuberculosis Patients on Directly Observed Treatment.</w:t>
      </w:r>
      <w:r w:rsidR="003C31D9" w:rsidRPr="003E2FFC">
        <w:rPr>
          <w:rFonts w:ascii="Times New Roman" w:hAnsi="Times New Roman" w:cs="Times New Roman"/>
          <w:sz w:val="20"/>
        </w:rPr>
        <w:t xml:space="preserve"> </w:t>
      </w:r>
      <w:r w:rsidR="00D61D63" w:rsidRPr="003E2FFC">
        <w:rPr>
          <w:rFonts w:ascii="Times New Roman" w:hAnsi="Times New Roman" w:cs="Times New Roman"/>
          <w:sz w:val="20"/>
        </w:rPr>
        <w:t>J Glob Infect Dis.2010 Sep-Dec; 2(3): 226-230.doi: 10.4103/0974-777X.68533</w:t>
      </w:r>
    </w:p>
    <w:p w:rsidR="00157D37" w:rsidRPr="003E2FFC" w:rsidRDefault="003F1529" w:rsidP="003E2FFC">
      <w:pPr>
        <w:pStyle w:val="ListParagraph"/>
        <w:numPr>
          <w:ilvl w:val="0"/>
          <w:numId w:val="2"/>
        </w:numPr>
        <w:spacing w:after="0" w:line="360" w:lineRule="auto"/>
        <w:jc w:val="both"/>
        <w:rPr>
          <w:rFonts w:ascii="Times New Roman" w:hAnsi="Times New Roman" w:cs="Times New Roman"/>
          <w:sz w:val="20"/>
        </w:rPr>
      </w:pPr>
      <w:proofErr w:type="spellStart"/>
      <w:r w:rsidRPr="003E2FFC">
        <w:rPr>
          <w:rFonts w:ascii="Times New Roman" w:hAnsi="Times New Roman" w:cs="Times New Roman"/>
          <w:sz w:val="20"/>
        </w:rPr>
        <w:t>Chida</w:t>
      </w:r>
      <w:proofErr w:type="spellEnd"/>
      <w:r w:rsidRPr="003E2FFC">
        <w:rPr>
          <w:rFonts w:ascii="Times New Roman" w:hAnsi="Times New Roman" w:cs="Times New Roman"/>
          <w:sz w:val="20"/>
        </w:rPr>
        <w:t xml:space="preserve"> N et a</w:t>
      </w:r>
      <w:r w:rsidR="0089293A" w:rsidRPr="003E2FFC">
        <w:rPr>
          <w:rFonts w:ascii="Times New Roman" w:hAnsi="Times New Roman" w:cs="Times New Roman"/>
          <w:sz w:val="20"/>
        </w:rPr>
        <w:t>l. Determinants of default from Tuberculosis Treatment among Patients with Drug-</w:t>
      </w:r>
      <w:r w:rsidRPr="003E2FFC">
        <w:rPr>
          <w:rFonts w:ascii="Times New Roman" w:hAnsi="Times New Roman" w:cs="Times New Roman"/>
          <w:sz w:val="20"/>
        </w:rPr>
        <w:t>Susceptible</w:t>
      </w:r>
      <w:r w:rsidR="0089293A" w:rsidRPr="003E2FFC">
        <w:rPr>
          <w:rFonts w:ascii="Times New Roman" w:hAnsi="Times New Roman" w:cs="Times New Roman"/>
          <w:sz w:val="20"/>
        </w:rPr>
        <w:t xml:space="preserve"> Tuberculosis in Karachi, Pakistan: A Mixed Methods Study. </w:t>
      </w:r>
      <w:proofErr w:type="spellStart"/>
      <w:r w:rsidR="0089293A" w:rsidRPr="003E2FFC">
        <w:rPr>
          <w:rFonts w:ascii="Times New Roman" w:hAnsi="Times New Roman" w:cs="Times New Roman"/>
          <w:sz w:val="20"/>
        </w:rPr>
        <w:t>PLoS</w:t>
      </w:r>
      <w:proofErr w:type="spellEnd"/>
      <w:r w:rsidR="0089293A" w:rsidRPr="003E2FFC">
        <w:rPr>
          <w:rFonts w:ascii="Times New Roman" w:hAnsi="Times New Roman" w:cs="Times New Roman"/>
          <w:sz w:val="20"/>
        </w:rPr>
        <w:t xml:space="preserve"> ONE 10(11):e0142384. </w:t>
      </w:r>
      <w:proofErr w:type="spellStart"/>
      <w:r w:rsidR="0089293A" w:rsidRPr="003E2FFC">
        <w:rPr>
          <w:rFonts w:ascii="Times New Roman" w:hAnsi="Times New Roman" w:cs="Times New Roman"/>
          <w:sz w:val="20"/>
        </w:rPr>
        <w:t>Doi</w:t>
      </w:r>
      <w:proofErr w:type="spellEnd"/>
      <w:r w:rsidR="0089293A" w:rsidRPr="003E2FFC">
        <w:rPr>
          <w:rFonts w:ascii="Times New Roman" w:hAnsi="Times New Roman" w:cs="Times New Roman"/>
          <w:sz w:val="20"/>
        </w:rPr>
        <w:t>: 10.1371/journal.pone.0142384</w:t>
      </w:r>
    </w:p>
    <w:p w:rsidR="00883BAE" w:rsidRPr="003E2FFC" w:rsidRDefault="00883BAE" w:rsidP="003E2FFC">
      <w:pPr>
        <w:pStyle w:val="ListParagraph"/>
        <w:numPr>
          <w:ilvl w:val="0"/>
          <w:numId w:val="2"/>
        </w:numPr>
        <w:spacing w:after="0" w:line="360" w:lineRule="auto"/>
        <w:jc w:val="both"/>
        <w:rPr>
          <w:rFonts w:ascii="Times New Roman" w:hAnsi="Times New Roman" w:cs="Times New Roman"/>
          <w:sz w:val="20"/>
        </w:rPr>
      </w:pPr>
      <w:proofErr w:type="spellStart"/>
      <w:r w:rsidRPr="003E2FFC">
        <w:rPr>
          <w:rFonts w:ascii="Times New Roman" w:hAnsi="Times New Roman" w:cs="Times New Roman"/>
          <w:sz w:val="20"/>
        </w:rPr>
        <w:t>Banu</w:t>
      </w:r>
      <w:proofErr w:type="spellEnd"/>
      <w:r w:rsidRPr="003E2FFC">
        <w:rPr>
          <w:rFonts w:ascii="Times New Roman" w:hAnsi="Times New Roman" w:cs="Times New Roman"/>
          <w:sz w:val="20"/>
        </w:rPr>
        <w:t xml:space="preserve"> Eris </w:t>
      </w:r>
      <w:proofErr w:type="spellStart"/>
      <w:r w:rsidRPr="003E2FFC">
        <w:rPr>
          <w:rFonts w:ascii="Times New Roman" w:hAnsi="Times New Roman" w:cs="Times New Roman"/>
          <w:sz w:val="20"/>
        </w:rPr>
        <w:t>Gulbay</w:t>
      </w:r>
      <w:proofErr w:type="spellEnd"/>
      <w:r w:rsidR="003C31D9" w:rsidRPr="003E2FFC">
        <w:rPr>
          <w:rFonts w:ascii="Times New Roman" w:hAnsi="Times New Roman" w:cs="Times New Roman"/>
          <w:sz w:val="20"/>
        </w:rPr>
        <w:t xml:space="preserve"> et al</w:t>
      </w:r>
      <w:r w:rsidRPr="003E2FFC">
        <w:rPr>
          <w:rFonts w:ascii="Times New Roman" w:hAnsi="Times New Roman" w:cs="Times New Roman"/>
          <w:sz w:val="20"/>
        </w:rPr>
        <w:t xml:space="preserve">. Side effects due to </w:t>
      </w:r>
      <w:proofErr w:type="spellStart"/>
      <w:r w:rsidRPr="003E2FFC">
        <w:rPr>
          <w:rFonts w:ascii="Times New Roman" w:hAnsi="Times New Roman" w:cs="Times New Roman"/>
          <w:sz w:val="20"/>
        </w:rPr>
        <w:t>priary</w:t>
      </w:r>
      <w:proofErr w:type="spellEnd"/>
      <w:r w:rsidRPr="003E2FFC">
        <w:rPr>
          <w:rFonts w:ascii="Times New Roman" w:hAnsi="Times New Roman" w:cs="Times New Roman"/>
          <w:sz w:val="20"/>
        </w:rPr>
        <w:t xml:space="preserve"> </w:t>
      </w:r>
      <w:proofErr w:type="spellStart"/>
      <w:r w:rsidRPr="003E2FFC">
        <w:rPr>
          <w:rFonts w:ascii="Times New Roman" w:hAnsi="Times New Roman" w:cs="Times New Roman"/>
          <w:sz w:val="20"/>
        </w:rPr>
        <w:t>anttuberculous</w:t>
      </w:r>
      <w:proofErr w:type="spellEnd"/>
      <w:r w:rsidRPr="003E2FFC">
        <w:rPr>
          <w:rFonts w:ascii="Times New Roman" w:hAnsi="Times New Roman" w:cs="Times New Roman"/>
          <w:sz w:val="20"/>
        </w:rPr>
        <w:t xml:space="preserve"> drugs during the initial phase of therapy in 1149 </w:t>
      </w:r>
      <w:proofErr w:type="spellStart"/>
      <w:r w:rsidRPr="003E2FFC">
        <w:rPr>
          <w:rFonts w:ascii="Times New Roman" w:hAnsi="Times New Roman" w:cs="Times New Roman"/>
          <w:sz w:val="20"/>
        </w:rPr>
        <w:t>hospitalised</w:t>
      </w:r>
      <w:proofErr w:type="spellEnd"/>
      <w:r w:rsidRPr="003E2FFC">
        <w:rPr>
          <w:rFonts w:ascii="Times New Roman" w:hAnsi="Times New Roman" w:cs="Times New Roman"/>
          <w:sz w:val="20"/>
        </w:rPr>
        <w:t xml:space="preserve"> patients for tuberculosis. </w:t>
      </w:r>
      <w:r w:rsidR="003C31D9" w:rsidRPr="003E2FFC">
        <w:rPr>
          <w:rFonts w:ascii="Times New Roman" w:hAnsi="Times New Roman" w:cs="Times New Roman"/>
          <w:sz w:val="20"/>
        </w:rPr>
        <w:t xml:space="preserve">Journal </w:t>
      </w:r>
      <w:r w:rsidRPr="003E2FFC">
        <w:rPr>
          <w:rFonts w:ascii="Times New Roman" w:hAnsi="Times New Roman" w:cs="Times New Roman"/>
          <w:sz w:val="20"/>
        </w:rPr>
        <w:t xml:space="preserve">Respiratory </w:t>
      </w:r>
      <w:proofErr w:type="spellStart"/>
      <w:r w:rsidRPr="003E2FFC">
        <w:rPr>
          <w:rFonts w:ascii="Times New Roman" w:hAnsi="Times New Roman" w:cs="Times New Roman"/>
          <w:sz w:val="20"/>
        </w:rPr>
        <w:t>Medicine.Oct</w:t>
      </w:r>
      <w:proofErr w:type="spellEnd"/>
      <w:r w:rsidRPr="003E2FFC">
        <w:rPr>
          <w:rFonts w:ascii="Times New Roman" w:hAnsi="Times New Roman" w:cs="Times New Roman"/>
          <w:sz w:val="20"/>
        </w:rPr>
        <w:t xml:space="preserve"> 2006</w:t>
      </w:r>
      <w:r w:rsidR="003F1529" w:rsidRPr="003E2FFC">
        <w:rPr>
          <w:rFonts w:ascii="Times New Roman" w:hAnsi="Times New Roman" w:cs="Times New Roman"/>
          <w:sz w:val="20"/>
        </w:rPr>
        <w:t>; 100</w:t>
      </w:r>
      <w:r w:rsidRPr="003E2FFC">
        <w:rPr>
          <w:rFonts w:ascii="Times New Roman" w:hAnsi="Times New Roman" w:cs="Times New Roman"/>
          <w:sz w:val="20"/>
        </w:rPr>
        <w:t xml:space="preserve">(10):1834-1842. </w:t>
      </w:r>
      <w:r w:rsidR="003C31D9" w:rsidRPr="003E2FFC">
        <w:rPr>
          <w:rFonts w:ascii="Times New Roman" w:hAnsi="Times New Roman" w:cs="Times New Roman"/>
          <w:sz w:val="20"/>
        </w:rPr>
        <w:t>https://doi.org/10.1016/j.rmed.2006.01.014</w:t>
      </w:r>
    </w:p>
    <w:p w:rsidR="000613EE" w:rsidRPr="003E2FFC" w:rsidRDefault="000613EE" w:rsidP="003E2FFC">
      <w:pPr>
        <w:pStyle w:val="ListParagraph"/>
        <w:numPr>
          <w:ilvl w:val="0"/>
          <w:numId w:val="2"/>
        </w:numPr>
        <w:spacing w:after="0" w:line="360" w:lineRule="auto"/>
        <w:jc w:val="both"/>
        <w:rPr>
          <w:rFonts w:ascii="Times New Roman" w:hAnsi="Times New Roman" w:cs="Times New Roman"/>
          <w:sz w:val="20"/>
        </w:rPr>
      </w:pPr>
      <w:r w:rsidRPr="003E2FFC">
        <w:rPr>
          <w:rFonts w:ascii="Times New Roman" w:hAnsi="Times New Roman" w:cs="Times New Roman"/>
          <w:sz w:val="20"/>
        </w:rPr>
        <w:t xml:space="preserve">Antony Q. et al Pyrazinamide-Induced </w:t>
      </w:r>
      <w:proofErr w:type="spellStart"/>
      <w:r w:rsidRPr="003E2FFC">
        <w:rPr>
          <w:rFonts w:ascii="Times New Roman" w:hAnsi="Times New Roman" w:cs="Times New Roman"/>
          <w:sz w:val="20"/>
        </w:rPr>
        <w:t>Hyperuricemia.P</w:t>
      </w:r>
      <w:proofErr w:type="spellEnd"/>
      <w:r w:rsidRPr="003E2FFC">
        <w:rPr>
          <w:rFonts w:ascii="Times New Roman" w:hAnsi="Times New Roman" w:cs="Times New Roman"/>
          <w:sz w:val="20"/>
        </w:rPr>
        <w:t xml:space="preserve"> T.2014 Oct</w:t>
      </w:r>
      <w:proofErr w:type="gramStart"/>
      <w:r w:rsidRPr="003E2FFC">
        <w:rPr>
          <w:rFonts w:ascii="Times New Roman" w:hAnsi="Times New Roman" w:cs="Times New Roman"/>
          <w:sz w:val="20"/>
        </w:rPr>
        <w:t>;39</w:t>
      </w:r>
      <w:proofErr w:type="gramEnd"/>
      <w:r w:rsidRPr="003E2FFC">
        <w:rPr>
          <w:rFonts w:ascii="Times New Roman" w:hAnsi="Times New Roman" w:cs="Times New Roman"/>
          <w:sz w:val="20"/>
        </w:rPr>
        <w:t>(10):695-697,715.</w:t>
      </w:r>
    </w:p>
    <w:p w:rsidR="00254705" w:rsidRPr="003E2FFC" w:rsidRDefault="00C62B11" w:rsidP="003E2FFC">
      <w:pPr>
        <w:pStyle w:val="ListParagraph"/>
        <w:numPr>
          <w:ilvl w:val="0"/>
          <w:numId w:val="2"/>
        </w:numPr>
        <w:spacing w:after="0" w:line="360" w:lineRule="auto"/>
        <w:jc w:val="both"/>
        <w:rPr>
          <w:rFonts w:ascii="Times New Roman" w:hAnsi="Times New Roman" w:cs="Times New Roman"/>
          <w:sz w:val="20"/>
        </w:rPr>
      </w:pPr>
      <w:r w:rsidRPr="003E2FFC">
        <w:rPr>
          <w:rFonts w:ascii="Times New Roman" w:hAnsi="Times New Roman" w:cs="Times New Roman"/>
          <w:sz w:val="20"/>
        </w:rPr>
        <w:t xml:space="preserve">Ina </w:t>
      </w:r>
      <w:proofErr w:type="spellStart"/>
      <w:r w:rsidRPr="003E2FFC">
        <w:rPr>
          <w:rFonts w:ascii="Times New Roman" w:hAnsi="Times New Roman" w:cs="Times New Roman"/>
          <w:sz w:val="20"/>
        </w:rPr>
        <w:t>Jeong</w:t>
      </w:r>
      <w:proofErr w:type="spellEnd"/>
      <w:r w:rsidRPr="003E2FFC">
        <w:rPr>
          <w:rFonts w:ascii="Times New Roman" w:hAnsi="Times New Roman" w:cs="Times New Roman"/>
          <w:sz w:val="20"/>
        </w:rPr>
        <w:t xml:space="preserve"> et al. Drug-induced Hepatotoxicity of Anti-tuberculosis Drugs and Their Serum Levels. J Korean Med Sci.2015 Feb; 30(2): 167-172. </w:t>
      </w:r>
      <w:proofErr w:type="spellStart"/>
      <w:r w:rsidRPr="003E2FFC">
        <w:rPr>
          <w:rFonts w:ascii="Times New Roman" w:hAnsi="Times New Roman" w:cs="Times New Roman"/>
          <w:sz w:val="20"/>
        </w:rPr>
        <w:t>doi</w:t>
      </w:r>
      <w:proofErr w:type="spellEnd"/>
      <w:r w:rsidRPr="003E2FFC">
        <w:rPr>
          <w:rFonts w:ascii="Times New Roman" w:hAnsi="Times New Roman" w:cs="Times New Roman"/>
          <w:sz w:val="20"/>
        </w:rPr>
        <w:t>: 10.3346/jkms.2015.30.2.167</w:t>
      </w:r>
    </w:p>
    <w:p w:rsidR="005C2988" w:rsidRPr="003E2FFC" w:rsidRDefault="005C2988" w:rsidP="003E2FFC">
      <w:pPr>
        <w:pStyle w:val="ListParagraph"/>
        <w:numPr>
          <w:ilvl w:val="0"/>
          <w:numId w:val="2"/>
        </w:numPr>
        <w:spacing w:after="0" w:line="360" w:lineRule="auto"/>
        <w:jc w:val="both"/>
        <w:rPr>
          <w:rFonts w:ascii="Times New Roman" w:hAnsi="Times New Roman" w:cs="Times New Roman"/>
          <w:sz w:val="20"/>
        </w:rPr>
      </w:pPr>
      <w:r w:rsidRPr="003E2FFC">
        <w:rPr>
          <w:rFonts w:ascii="Times New Roman" w:hAnsi="Times New Roman" w:cs="Times New Roman"/>
          <w:sz w:val="20"/>
        </w:rPr>
        <w:t xml:space="preserve">H </w:t>
      </w:r>
      <w:proofErr w:type="spellStart"/>
      <w:r w:rsidRPr="003E2FFC">
        <w:rPr>
          <w:rFonts w:ascii="Times New Roman" w:hAnsi="Times New Roman" w:cs="Times New Roman"/>
          <w:sz w:val="20"/>
        </w:rPr>
        <w:t>Devarbhavi</w:t>
      </w:r>
      <w:proofErr w:type="spellEnd"/>
      <w:r w:rsidRPr="003E2FFC">
        <w:rPr>
          <w:rFonts w:ascii="Times New Roman" w:hAnsi="Times New Roman" w:cs="Times New Roman"/>
          <w:sz w:val="20"/>
        </w:rPr>
        <w:t xml:space="preserve">. </w:t>
      </w:r>
      <w:proofErr w:type="spellStart"/>
      <w:r w:rsidRPr="003E2FFC">
        <w:rPr>
          <w:rFonts w:ascii="Times New Roman" w:hAnsi="Times New Roman" w:cs="Times New Roman"/>
          <w:sz w:val="20"/>
        </w:rPr>
        <w:t>Antituberculous</w:t>
      </w:r>
      <w:proofErr w:type="spellEnd"/>
      <w:r w:rsidRPr="003E2FFC">
        <w:rPr>
          <w:rFonts w:ascii="Times New Roman" w:hAnsi="Times New Roman" w:cs="Times New Roman"/>
          <w:sz w:val="20"/>
        </w:rPr>
        <w:t xml:space="preserve"> drug induced liver injury: current </w:t>
      </w:r>
      <w:r w:rsidR="00C3002C" w:rsidRPr="003E2FFC">
        <w:rPr>
          <w:rFonts w:ascii="Times New Roman" w:hAnsi="Times New Roman" w:cs="Times New Roman"/>
          <w:sz w:val="20"/>
        </w:rPr>
        <w:t>perspective. Tropical Gastroenterology 32(3), 167-174</w:t>
      </w:r>
      <w:r w:rsidR="00DC29BA" w:rsidRPr="003E2FFC">
        <w:rPr>
          <w:rFonts w:ascii="Times New Roman" w:hAnsi="Times New Roman" w:cs="Times New Roman"/>
          <w:sz w:val="20"/>
        </w:rPr>
        <w:t>, 2011</w:t>
      </w:r>
      <w:r w:rsidR="00C3002C" w:rsidRPr="003E2FFC">
        <w:rPr>
          <w:rFonts w:ascii="Times New Roman" w:hAnsi="Times New Roman" w:cs="Times New Roman"/>
          <w:sz w:val="20"/>
        </w:rPr>
        <w:t xml:space="preserve">.  </w:t>
      </w:r>
      <w:proofErr w:type="spellStart"/>
      <w:r w:rsidR="00C3002C" w:rsidRPr="003E2FFC">
        <w:rPr>
          <w:rFonts w:ascii="Times New Roman" w:hAnsi="Times New Roman" w:cs="Times New Roman"/>
          <w:sz w:val="20"/>
        </w:rPr>
        <w:t>doi</w:t>
      </w:r>
      <w:proofErr w:type="spellEnd"/>
      <w:r w:rsidR="00C3002C" w:rsidRPr="003E2FFC">
        <w:rPr>
          <w:rFonts w:ascii="Times New Roman" w:hAnsi="Times New Roman" w:cs="Times New Roman"/>
          <w:sz w:val="20"/>
        </w:rPr>
        <w:t xml:space="preserve">: </w:t>
      </w:r>
      <w:hyperlink r:id="rId14" w:history="1">
        <w:r w:rsidR="00C3002C" w:rsidRPr="003E2FFC">
          <w:rPr>
            <w:rStyle w:val="Hyperlink"/>
            <w:rFonts w:ascii="Times New Roman" w:hAnsi="Times New Roman" w:cs="Times New Roman"/>
            <w:color w:val="auto"/>
            <w:sz w:val="20"/>
          </w:rPr>
          <w:t>http://dx.doi.org</w:t>
        </w:r>
      </w:hyperlink>
    </w:p>
    <w:p w:rsidR="00C3002C" w:rsidRPr="003E2FFC" w:rsidRDefault="00254705" w:rsidP="003E2FFC">
      <w:pPr>
        <w:pStyle w:val="ListParagraph"/>
        <w:numPr>
          <w:ilvl w:val="0"/>
          <w:numId w:val="2"/>
        </w:numPr>
        <w:spacing w:after="0" w:line="360" w:lineRule="auto"/>
        <w:jc w:val="both"/>
        <w:rPr>
          <w:rFonts w:ascii="Times New Roman" w:hAnsi="Times New Roman" w:cs="Times New Roman"/>
          <w:sz w:val="20"/>
        </w:rPr>
      </w:pPr>
      <w:r w:rsidRPr="003E2FFC">
        <w:rPr>
          <w:rFonts w:ascii="Times New Roman" w:hAnsi="Times New Roman" w:cs="Times New Roman"/>
          <w:sz w:val="20"/>
        </w:rPr>
        <w:t xml:space="preserve">SK Sharma et </w:t>
      </w:r>
      <w:r w:rsidR="00310D89" w:rsidRPr="003E2FFC">
        <w:rPr>
          <w:rFonts w:ascii="Times New Roman" w:hAnsi="Times New Roman" w:cs="Times New Roman"/>
          <w:sz w:val="20"/>
        </w:rPr>
        <w:t xml:space="preserve">al. Evaluation of clinical and </w:t>
      </w:r>
      <w:proofErr w:type="spellStart"/>
      <w:r w:rsidR="00310D89" w:rsidRPr="003E2FFC">
        <w:rPr>
          <w:rFonts w:ascii="Times New Roman" w:hAnsi="Times New Roman" w:cs="Times New Roman"/>
          <w:sz w:val="20"/>
        </w:rPr>
        <w:t>Immunogenetic</w:t>
      </w:r>
      <w:proofErr w:type="spellEnd"/>
      <w:r w:rsidR="00310D89" w:rsidRPr="003E2FFC">
        <w:rPr>
          <w:rFonts w:ascii="Times New Roman" w:hAnsi="Times New Roman" w:cs="Times New Roman"/>
          <w:sz w:val="20"/>
        </w:rPr>
        <w:t xml:space="preserve"> Risk Factors for the Development of Hepatotoxicity during Antitub</w:t>
      </w:r>
      <w:bookmarkStart w:id="0" w:name="_GoBack"/>
      <w:bookmarkEnd w:id="0"/>
      <w:r w:rsidR="00310D89" w:rsidRPr="003E2FFC">
        <w:rPr>
          <w:rFonts w:ascii="Times New Roman" w:hAnsi="Times New Roman" w:cs="Times New Roman"/>
          <w:sz w:val="20"/>
        </w:rPr>
        <w:t xml:space="preserve">erculosis </w:t>
      </w:r>
      <w:r w:rsidR="008C3C55" w:rsidRPr="003E2FFC">
        <w:rPr>
          <w:rFonts w:ascii="Times New Roman" w:hAnsi="Times New Roman" w:cs="Times New Roman"/>
          <w:sz w:val="20"/>
        </w:rPr>
        <w:t>Treatment. American</w:t>
      </w:r>
      <w:r w:rsidR="00310D89" w:rsidRPr="003E2FFC">
        <w:rPr>
          <w:rFonts w:ascii="Times New Roman" w:hAnsi="Times New Roman" w:cs="Times New Roman"/>
          <w:sz w:val="20"/>
        </w:rPr>
        <w:t xml:space="preserve"> Journal of Respiratory and Critical Care MedicineVol.166</w:t>
      </w:r>
      <w:r w:rsidR="001C0F9D" w:rsidRPr="003E2FFC">
        <w:rPr>
          <w:rFonts w:ascii="Times New Roman" w:hAnsi="Times New Roman" w:cs="Times New Roman"/>
          <w:sz w:val="20"/>
        </w:rPr>
        <w:t>, No.7, Oct</w:t>
      </w:r>
      <w:r w:rsidR="00310D89" w:rsidRPr="003E2FFC">
        <w:rPr>
          <w:rFonts w:ascii="Times New Roman" w:hAnsi="Times New Roman" w:cs="Times New Roman"/>
          <w:sz w:val="20"/>
        </w:rPr>
        <w:t xml:space="preserve"> 01</w:t>
      </w:r>
      <w:r w:rsidR="00AE63AC" w:rsidRPr="003E2FFC">
        <w:rPr>
          <w:rFonts w:ascii="Times New Roman" w:hAnsi="Times New Roman" w:cs="Times New Roman"/>
          <w:sz w:val="20"/>
        </w:rPr>
        <w:t>, 2002</w:t>
      </w:r>
      <w:r w:rsidR="00310D89" w:rsidRPr="003E2FFC">
        <w:rPr>
          <w:rFonts w:ascii="Times New Roman" w:hAnsi="Times New Roman" w:cs="Times New Roman"/>
          <w:sz w:val="20"/>
        </w:rPr>
        <w:t xml:space="preserve">. </w:t>
      </w:r>
      <w:hyperlink r:id="rId15" w:history="1">
        <w:r w:rsidR="00AE63AC" w:rsidRPr="003E2FFC">
          <w:rPr>
            <w:rStyle w:val="Hyperlink"/>
            <w:rFonts w:ascii="Times New Roman" w:hAnsi="Times New Roman" w:cs="Times New Roman"/>
            <w:color w:val="auto"/>
            <w:sz w:val="20"/>
          </w:rPr>
          <w:t>https://doi.org/10.1164/rccm.2108091</w:t>
        </w:r>
      </w:hyperlink>
    </w:p>
    <w:p w:rsidR="00AE63AC" w:rsidRPr="003E2FFC" w:rsidRDefault="00AE63AC" w:rsidP="003E2FFC">
      <w:pPr>
        <w:pStyle w:val="ListParagraph"/>
        <w:numPr>
          <w:ilvl w:val="0"/>
          <w:numId w:val="2"/>
        </w:numPr>
        <w:spacing w:after="0" w:line="360" w:lineRule="auto"/>
        <w:jc w:val="both"/>
        <w:rPr>
          <w:rFonts w:ascii="Times New Roman" w:hAnsi="Times New Roman" w:cs="Times New Roman"/>
          <w:sz w:val="20"/>
        </w:rPr>
      </w:pPr>
      <w:proofErr w:type="spellStart"/>
      <w:r w:rsidRPr="003E2FFC">
        <w:rPr>
          <w:rFonts w:ascii="Times New Roman" w:hAnsi="Times New Roman" w:cs="Times New Roman"/>
          <w:sz w:val="20"/>
        </w:rPr>
        <w:t>Sandhya</w:t>
      </w:r>
      <w:proofErr w:type="spellEnd"/>
      <w:r w:rsidRPr="003E2FFC">
        <w:rPr>
          <w:rFonts w:ascii="Times New Roman" w:hAnsi="Times New Roman" w:cs="Times New Roman"/>
          <w:sz w:val="20"/>
        </w:rPr>
        <w:t xml:space="preserve"> AS. </w:t>
      </w:r>
      <w:r w:rsidR="00230804" w:rsidRPr="003E2FFC">
        <w:rPr>
          <w:rFonts w:ascii="Times New Roman" w:hAnsi="Times New Roman" w:cs="Times New Roman"/>
          <w:sz w:val="20"/>
        </w:rPr>
        <w:t>Thrombocytopenia</w:t>
      </w:r>
      <w:r w:rsidRPr="003E2FFC">
        <w:rPr>
          <w:rFonts w:ascii="Times New Roman" w:hAnsi="Times New Roman" w:cs="Times New Roman"/>
          <w:sz w:val="20"/>
        </w:rPr>
        <w:t xml:space="preserve"> in HIV patients </w:t>
      </w:r>
      <w:proofErr w:type="spellStart"/>
      <w:r w:rsidRPr="003E2FFC">
        <w:rPr>
          <w:rFonts w:ascii="Times New Roman" w:hAnsi="Times New Roman" w:cs="Times New Roman"/>
          <w:sz w:val="20"/>
        </w:rPr>
        <w:t>coinfected</w:t>
      </w:r>
      <w:proofErr w:type="spellEnd"/>
      <w:r w:rsidRPr="003E2FFC">
        <w:rPr>
          <w:rFonts w:ascii="Times New Roman" w:hAnsi="Times New Roman" w:cs="Times New Roman"/>
          <w:sz w:val="20"/>
        </w:rPr>
        <w:t xml:space="preserve"> with </w:t>
      </w:r>
      <w:proofErr w:type="spellStart"/>
      <w:r w:rsidRPr="003E2FFC">
        <w:rPr>
          <w:rFonts w:ascii="Times New Roman" w:hAnsi="Times New Roman" w:cs="Times New Roman"/>
          <w:sz w:val="20"/>
        </w:rPr>
        <w:t>tuberculosis.J</w:t>
      </w:r>
      <w:proofErr w:type="spellEnd"/>
      <w:r w:rsidRPr="003E2FFC">
        <w:rPr>
          <w:rFonts w:ascii="Times New Roman" w:hAnsi="Times New Roman" w:cs="Times New Roman"/>
          <w:sz w:val="20"/>
        </w:rPr>
        <w:t xml:space="preserve"> Family Med Prim Care</w:t>
      </w:r>
      <w:r w:rsidR="00165736" w:rsidRPr="003E2FFC">
        <w:rPr>
          <w:rFonts w:ascii="Times New Roman" w:hAnsi="Times New Roman" w:cs="Times New Roman"/>
          <w:sz w:val="20"/>
        </w:rPr>
        <w:t>. 2017 Oct-Dec;6(4):859-861.doi: 10.4103/jfmpc.jfmpc_250_17</w:t>
      </w:r>
    </w:p>
    <w:p w:rsidR="00165736" w:rsidRPr="003E2FFC" w:rsidRDefault="00165736" w:rsidP="003E2FFC">
      <w:pPr>
        <w:pStyle w:val="ListParagraph"/>
        <w:numPr>
          <w:ilvl w:val="0"/>
          <w:numId w:val="2"/>
        </w:numPr>
        <w:spacing w:after="0" w:line="360" w:lineRule="auto"/>
        <w:jc w:val="both"/>
        <w:rPr>
          <w:rFonts w:ascii="Times New Roman" w:hAnsi="Times New Roman" w:cs="Times New Roman"/>
          <w:sz w:val="20"/>
        </w:rPr>
      </w:pPr>
      <w:proofErr w:type="spellStart"/>
      <w:r w:rsidRPr="003E2FFC">
        <w:rPr>
          <w:rFonts w:ascii="Times New Roman" w:hAnsi="Times New Roman" w:cs="Times New Roman"/>
          <w:sz w:val="20"/>
        </w:rPr>
        <w:t>Verma</w:t>
      </w:r>
      <w:proofErr w:type="spellEnd"/>
      <w:r w:rsidRPr="003E2FFC">
        <w:rPr>
          <w:rFonts w:ascii="Times New Roman" w:hAnsi="Times New Roman" w:cs="Times New Roman"/>
          <w:sz w:val="20"/>
        </w:rPr>
        <w:t xml:space="preserve"> AK et al. Rifampicin-</w:t>
      </w:r>
      <w:proofErr w:type="spellStart"/>
      <w:r w:rsidRPr="003E2FFC">
        <w:rPr>
          <w:rFonts w:ascii="Times New Roman" w:hAnsi="Times New Roman" w:cs="Times New Roman"/>
          <w:sz w:val="20"/>
        </w:rPr>
        <w:t>iduced</w:t>
      </w:r>
      <w:proofErr w:type="spellEnd"/>
      <w:r w:rsidRPr="003E2FFC">
        <w:rPr>
          <w:rFonts w:ascii="Times New Roman" w:hAnsi="Times New Roman" w:cs="Times New Roman"/>
          <w:sz w:val="20"/>
        </w:rPr>
        <w:t xml:space="preserve"> thrombocytopenia. Indian J Pharmacol.200 Aug</w:t>
      </w:r>
      <w:proofErr w:type="gramStart"/>
      <w:r w:rsidRPr="003E2FFC">
        <w:rPr>
          <w:rFonts w:ascii="Times New Roman" w:hAnsi="Times New Roman" w:cs="Times New Roman"/>
          <w:sz w:val="20"/>
        </w:rPr>
        <w:t>;42</w:t>
      </w:r>
      <w:proofErr w:type="gramEnd"/>
      <w:r w:rsidRPr="003E2FFC">
        <w:rPr>
          <w:rFonts w:ascii="Times New Roman" w:hAnsi="Times New Roman" w:cs="Times New Roman"/>
          <w:sz w:val="20"/>
        </w:rPr>
        <w:t xml:space="preserve">(4):2402. </w:t>
      </w:r>
      <w:proofErr w:type="spellStart"/>
      <w:r w:rsidRPr="003E2FFC">
        <w:rPr>
          <w:rFonts w:ascii="Times New Roman" w:hAnsi="Times New Roman" w:cs="Times New Roman"/>
          <w:sz w:val="20"/>
        </w:rPr>
        <w:t>Doi</w:t>
      </w:r>
      <w:proofErr w:type="spellEnd"/>
      <w:r w:rsidRPr="003E2FFC">
        <w:rPr>
          <w:rFonts w:ascii="Times New Roman" w:hAnsi="Times New Roman" w:cs="Times New Roman"/>
          <w:sz w:val="20"/>
        </w:rPr>
        <w:t>: 10.4103/0253-7613.68432</w:t>
      </w:r>
    </w:p>
    <w:p w:rsidR="00C72EF0" w:rsidRPr="003E2FFC" w:rsidRDefault="00285AA9" w:rsidP="003E2FFC">
      <w:pPr>
        <w:pStyle w:val="ListParagraph"/>
        <w:numPr>
          <w:ilvl w:val="0"/>
          <w:numId w:val="2"/>
        </w:numPr>
        <w:spacing w:after="0" w:line="360" w:lineRule="auto"/>
        <w:jc w:val="both"/>
        <w:rPr>
          <w:rFonts w:ascii="Times New Roman" w:hAnsi="Times New Roman" w:cs="Times New Roman"/>
          <w:sz w:val="20"/>
        </w:rPr>
      </w:pPr>
      <w:r w:rsidRPr="003E2FFC">
        <w:rPr>
          <w:rFonts w:ascii="Times New Roman" w:hAnsi="Times New Roman" w:cs="Times New Roman"/>
          <w:sz w:val="20"/>
        </w:rPr>
        <w:t xml:space="preserve">Mark </w:t>
      </w:r>
      <w:proofErr w:type="spellStart"/>
      <w:r w:rsidRPr="003E2FFC">
        <w:rPr>
          <w:rFonts w:ascii="Times New Roman" w:hAnsi="Times New Roman" w:cs="Times New Roman"/>
          <w:sz w:val="20"/>
        </w:rPr>
        <w:t>Stettner</w:t>
      </w:r>
      <w:proofErr w:type="spellEnd"/>
      <w:r w:rsidRPr="003E2FFC">
        <w:rPr>
          <w:rFonts w:ascii="Times New Roman" w:hAnsi="Times New Roman" w:cs="Times New Roman"/>
          <w:sz w:val="20"/>
        </w:rPr>
        <w:t xml:space="preserve"> et al. Isoniazid-induced polyneuropathy in a tuberculosis patient- implication for individual risk stratification with genotyping? Brain and Behav.2015Aug</w:t>
      </w:r>
      <w:proofErr w:type="gramStart"/>
      <w:r w:rsidRPr="003E2FFC">
        <w:rPr>
          <w:rFonts w:ascii="Times New Roman" w:hAnsi="Times New Roman" w:cs="Times New Roman"/>
          <w:sz w:val="20"/>
        </w:rPr>
        <w:t>;5</w:t>
      </w:r>
      <w:proofErr w:type="gramEnd"/>
      <w:r w:rsidRPr="003E2FFC">
        <w:rPr>
          <w:rFonts w:ascii="Times New Roman" w:hAnsi="Times New Roman" w:cs="Times New Roman"/>
          <w:sz w:val="20"/>
        </w:rPr>
        <w:t xml:space="preserve">(8):e00326. </w:t>
      </w:r>
      <w:proofErr w:type="spellStart"/>
      <w:r w:rsidRPr="003E2FFC">
        <w:rPr>
          <w:rFonts w:ascii="Times New Roman" w:hAnsi="Times New Roman" w:cs="Times New Roman"/>
          <w:sz w:val="20"/>
        </w:rPr>
        <w:t>Doi</w:t>
      </w:r>
      <w:proofErr w:type="spellEnd"/>
      <w:r w:rsidRPr="003E2FFC">
        <w:rPr>
          <w:rFonts w:ascii="Times New Roman" w:hAnsi="Times New Roman" w:cs="Times New Roman"/>
          <w:sz w:val="20"/>
        </w:rPr>
        <w:t>: 10.1002/brb3.326</w:t>
      </w:r>
    </w:p>
    <w:p w:rsidR="00C72EF0" w:rsidRPr="003E2FFC" w:rsidRDefault="00C72EF0" w:rsidP="003E2FFC">
      <w:pPr>
        <w:pStyle w:val="ListParagraph"/>
        <w:numPr>
          <w:ilvl w:val="0"/>
          <w:numId w:val="2"/>
        </w:numPr>
        <w:spacing w:after="0" w:line="360" w:lineRule="auto"/>
        <w:jc w:val="both"/>
        <w:rPr>
          <w:rFonts w:ascii="Times New Roman" w:hAnsi="Times New Roman" w:cs="Times New Roman"/>
          <w:sz w:val="20"/>
        </w:rPr>
      </w:pPr>
      <w:proofErr w:type="spellStart"/>
      <w:r w:rsidRPr="003E2FFC">
        <w:rPr>
          <w:rFonts w:ascii="Times New Roman" w:hAnsi="Times New Roman" w:cs="Times New Roman"/>
          <w:sz w:val="20"/>
        </w:rPr>
        <w:t>Preziosi</w:t>
      </w:r>
      <w:proofErr w:type="spellEnd"/>
      <w:r w:rsidRPr="003E2FFC">
        <w:rPr>
          <w:rFonts w:ascii="Times New Roman" w:hAnsi="Times New Roman" w:cs="Times New Roman"/>
          <w:sz w:val="20"/>
        </w:rPr>
        <w:t xml:space="preserve"> P.  </w:t>
      </w:r>
      <w:proofErr w:type="gramStart"/>
      <w:r w:rsidRPr="003E2FFC">
        <w:rPr>
          <w:rFonts w:ascii="Times New Roman" w:hAnsi="Times New Roman" w:cs="Times New Roman"/>
          <w:sz w:val="20"/>
        </w:rPr>
        <w:t>et</w:t>
      </w:r>
      <w:proofErr w:type="gramEnd"/>
      <w:r w:rsidRPr="003E2FFC">
        <w:rPr>
          <w:rFonts w:ascii="Times New Roman" w:hAnsi="Times New Roman" w:cs="Times New Roman"/>
          <w:sz w:val="20"/>
        </w:rPr>
        <w:t xml:space="preserve"> al. Isoniazid: metabolic aspects and toxicological correlates. </w:t>
      </w:r>
      <w:proofErr w:type="spellStart"/>
      <w:r w:rsidRPr="003E2FFC">
        <w:rPr>
          <w:rFonts w:ascii="Times New Roman" w:hAnsi="Times New Roman" w:cs="Times New Roman"/>
          <w:sz w:val="20"/>
        </w:rPr>
        <w:t>Curr</w:t>
      </w:r>
      <w:proofErr w:type="spellEnd"/>
      <w:r w:rsidRPr="003E2FFC">
        <w:rPr>
          <w:rFonts w:ascii="Times New Roman" w:hAnsi="Times New Roman" w:cs="Times New Roman"/>
          <w:sz w:val="20"/>
        </w:rPr>
        <w:t xml:space="preserve">. Drug </w:t>
      </w:r>
      <w:proofErr w:type="spellStart"/>
      <w:r w:rsidRPr="003E2FFC">
        <w:rPr>
          <w:rFonts w:ascii="Times New Roman" w:hAnsi="Times New Roman" w:cs="Times New Roman"/>
          <w:sz w:val="20"/>
        </w:rPr>
        <w:t>Metab</w:t>
      </w:r>
      <w:proofErr w:type="spellEnd"/>
      <w:r w:rsidRPr="003E2FFC">
        <w:rPr>
          <w:rFonts w:ascii="Times New Roman" w:hAnsi="Times New Roman" w:cs="Times New Roman"/>
          <w:sz w:val="20"/>
        </w:rPr>
        <w:t>. 2007</w:t>
      </w:r>
      <w:proofErr w:type="gramStart"/>
      <w:r w:rsidRPr="003E2FFC">
        <w:rPr>
          <w:rFonts w:ascii="Times New Roman" w:hAnsi="Times New Roman" w:cs="Times New Roman"/>
          <w:sz w:val="20"/>
        </w:rPr>
        <w:t>;8:839</w:t>
      </w:r>
      <w:proofErr w:type="gramEnd"/>
      <w:r w:rsidRPr="003E2FFC">
        <w:rPr>
          <w:rFonts w:ascii="Times New Roman" w:hAnsi="Times New Roman" w:cs="Times New Roman"/>
          <w:sz w:val="20"/>
        </w:rPr>
        <w:t>-851.</w:t>
      </w:r>
    </w:p>
    <w:p w:rsidR="00C72EF0" w:rsidRPr="003E2FFC" w:rsidRDefault="00C72EF0" w:rsidP="003E2FFC">
      <w:pPr>
        <w:pStyle w:val="ListParagraph"/>
        <w:numPr>
          <w:ilvl w:val="0"/>
          <w:numId w:val="2"/>
        </w:numPr>
        <w:spacing w:after="0" w:line="360" w:lineRule="auto"/>
        <w:jc w:val="both"/>
        <w:rPr>
          <w:rFonts w:ascii="Times New Roman" w:hAnsi="Times New Roman" w:cs="Times New Roman"/>
          <w:sz w:val="20"/>
        </w:rPr>
      </w:pPr>
      <w:r w:rsidRPr="003E2FFC">
        <w:rPr>
          <w:rFonts w:ascii="Times New Roman" w:hAnsi="Times New Roman" w:cs="Times New Roman"/>
          <w:sz w:val="20"/>
        </w:rPr>
        <w:t xml:space="preserve">Wang PY et al NAT2 polymorphisms and susceptibility to anti-tuberculosis drug-induced liver injury: a meta-analysis. Int. J. </w:t>
      </w:r>
      <w:proofErr w:type="spellStart"/>
      <w:r w:rsidRPr="003E2FFC">
        <w:rPr>
          <w:rFonts w:ascii="Times New Roman" w:hAnsi="Times New Roman" w:cs="Times New Roman"/>
          <w:sz w:val="20"/>
        </w:rPr>
        <w:t>Tuberc</w:t>
      </w:r>
      <w:proofErr w:type="spellEnd"/>
      <w:r w:rsidRPr="003E2FFC">
        <w:rPr>
          <w:rFonts w:ascii="Times New Roman" w:hAnsi="Times New Roman" w:cs="Times New Roman"/>
          <w:sz w:val="20"/>
        </w:rPr>
        <w:t>. Lung Dis.2012</w:t>
      </w:r>
      <w:proofErr w:type="gramStart"/>
      <w:r w:rsidRPr="003E2FFC">
        <w:rPr>
          <w:rFonts w:ascii="Times New Roman" w:hAnsi="Times New Roman" w:cs="Times New Roman"/>
          <w:sz w:val="20"/>
        </w:rPr>
        <w:t>;16:589</w:t>
      </w:r>
      <w:proofErr w:type="gramEnd"/>
      <w:r w:rsidRPr="003E2FFC">
        <w:rPr>
          <w:rFonts w:ascii="Times New Roman" w:hAnsi="Times New Roman" w:cs="Times New Roman"/>
          <w:sz w:val="20"/>
        </w:rPr>
        <w:t>-595.</w:t>
      </w:r>
    </w:p>
    <w:p w:rsidR="005D4968" w:rsidRPr="003E2FFC" w:rsidRDefault="005D4968" w:rsidP="003E2FFC">
      <w:pPr>
        <w:pStyle w:val="ListParagraph"/>
        <w:numPr>
          <w:ilvl w:val="0"/>
          <w:numId w:val="2"/>
        </w:numPr>
        <w:spacing w:after="0" w:line="360" w:lineRule="auto"/>
        <w:jc w:val="both"/>
        <w:rPr>
          <w:rFonts w:ascii="Times New Roman" w:hAnsi="Times New Roman" w:cs="Times New Roman"/>
          <w:sz w:val="20"/>
        </w:rPr>
      </w:pPr>
      <w:r w:rsidRPr="003E2FFC">
        <w:rPr>
          <w:rFonts w:ascii="Times New Roman" w:hAnsi="Times New Roman" w:cs="Times New Roman"/>
          <w:sz w:val="20"/>
        </w:rPr>
        <w:t xml:space="preserve">S </w:t>
      </w:r>
      <w:proofErr w:type="spellStart"/>
      <w:r w:rsidRPr="003E2FFC">
        <w:rPr>
          <w:rFonts w:ascii="Times New Roman" w:hAnsi="Times New Roman" w:cs="Times New Roman"/>
          <w:sz w:val="20"/>
        </w:rPr>
        <w:t>Devdatta</w:t>
      </w:r>
      <w:proofErr w:type="spellEnd"/>
      <w:r w:rsidRPr="003E2FFC">
        <w:rPr>
          <w:rFonts w:ascii="Times New Roman" w:hAnsi="Times New Roman" w:cs="Times New Roman"/>
          <w:sz w:val="20"/>
        </w:rPr>
        <w:t xml:space="preserve"> et al. Peripheral neuritis due to Isoniazid. Bulletin of the WHO Feb 1990;23(4-5):587-98</w:t>
      </w:r>
    </w:p>
    <w:p w:rsidR="00E044D7" w:rsidRPr="003E2FFC" w:rsidRDefault="00E044D7" w:rsidP="003E2FFC">
      <w:pPr>
        <w:spacing w:after="0" w:line="360" w:lineRule="auto"/>
        <w:jc w:val="both"/>
        <w:rPr>
          <w:rFonts w:ascii="Times New Roman" w:hAnsi="Times New Roman" w:cs="Times New Roman"/>
          <w:b/>
          <w:sz w:val="20"/>
        </w:rPr>
      </w:pPr>
    </w:p>
    <w:p w:rsidR="00E044D7" w:rsidRPr="003E2FFC" w:rsidRDefault="00E044D7" w:rsidP="003E2FFC">
      <w:pPr>
        <w:spacing w:after="0" w:line="360" w:lineRule="auto"/>
        <w:jc w:val="both"/>
        <w:rPr>
          <w:rFonts w:ascii="Times New Roman" w:hAnsi="Times New Roman" w:cs="Times New Roman"/>
          <w:b/>
          <w:sz w:val="20"/>
        </w:rPr>
      </w:pPr>
    </w:p>
    <w:p w:rsidR="00BA3ABD" w:rsidRPr="003E2FFC" w:rsidRDefault="00BA3ABD" w:rsidP="003E2FFC">
      <w:pPr>
        <w:spacing w:after="0" w:line="360" w:lineRule="auto"/>
        <w:jc w:val="both"/>
        <w:rPr>
          <w:rFonts w:ascii="Times New Roman" w:hAnsi="Times New Roman" w:cs="Times New Roman"/>
          <w:sz w:val="20"/>
        </w:rPr>
      </w:pPr>
    </w:p>
    <w:p w:rsidR="00BA3ABD" w:rsidRPr="003E2FFC" w:rsidRDefault="00BA3ABD" w:rsidP="003E2FFC">
      <w:pPr>
        <w:spacing w:after="0" w:line="360" w:lineRule="auto"/>
        <w:jc w:val="both"/>
        <w:rPr>
          <w:rFonts w:ascii="Times New Roman" w:hAnsi="Times New Roman" w:cs="Times New Roman"/>
          <w:sz w:val="20"/>
        </w:rPr>
      </w:pPr>
    </w:p>
    <w:p w:rsidR="00BA3ABD" w:rsidRPr="003E2FFC" w:rsidRDefault="00BA3ABD" w:rsidP="003E2FFC">
      <w:pPr>
        <w:spacing w:after="0" w:line="360" w:lineRule="auto"/>
        <w:jc w:val="both"/>
        <w:rPr>
          <w:rFonts w:ascii="Times New Roman" w:hAnsi="Times New Roman" w:cs="Times New Roman"/>
          <w:sz w:val="20"/>
        </w:rPr>
      </w:pPr>
    </w:p>
    <w:p w:rsidR="00BA3ABD" w:rsidRPr="003E2FFC" w:rsidRDefault="00BA3ABD" w:rsidP="003E2FFC">
      <w:pPr>
        <w:spacing w:after="0" w:line="360" w:lineRule="auto"/>
        <w:jc w:val="both"/>
        <w:rPr>
          <w:rFonts w:ascii="Times New Roman" w:hAnsi="Times New Roman" w:cs="Times New Roman"/>
          <w:sz w:val="20"/>
        </w:rPr>
      </w:pPr>
    </w:p>
    <w:p w:rsidR="00BA3ABD" w:rsidRPr="003E2FFC" w:rsidRDefault="00BA3ABD" w:rsidP="003E2FFC">
      <w:pPr>
        <w:spacing w:after="0" w:line="360" w:lineRule="auto"/>
        <w:jc w:val="both"/>
        <w:rPr>
          <w:rFonts w:ascii="Times New Roman" w:hAnsi="Times New Roman" w:cs="Times New Roman"/>
          <w:sz w:val="20"/>
        </w:rPr>
      </w:pPr>
    </w:p>
    <w:p w:rsidR="00DC36EA" w:rsidRPr="003E2FFC" w:rsidRDefault="00DC36EA" w:rsidP="003E2FFC">
      <w:pPr>
        <w:spacing w:after="0" w:line="360" w:lineRule="auto"/>
        <w:jc w:val="both"/>
        <w:rPr>
          <w:rFonts w:ascii="Times New Roman" w:hAnsi="Times New Roman" w:cs="Times New Roman"/>
          <w:sz w:val="20"/>
        </w:rPr>
      </w:pPr>
    </w:p>
    <w:sectPr w:rsidR="00DC36EA" w:rsidRPr="003E2FFC" w:rsidSect="003E2FFC">
      <w:headerReference w:type="default" r:id="rId16"/>
      <w:footerReference w:type="default" r:id="rId17"/>
      <w:pgSz w:w="12240" w:h="15840"/>
      <w:pgMar w:top="1440" w:right="1440" w:bottom="1440" w:left="1440" w:header="720" w:footer="720" w:gutter="0"/>
      <w:pgNumType w:start="8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DC5" w:rsidRDefault="00F74DC5" w:rsidP="00722B5A">
      <w:pPr>
        <w:spacing w:after="0" w:line="240" w:lineRule="auto"/>
      </w:pPr>
      <w:r>
        <w:separator/>
      </w:r>
    </w:p>
  </w:endnote>
  <w:endnote w:type="continuationSeparator" w:id="0">
    <w:p w:rsidR="00F74DC5" w:rsidRDefault="00F74DC5" w:rsidP="0072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3E2FFC">
      <w:trPr>
        <w:trHeight w:val="360"/>
      </w:trPr>
      <w:tc>
        <w:tcPr>
          <w:tcW w:w="3500" w:type="pct"/>
        </w:tcPr>
        <w:p w:rsidR="003E2FFC" w:rsidRDefault="003E2FFC">
          <w:pPr>
            <w:pStyle w:val="Footer"/>
            <w:jc w:val="right"/>
          </w:pPr>
          <w:r w:rsidRPr="003E2FFC">
            <w:rPr>
              <w:rFonts w:ascii="Calibri" w:eastAsia="Calibri" w:hAnsi="Calibri" w:cs="Times New Roman"/>
              <w:szCs w:val="22"/>
              <w:lang w:bidi="ar-SA"/>
            </w:rPr>
            <w:t>www.ijbamr.com   P ISSN: 2250-284X, E ISSN: 2250-2858</w:t>
          </w:r>
        </w:p>
      </w:tc>
      <w:tc>
        <w:tcPr>
          <w:tcW w:w="1500" w:type="pct"/>
          <w:shd w:val="clear" w:color="auto" w:fill="8064A2" w:themeFill="accent4"/>
        </w:tcPr>
        <w:p w:rsidR="003E2FFC" w:rsidRDefault="003E2FFC">
          <w:pPr>
            <w:pStyle w:val="Footer"/>
            <w:jc w:val="right"/>
            <w:rPr>
              <w:color w:val="FFFFFF" w:themeColor="background1"/>
            </w:rPr>
          </w:pPr>
          <w:r>
            <w:fldChar w:fldCharType="begin"/>
          </w:r>
          <w:r>
            <w:instrText xml:space="preserve"> PAGE    \* MERGEFORMAT </w:instrText>
          </w:r>
          <w:r>
            <w:fldChar w:fldCharType="separate"/>
          </w:r>
          <w:r w:rsidRPr="003E2FFC">
            <w:rPr>
              <w:noProof/>
              <w:color w:val="FFFFFF" w:themeColor="background1"/>
            </w:rPr>
            <w:t>90</w:t>
          </w:r>
          <w:r>
            <w:rPr>
              <w:noProof/>
              <w:color w:val="FFFFFF" w:themeColor="background1"/>
            </w:rPr>
            <w:fldChar w:fldCharType="end"/>
          </w:r>
        </w:p>
      </w:tc>
    </w:tr>
  </w:tbl>
  <w:p w:rsidR="00722B5A" w:rsidRDefault="00722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DC5" w:rsidRDefault="00F74DC5" w:rsidP="00722B5A">
      <w:pPr>
        <w:spacing w:after="0" w:line="240" w:lineRule="auto"/>
      </w:pPr>
      <w:r>
        <w:separator/>
      </w:r>
    </w:p>
  </w:footnote>
  <w:footnote w:type="continuationSeparator" w:id="0">
    <w:p w:rsidR="00F74DC5" w:rsidRDefault="00F74DC5" w:rsidP="00722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FC" w:rsidRPr="009F6E14" w:rsidRDefault="003E2FFC" w:rsidP="003E2FFC">
    <w:pPr>
      <w:tabs>
        <w:tab w:val="left" w:pos="496"/>
        <w:tab w:val="center" w:pos="4680"/>
        <w:tab w:val="right" w:pos="9360"/>
      </w:tabs>
      <w:spacing w:after="0" w:line="240" w:lineRule="auto"/>
      <w:ind w:right="-567"/>
      <w:rPr>
        <w:rFonts w:ascii="Cambria" w:eastAsia="Cambria" w:hAnsi="Cambria"/>
      </w:rPr>
    </w:pPr>
    <w:r w:rsidRPr="009F6E14">
      <w:rPr>
        <w:rFonts w:ascii="Cambria" w:eastAsia="Cambria" w:hAnsi="Cambria"/>
      </w:rPr>
      <w:t>Indian Journal of Basic and Applied Medical Research; September 2021:</w:t>
    </w:r>
    <w:r>
      <w:rPr>
        <w:rFonts w:ascii="Cambria" w:eastAsia="Cambria" w:hAnsi="Cambria"/>
      </w:rPr>
      <w:t xml:space="preserve"> Vol.-10, Issue- 4, P. </w:t>
    </w:r>
    <w:r>
      <w:rPr>
        <w:rFonts w:ascii="Cambria" w:eastAsia="Cambria" w:hAnsi="Cambria"/>
      </w:rPr>
      <w:t>82 -90</w:t>
    </w:r>
  </w:p>
  <w:p w:rsidR="003E2FFC" w:rsidRPr="009F6E14" w:rsidRDefault="003E2FFC" w:rsidP="003E2FFC">
    <w:pPr>
      <w:tabs>
        <w:tab w:val="left" w:pos="496"/>
        <w:tab w:val="center" w:pos="4680"/>
        <w:tab w:val="right" w:pos="9360"/>
      </w:tabs>
      <w:spacing w:after="0" w:line="240" w:lineRule="auto"/>
      <w:ind w:right="-567"/>
      <w:rPr>
        <w:rFonts w:ascii="Cambria" w:eastAsia="Calibri" w:hAnsi="Cambria"/>
      </w:rPr>
    </w:pPr>
    <w:r w:rsidRPr="009F6E14">
      <w:rPr>
        <w:rFonts w:ascii="Cambria" w:eastAsia="Calibri" w:hAnsi="Cambria" w:cs="Calibri Light"/>
        <w:bCs/>
        <w:shd w:val="clear" w:color="auto" w:fill="FFFFFF"/>
      </w:rPr>
      <w:t xml:space="preserve">DOI: </w:t>
    </w:r>
    <w:r>
      <w:rPr>
        <w:rFonts w:ascii="Cambria" w:eastAsia="Calibri" w:hAnsi="Cambria" w:cs="Calibri Light"/>
        <w:bCs/>
        <w:shd w:val="clear" w:color="auto" w:fill="FFFFFF"/>
      </w:rPr>
      <w:t>10.36848/IJBAMR/2020/29215.55625</w:t>
    </w:r>
  </w:p>
  <w:p w:rsidR="003E2FFC" w:rsidRDefault="003E2F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37D21"/>
    <w:multiLevelType w:val="hybridMultilevel"/>
    <w:tmpl w:val="58C03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472B0A"/>
    <w:multiLevelType w:val="hybridMultilevel"/>
    <w:tmpl w:val="32EAB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D8E"/>
    <w:rsid w:val="00003BD8"/>
    <w:rsid w:val="00006AA0"/>
    <w:rsid w:val="00035838"/>
    <w:rsid w:val="00037C00"/>
    <w:rsid w:val="000528E3"/>
    <w:rsid w:val="000613EE"/>
    <w:rsid w:val="000678F4"/>
    <w:rsid w:val="00077B40"/>
    <w:rsid w:val="000935A9"/>
    <w:rsid w:val="000A3677"/>
    <w:rsid w:val="000C3D4A"/>
    <w:rsid w:val="000C4996"/>
    <w:rsid w:val="000D51BF"/>
    <w:rsid w:val="00106E6D"/>
    <w:rsid w:val="0011783F"/>
    <w:rsid w:val="00120AD9"/>
    <w:rsid w:val="00123429"/>
    <w:rsid w:val="001408BF"/>
    <w:rsid w:val="00145E7D"/>
    <w:rsid w:val="00157D37"/>
    <w:rsid w:val="00164D78"/>
    <w:rsid w:val="00165736"/>
    <w:rsid w:val="001660F8"/>
    <w:rsid w:val="001826FB"/>
    <w:rsid w:val="001832B9"/>
    <w:rsid w:val="001B0D8A"/>
    <w:rsid w:val="001C0F9D"/>
    <w:rsid w:val="001C1FDB"/>
    <w:rsid w:val="001D59E7"/>
    <w:rsid w:val="001D64B0"/>
    <w:rsid w:val="001E2A17"/>
    <w:rsid w:val="001E3767"/>
    <w:rsid w:val="001E5B0B"/>
    <w:rsid w:val="001E673E"/>
    <w:rsid w:val="00200C42"/>
    <w:rsid w:val="00230804"/>
    <w:rsid w:val="00254705"/>
    <w:rsid w:val="00267A45"/>
    <w:rsid w:val="00285AA9"/>
    <w:rsid w:val="002946EC"/>
    <w:rsid w:val="00296AE9"/>
    <w:rsid w:val="00297448"/>
    <w:rsid w:val="002A4C93"/>
    <w:rsid w:val="00301011"/>
    <w:rsid w:val="00310D89"/>
    <w:rsid w:val="00315C5D"/>
    <w:rsid w:val="00326E17"/>
    <w:rsid w:val="00333174"/>
    <w:rsid w:val="0034656B"/>
    <w:rsid w:val="00351D0E"/>
    <w:rsid w:val="0037106C"/>
    <w:rsid w:val="00394552"/>
    <w:rsid w:val="00397ED9"/>
    <w:rsid w:val="003A6809"/>
    <w:rsid w:val="003C31D9"/>
    <w:rsid w:val="003D14FF"/>
    <w:rsid w:val="003E2FFC"/>
    <w:rsid w:val="003F1529"/>
    <w:rsid w:val="0041165A"/>
    <w:rsid w:val="00411C61"/>
    <w:rsid w:val="00420E19"/>
    <w:rsid w:val="00476D8E"/>
    <w:rsid w:val="00497B06"/>
    <w:rsid w:val="004A4B44"/>
    <w:rsid w:val="004B420E"/>
    <w:rsid w:val="004C4A2B"/>
    <w:rsid w:val="004D7C01"/>
    <w:rsid w:val="00550355"/>
    <w:rsid w:val="00585FD9"/>
    <w:rsid w:val="005C2988"/>
    <w:rsid w:val="005C65A1"/>
    <w:rsid w:val="005D4968"/>
    <w:rsid w:val="005D5D67"/>
    <w:rsid w:val="0060489F"/>
    <w:rsid w:val="006604E3"/>
    <w:rsid w:val="00672C02"/>
    <w:rsid w:val="0068464A"/>
    <w:rsid w:val="006A5002"/>
    <w:rsid w:val="006B4E3B"/>
    <w:rsid w:val="006C2D52"/>
    <w:rsid w:val="006D1331"/>
    <w:rsid w:val="006D3E19"/>
    <w:rsid w:val="006E5243"/>
    <w:rsid w:val="006F7DCB"/>
    <w:rsid w:val="00715481"/>
    <w:rsid w:val="00722B5A"/>
    <w:rsid w:val="00731482"/>
    <w:rsid w:val="00734428"/>
    <w:rsid w:val="0075137A"/>
    <w:rsid w:val="00767F8F"/>
    <w:rsid w:val="007E709B"/>
    <w:rsid w:val="00813DDE"/>
    <w:rsid w:val="0083597C"/>
    <w:rsid w:val="00873396"/>
    <w:rsid w:val="00883BAE"/>
    <w:rsid w:val="0089293A"/>
    <w:rsid w:val="008C07D7"/>
    <w:rsid w:val="008C0802"/>
    <w:rsid w:val="008C16D3"/>
    <w:rsid w:val="008C3C55"/>
    <w:rsid w:val="008D284A"/>
    <w:rsid w:val="008E66C4"/>
    <w:rsid w:val="00960B40"/>
    <w:rsid w:val="00973DFB"/>
    <w:rsid w:val="00974BDD"/>
    <w:rsid w:val="009A3084"/>
    <w:rsid w:val="009C55B8"/>
    <w:rsid w:val="009F092F"/>
    <w:rsid w:val="009F093D"/>
    <w:rsid w:val="009F5011"/>
    <w:rsid w:val="00A23D03"/>
    <w:rsid w:val="00A34070"/>
    <w:rsid w:val="00A430CC"/>
    <w:rsid w:val="00A556A6"/>
    <w:rsid w:val="00A96508"/>
    <w:rsid w:val="00A97058"/>
    <w:rsid w:val="00AB319E"/>
    <w:rsid w:val="00AC3E90"/>
    <w:rsid w:val="00AD04E5"/>
    <w:rsid w:val="00AE63AC"/>
    <w:rsid w:val="00AF36B9"/>
    <w:rsid w:val="00B05DB8"/>
    <w:rsid w:val="00B06396"/>
    <w:rsid w:val="00B150CE"/>
    <w:rsid w:val="00B15711"/>
    <w:rsid w:val="00B87234"/>
    <w:rsid w:val="00BA3ABD"/>
    <w:rsid w:val="00BB1CD0"/>
    <w:rsid w:val="00BC189B"/>
    <w:rsid w:val="00BE365C"/>
    <w:rsid w:val="00BE603E"/>
    <w:rsid w:val="00BF3597"/>
    <w:rsid w:val="00C2620C"/>
    <w:rsid w:val="00C3002C"/>
    <w:rsid w:val="00C315DE"/>
    <w:rsid w:val="00C41EF7"/>
    <w:rsid w:val="00C46423"/>
    <w:rsid w:val="00C62B11"/>
    <w:rsid w:val="00C72EF0"/>
    <w:rsid w:val="00CA0650"/>
    <w:rsid w:val="00CC11FB"/>
    <w:rsid w:val="00CC17A0"/>
    <w:rsid w:val="00D02C38"/>
    <w:rsid w:val="00D17A4A"/>
    <w:rsid w:val="00D20CA8"/>
    <w:rsid w:val="00D31507"/>
    <w:rsid w:val="00D43BB7"/>
    <w:rsid w:val="00D50346"/>
    <w:rsid w:val="00D61D63"/>
    <w:rsid w:val="00D64757"/>
    <w:rsid w:val="00D65BEA"/>
    <w:rsid w:val="00D67410"/>
    <w:rsid w:val="00DC29BA"/>
    <w:rsid w:val="00DC36EA"/>
    <w:rsid w:val="00DC604C"/>
    <w:rsid w:val="00DF189B"/>
    <w:rsid w:val="00E00D59"/>
    <w:rsid w:val="00E044D7"/>
    <w:rsid w:val="00E236FE"/>
    <w:rsid w:val="00E5442A"/>
    <w:rsid w:val="00E61235"/>
    <w:rsid w:val="00EA1E84"/>
    <w:rsid w:val="00EF033B"/>
    <w:rsid w:val="00F12F09"/>
    <w:rsid w:val="00F15F48"/>
    <w:rsid w:val="00F2016F"/>
    <w:rsid w:val="00F30A64"/>
    <w:rsid w:val="00F41E5A"/>
    <w:rsid w:val="00F420E1"/>
    <w:rsid w:val="00F5048F"/>
    <w:rsid w:val="00F57E0F"/>
    <w:rsid w:val="00F6798A"/>
    <w:rsid w:val="00F70298"/>
    <w:rsid w:val="00F74DC5"/>
    <w:rsid w:val="00FB5E13"/>
    <w:rsid w:val="00FC1D9D"/>
    <w:rsid w:val="00FC5FB7"/>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B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4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BDD"/>
    <w:rPr>
      <w:rFonts w:ascii="Tahoma" w:hAnsi="Tahoma" w:cs="Tahoma"/>
      <w:sz w:val="16"/>
      <w:szCs w:val="16"/>
    </w:rPr>
  </w:style>
  <w:style w:type="paragraph" w:styleId="ListParagraph">
    <w:name w:val="List Paragraph"/>
    <w:basedOn w:val="Normal"/>
    <w:uiPriority w:val="34"/>
    <w:qFormat/>
    <w:rsid w:val="00DC36EA"/>
    <w:pPr>
      <w:ind w:left="720"/>
      <w:contextualSpacing/>
    </w:pPr>
  </w:style>
  <w:style w:type="paragraph" w:customStyle="1" w:styleId="Default">
    <w:name w:val="Default"/>
    <w:rsid w:val="00035838"/>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3">
    <w:name w:val="A3"/>
    <w:uiPriority w:val="99"/>
    <w:rsid w:val="00035838"/>
    <w:rPr>
      <w:rFonts w:cs="Palatino Linotype"/>
      <w:color w:val="000000"/>
      <w:sz w:val="10"/>
      <w:szCs w:val="10"/>
    </w:rPr>
  </w:style>
  <w:style w:type="character" w:styleId="Hyperlink">
    <w:name w:val="Hyperlink"/>
    <w:basedOn w:val="DefaultParagraphFont"/>
    <w:uiPriority w:val="99"/>
    <w:unhideWhenUsed/>
    <w:rsid w:val="00C3002C"/>
    <w:rPr>
      <w:color w:val="0000FF" w:themeColor="hyperlink"/>
      <w:u w:val="single"/>
    </w:rPr>
  </w:style>
  <w:style w:type="paragraph" w:styleId="Header">
    <w:name w:val="header"/>
    <w:basedOn w:val="Normal"/>
    <w:link w:val="HeaderChar"/>
    <w:uiPriority w:val="99"/>
    <w:unhideWhenUsed/>
    <w:rsid w:val="00722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B5A"/>
  </w:style>
  <w:style w:type="paragraph" w:styleId="Footer">
    <w:name w:val="footer"/>
    <w:basedOn w:val="Normal"/>
    <w:link w:val="FooterChar"/>
    <w:uiPriority w:val="99"/>
    <w:unhideWhenUsed/>
    <w:rsid w:val="00722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B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B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4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BDD"/>
    <w:rPr>
      <w:rFonts w:ascii="Tahoma" w:hAnsi="Tahoma" w:cs="Tahoma"/>
      <w:sz w:val="16"/>
      <w:szCs w:val="16"/>
    </w:rPr>
  </w:style>
  <w:style w:type="paragraph" w:styleId="ListParagraph">
    <w:name w:val="List Paragraph"/>
    <w:basedOn w:val="Normal"/>
    <w:uiPriority w:val="34"/>
    <w:qFormat/>
    <w:rsid w:val="00DC36EA"/>
    <w:pPr>
      <w:ind w:left="720"/>
      <w:contextualSpacing/>
    </w:pPr>
  </w:style>
  <w:style w:type="paragraph" w:customStyle="1" w:styleId="Default">
    <w:name w:val="Default"/>
    <w:rsid w:val="00035838"/>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3">
    <w:name w:val="A3"/>
    <w:uiPriority w:val="99"/>
    <w:rsid w:val="00035838"/>
    <w:rPr>
      <w:rFonts w:cs="Palatino Linotype"/>
      <w:color w:val="000000"/>
      <w:sz w:val="10"/>
      <w:szCs w:val="10"/>
    </w:rPr>
  </w:style>
  <w:style w:type="character" w:styleId="Hyperlink">
    <w:name w:val="Hyperlink"/>
    <w:basedOn w:val="DefaultParagraphFont"/>
    <w:uiPriority w:val="99"/>
    <w:unhideWhenUsed/>
    <w:rsid w:val="00C3002C"/>
    <w:rPr>
      <w:color w:val="0000FF" w:themeColor="hyperlink"/>
      <w:u w:val="single"/>
    </w:rPr>
  </w:style>
  <w:style w:type="paragraph" w:styleId="Header">
    <w:name w:val="header"/>
    <w:basedOn w:val="Normal"/>
    <w:link w:val="HeaderChar"/>
    <w:uiPriority w:val="99"/>
    <w:unhideWhenUsed/>
    <w:rsid w:val="00722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B5A"/>
  </w:style>
  <w:style w:type="paragraph" w:styleId="Footer">
    <w:name w:val="footer"/>
    <w:basedOn w:val="Normal"/>
    <w:link w:val="FooterChar"/>
    <w:uiPriority w:val="99"/>
    <w:unhideWhenUsed/>
    <w:rsid w:val="00722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s://doi.org/10.1164/rccm.2108091" TargetMode="Externa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dx.doi.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Age Distribution</a:t>
            </a:r>
          </a:p>
        </c:rich>
      </c:tx>
      <c:overlay val="0"/>
    </c:title>
    <c:autoTitleDeleted val="0"/>
    <c:plotArea>
      <c:layout>
        <c:manualLayout>
          <c:layoutTarget val="inner"/>
          <c:xMode val="edge"/>
          <c:yMode val="edge"/>
          <c:x val="7.0407006415864684E-2"/>
          <c:y val="0.16697444069491393"/>
          <c:w val="0.92959299358413561"/>
          <c:h val="0.67635545556806076"/>
        </c:manualLayout>
      </c:layout>
      <c:barChart>
        <c:barDir val="col"/>
        <c:grouping val="clustered"/>
        <c:varyColors val="0"/>
        <c:ser>
          <c:idx val="0"/>
          <c:order val="0"/>
          <c:tx>
            <c:strRef>
              <c:f>Sheet1!$B$1</c:f>
              <c:strCache>
                <c:ptCount val="1"/>
                <c:pt idx="0">
                  <c:v>Series 1</c:v>
                </c:pt>
              </c:strCache>
            </c:strRef>
          </c:tx>
          <c:invertIfNegative val="0"/>
          <c:dLbls>
            <c:showLegendKey val="0"/>
            <c:showVal val="1"/>
            <c:showCatName val="0"/>
            <c:showSerName val="0"/>
            <c:showPercent val="0"/>
            <c:showBubbleSize val="0"/>
            <c:showLeaderLines val="0"/>
          </c:dLbls>
          <c:cat>
            <c:strRef>
              <c:f>Sheet1!$A$2:$A$7</c:f>
              <c:strCache>
                <c:ptCount val="6"/>
                <c:pt idx="0">
                  <c:v>11 – 20</c:v>
                </c:pt>
                <c:pt idx="1">
                  <c:v>21 – 30</c:v>
                </c:pt>
                <c:pt idx="2">
                  <c:v>31 – 40</c:v>
                </c:pt>
                <c:pt idx="3">
                  <c:v>41 – 50</c:v>
                </c:pt>
                <c:pt idx="4">
                  <c:v>51 – 60</c:v>
                </c:pt>
                <c:pt idx="5">
                  <c:v>&gt;60</c:v>
                </c:pt>
              </c:strCache>
            </c:strRef>
          </c:cat>
          <c:val>
            <c:numRef>
              <c:f>Sheet1!$B$2:$B$7</c:f>
              <c:numCache>
                <c:formatCode>General</c:formatCode>
                <c:ptCount val="6"/>
                <c:pt idx="0">
                  <c:v>13.5</c:v>
                </c:pt>
                <c:pt idx="1">
                  <c:v>37.1</c:v>
                </c:pt>
                <c:pt idx="2">
                  <c:v>24.7</c:v>
                </c:pt>
                <c:pt idx="3">
                  <c:v>7.9</c:v>
                </c:pt>
                <c:pt idx="4">
                  <c:v>11.2</c:v>
                </c:pt>
                <c:pt idx="5">
                  <c:v>5.6</c:v>
                </c:pt>
              </c:numCache>
            </c:numRef>
          </c:val>
        </c:ser>
        <c:dLbls>
          <c:showLegendKey val="0"/>
          <c:showVal val="0"/>
          <c:showCatName val="0"/>
          <c:showSerName val="0"/>
          <c:showPercent val="0"/>
          <c:showBubbleSize val="0"/>
        </c:dLbls>
        <c:gapWidth val="150"/>
        <c:axId val="167693696"/>
        <c:axId val="309975296"/>
      </c:barChart>
      <c:catAx>
        <c:axId val="167693696"/>
        <c:scaling>
          <c:orientation val="minMax"/>
        </c:scaling>
        <c:delete val="0"/>
        <c:axPos val="b"/>
        <c:title>
          <c:tx>
            <c:rich>
              <a:bodyPr/>
              <a:lstStyle/>
              <a:p>
                <a:pPr>
                  <a:defRPr/>
                </a:pPr>
                <a:r>
                  <a:rPr lang="en-US"/>
                  <a:t>Age Group (years)</a:t>
                </a:r>
              </a:p>
            </c:rich>
          </c:tx>
          <c:layout>
            <c:manualLayout>
              <c:xMode val="edge"/>
              <c:yMode val="edge"/>
              <c:x val="0.44090901137357935"/>
              <c:y val="0.92775778027746536"/>
            </c:manualLayout>
          </c:layout>
          <c:overlay val="0"/>
        </c:title>
        <c:majorTickMark val="out"/>
        <c:minorTickMark val="none"/>
        <c:tickLblPos val="nextTo"/>
        <c:crossAx val="309975296"/>
        <c:crosses val="autoZero"/>
        <c:auto val="1"/>
        <c:lblAlgn val="ctr"/>
        <c:lblOffset val="100"/>
        <c:noMultiLvlLbl val="0"/>
      </c:catAx>
      <c:valAx>
        <c:axId val="309975296"/>
        <c:scaling>
          <c:orientation val="minMax"/>
        </c:scaling>
        <c:delete val="0"/>
        <c:axPos val="l"/>
        <c:majorGridlines/>
        <c:title>
          <c:tx>
            <c:rich>
              <a:bodyPr rot="-5400000" vert="horz"/>
              <a:lstStyle/>
              <a:p>
                <a:pPr>
                  <a:defRPr/>
                </a:pPr>
                <a:r>
                  <a:rPr lang="en-US"/>
                  <a:t>% of cases</a:t>
                </a:r>
              </a:p>
            </c:rich>
          </c:tx>
          <c:overlay val="0"/>
        </c:title>
        <c:numFmt formatCode="General" sourceLinked="1"/>
        <c:majorTickMark val="out"/>
        <c:minorTickMark val="none"/>
        <c:tickLblPos val="nextTo"/>
        <c:crossAx val="16769369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Sex Distribution</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5462962962962982E-2"/>
          <c:y val="0.16656761654793262"/>
          <c:w val="0.84119331437736955"/>
          <c:h val="0.80565460567429537"/>
        </c:manualLayout>
      </c:layout>
      <c:pie3DChart>
        <c:varyColors val="1"/>
        <c:ser>
          <c:idx val="0"/>
          <c:order val="0"/>
          <c:tx>
            <c:strRef>
              <c:f>Sheet1!$B$1</c:f>
              <c:strCache>
                <c:ptCount val="1"/>
                <c:pt idx="0">
                  <c:v>Sales</c:v>
                </c:pt>
              </c:strCache>
            </c:strRef>
          </c:tx>
          <c:dLbls>
            <c:showLegendKey val="0"/>
            <c:showVal val="1"/>
            <c:showCatName val="0"/>
            <c:showSerName val="0"/>
            <c:showPercent val="0"/>
            <c:showBubbleSize val="0"/>
            <c:showLeaderLines val="1"/>
          </c:dLbls>
          <c:cat>
            <c:strRef>
              <c:f>Sheet1!$A$2:$A$3</c:f>
              <c:strCache>
                <c:ptCount val="2"/>
                <c:pt idx="0">
                  <c:v>Male</c:v>
                </c:pt>
                <c:pt idx="1">
                  <c:v>Female</c:v>
                </c:pt>
              </c:strCache>
            </c:strRef>
          </c:cat>
          <c:val>
            <c:numRef>
              <c:f>Sheet1!$B$2:$B$3</c:f>
              <c:numCache>
                <c:formatCode>General</c:formatCode>
                <c:ptCount val="2"/>
                <c:pt idx="0">
                  <c:v>48.3</c:v>
                </c:pt>
                <c:pt idx="1">
                  <c:v>51.7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Distribution of Symptoms</a:t>
            </a:r>
          </a:p>
        </c:rich>
      </c:tx>
      <c:overlay val="0"/>
    </c:title>
    <c:autoTitleDeleted val="0"/>
    <c:plotArea>
      <c:layout>
        <c:manualLayout>
          <c:layoutTarget val="inner"/>
          <c:xMode val="edge"/>
          <c:yMode val="edge"/>
          <c:x val="8.3740332458443756E-2"/>
          <c:y val="0.16697444069491321"/>
          <c:w val="0.91625966754155763"/>
          <c:h val="0.70413323334583577"/>
        </c:manualLayout>
      </c:layout>
      <c:barChart>
        <c:barDir val="col"/>
        <c:grouping val="clustered"/>
        <c:varyColors val="0"/>
        <c:ser>
          <c:idx val="0"/>
          <c:order val="0"/>
          <c:tx>
            <c:strRef>
              <c:f>Sheet1!$B$1</c:f>
              <c:strCache>
                <c:ptCount val="1"/>
                <c:pt idx="0">
                  <c:v>Series 1</c:v>
                </c:pt>
              </c:strCache>
            </c:strRef>
          </c:tx>
          <c:invertIfNegative val="0"/>
          <c:dLbls>
            <c:showLegendKey val="0"/>
            <c:showVal val="1"/>
            <c:showCatName val="0"/>
            <c:showSerName val="0"/>
            <c:showPercent val="0"/>
            <c:showBubbleSize val="0"/>
            <c:showLeaderLines val="0"/>
          </c:dLbls>
          <c:cat>
            <c:strRef>
              <c:f>Sheet1!$A$2:$A$6</c:f>
              <c:strCache>
                <c:ptCount val="5"/>
                <c:pt idx="0">
                  <c:v>Nil</c:v>
                </c:pt>
                <c:pt idx="1">
                  <c:v>Joint pain</c:v>
                </c:pt>
                <c:pt idx="2">
                  <c:v>Nausea, vomiting</c:v>
                </c:pt>
                <c:pt idx="3">
                  <c:v>Itching, Rash</c:v>
                </c:pt>
                <c:pt idx="4">
                  <c:v>Other</c:v>
                </c:pt>
              </c:strCache>
            </c:strRef>
          </c:cat>
          <c:val>
            <c:numRef>
              <c:f>Sheet1!$B$2:$B$6</c:f>
              <c:numCache>
                <c:formatCode>General</c:formatCode>
                <c:ptCount val="5"/>
                <c:pt idx="0">
                  <c:v>65.2</c:v>
                </c:pt>
                <c:pt idx="1">
                  <c:v>15.7</c:v>
                </c:pt>
                <c:pt idx="2">
                  <c:v>11.2</c:v>
                </c:pt>
                <c:pt idx="3">
                  <c:v>3.4</c:v>
                </c:pt>
                <c:pt idx="4">
                  <c:v>4.4000000000000004</c:v>
                </c:pt>
              </c:numCache>
            </c:numRef>
          </c:val>
        </c:ser>
        <c:dLbls>
          <c:showLegendKey val="0"/>
          <c:showVal val="0"/>
          <c:showCatName val="0"/>
          <c:showSerName val="0"/>
          <c:showPercent val="0"/>
          <c:showBubbleSize val="0"/>
        </c:dLbls>
        <c:gapWidth val="150"/>
        <c:axId val="41593472"/>
        <c:axId val="41599360"/>
      </c:barChart>
      <c:catAx>
        <c:axId val="41593472"/>
        <c:scaling>
          <c:orientation val="minMax"/>
        </c:scaling>
        <c:delete val="0"/>
        <c:axPos val="b"/>
        <c:majorTickMark val="out"/>
        <c:minorTickMark val="none"/>
        <c:tickLblPos val="nextTo"/>
        <c:crossAx val="41599360"/>
        <c:crosses val="autoZero"/>
        <c:auto val="1"/>
        <c:lblAlgn val="ctr"/>
        <c:lblOffset val="100"/>
        <c:noMultiLvlLbl val="0"/>
      </c:catAx>
      <c:valAx>
        <c:axId val="41599360"/>
        <c:scaling>
          <c:orientation val="minMax"/>
        </c:scaling>
        <c:delete val="0"/>
        <c:axPos val="l"/>
        <c:majorGridlines/>
        <c:title>
          <c:tx>
            <c:rich>
              <a:bodyPr rot="-5400000" vert="horz"/>
              <a:lstStyle/>
              <a:p>
                <a:pPr>
                  <a:defRPr/>
                </a:pPr>
                <a:r>
                  <a:rPr lang="en-US"/>
                  <a:t>% of cases</a:t>
                </a:r>
              </a:p>
            </c:rich>
          </c:tx>
          <c:overlay val="0"/>
        </c:title>
        <c:numFmt formatCode="General" sourceLinked="1"/>
        <c:majorTickMark val="out"/>
        <c:minorTickMark val="none"/>
        <c:tickLblPos val="nextTo"/>
        <c:crossAx val="4159347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IN"/>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Distribution of </a:t>
            </a:r>
            <a:r>
              <a:rPr lang="en-US" sz="1800" b="1" i="0" u="none" strike="noStrike" baseline="0"/>
              <a:t>Adverse Effects of ATT </a:t>
            </a:r>
            <a:endParaRPr lang="en-US"/>
          </a:p>
        </c:rich>
      </c:tx>
      <c:overlay val="0"/>
    </c:title>
    <c:autoTitleDeleted val="0"/>
    <c:plotArea>
      <c:layout>
        <c:manualLayout>
          <c:layoutTarget val="inner"/>
          <c:xMode val="edge"/>
          <c:yMode val="edge"/>
          <c:x val="8.3740332458443797E-2"/>
          <c:y val="0.16697444069491321"/>
          <c:w val="0.91625966754155763"/>
          <c:h val="0.49778402699662538"/>
        </c:manualLayout>
      </c:layout>
      <c:barChart>
        <c:barDir val="col"/>
        <c:grouping val="clustered"/>
        <c:varyColors val="0"/>
        <c:ser>
          <c:idx val="0"/>
          <c:order val="0"/>
          <c:tx>
            <c:strRef>
              <c:f>Sheet1!$B$1</c:f>
              <c:strCache>
                <c:ptCount val="1"/>
                <c:pt idx="0">
                  <c:v>Series 1</c:v>
                </c:pt>
              </c:strCache>
            </c:strRef>
          </c:tx>
          <c:invertIfNegative val="0"/>
          <c:dLbls>
            <c:showLegendKey val="0"/>
            <c:showVal val="1"/>
            <c:showCatName val="0"/>
            <c:showSerName val="0"/>
            <c:showPercent val="0"/>
            <c:showBubbleSize val="0"/>
            <c:showLeaderLines val="0"/>
          </c:dLbls>
          <c:cat>
            <c:strRef>
              <c:f>Sheet1!$A$2:$A$10</c:f>
              <c:strCache>
                <c:ptCount val="9"/>
                <c:pt idx="0">
                  <c:v>Nil</c:v>
                </c:pt>
                <c:pt idx="1">
                  <c:v>Hyperuricemia</c:v>
                </c:pt>
                <c:pt idx="2">
                  <c:v>Gastritis</c:v>
                </c:pt>
                <c:pt idx="3">
                  <c:v>Gastritis and hyperuricemia</c:v>
                </c:pt>
                <c:pt idx="4">
                  <c:v>Drug induced hepatitis</c:v>
                </c:pt>
                <c:pt idx="5">
                  <c:v>Skin rash</c:v>
                </c:pt>
                <c:pt idx="6">
                  <c:v>Nutritis</c:v>
                </c:pt>
                <c:pt idx="7">
                  <c:v>Ototoxicity</c:v>
                </c:pt>
                <c:pt idx="8">
                  <c:v>Thrombocytopenia</c:v>
                </c:pt>
              </c:strCache>
            </c:strRef>
          </c:cat>
          <c:val>
            <c:numRef>
              <c:f>Sheet1!$B$2:$B$10</c:f>
              <c:numCache>
                <c:formatCode>General</c:formatCode>
                <c:ptCount val="9"/>
                <c:pt idx="0">
                  <c:v>67.400000000000006</c:v>
                </c:pt>
                <c:pt idx="1">
                  <c:v>11.2</c:v>
                </c:pt>
                <c:pt idx="2">
                  <c:v>7.9</c:v>
                </c:pt>
                <c:pt idx="3">
                  <c:v>3.4</c:v>
                </c:pt>
                <c:pt idx="4">
                  <c:v>3.4</c:v>
                </c:pt>
                <c:pt idx="5">
                  <c:v>3.4</c:v>
                </c:pt>
                <c:pt idx="6">
                  <c:v>1.1000000000000001</c:v>
                </c:pt>
                <c:pt idx="7">
                  <c:v>1.1000000000000001</c:v>
                </c:pt>
                <c:pt idx="8">
                  <c:v>1.1000000000000001</c:v>
                </c:pt>
              </c:numCache>
            </c:numRef>
          </c:val>
        </c:ser>
        <c:dLbls>
          <c:showLegendKey val="0"/>
          <c:showVal val="0"/>
          <c:showCatName val="0"/>
          <c:showSerName val="0"/>
          <c:showPercent val="0"/>
          <c:showBubbleSize val="0"/>
        </c:dLbls>
        <c:gapWidth val="150"/>
        <c:axId val="146146048"/>
        <c:axId val="146147584"/>
      </c:barChart>
      <c:catAx>
        <c:axId val="146146048"/>
        <c:scaling>
          <c:orientation val="minMax"/>
        </c:scaling>
        <c:delete val="0"/>
        <c:axPos val="b"/>
        <c:majorTickMark val="out"/>
        <c:minorTickMark val="none"/>
        <c:tickLblPos val="nextTo"/>
        <c:crossAx val="146147584"/>
        <c:crosses val="autoZero"/>
        <c:auto val="1"/>
        <c:lblAlgn val="ctr"/>
        <c:lblOffset val="100"/>
        <c:noMultiLvlLbl val="0"/>
      </c:catAx>
      <c:valAx>
        <c:axId val="146147584"/>
        <c:scaling>
          <c:orientation val="minMax"/>
        </c:scaling>
        <c:delete val="0"/>
        <c:axPos val="l"/>
        <c:majorGridlines/>
        <c:title>
          <c:tx>
            <c:rich>
              <a:bodyPr rot="-5400000" vert="horz"/>
              <a:lstStyle/>
              <a:p>
                <a:pPr>
                  <a:defRPr/>
                </a:pPr>
                <a:r>
                  <a:rPr lang="en-US"/>
                  <a:t>% of cases</a:t>
                </a:r>
              </a:p>
            </c:rich>
          </c:tx>
          <c:overlay val="0"/>
        </c:title>
        <c:numFmt formatCode="General" sourceLinked="1"/>
        <c:majorTickMark val="out"/>
        <c:minorTickMark val="none"/>
        <c:tickLblPos val="nextTo"/>
        <c:crossAx val="14614604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IN"/>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baseline="0"/>
              <a:t>Distribution of Adverse Effects of ATT  By Sex</a:t>
            </a:r>
          </a:p>
        </c:rich>
      </c:tx>
      <c:layout>
        <c:manualLayout>
          <c:xMode val="edge"/>
          <c:yMode val="edge"/>
          <c:x val="0.13089075340992221"/>
          <c:y val="0"/>
        </c:manualLayout>
      </c:layout>
      <c:overlay val="1"/>
    </c:title>
    <c:autoTitleDeleted val="0"/>
    <c:plotArea>
      <c:layout>
        <c:manualLayout>
          <c:layoutTarget val="inner"/>
          <c:xMode val="edge"/>
          <c:yMode val="edge"/>
          <c:x val="8.2143117526974688E-2"/>
          <c:y val="0.25437507811523558"/>
          <c:w val="0.91714038349373062"/>
          <c:h val="0.6365738657667791"/>
        </c:manualLayout>
      </c:layout>
      <c:barChart>
        <c:barDir val="col"/>
        <c:grouping val="stacked"/>
        <c:varyColors val="0"/>
        <c:ser>
          <c:idx val="0"/>
          <c:order val="0"/>
          <c:tx>
            <c:strRef>
              <c:f>Sheet1!$A$2</c:f>
              <c:strCache>
                <c:ptCount val="1"/>
                <c:pt idx="0">
                  <c:v>Nil</c:v>
                </c:pt>
              </c:strCache>
            </c:strRef>
          </c:tx>
          <c:invertIfNegative val="0"/>
          <c:dLbls>
            <c:showLegendKey val="0"/>
            <c:showVal val="1"/>
            <c:showCatName val="0"/>
            <c:showSerName val="0"/>
            <c:showPercent val="0"/>
            <c:showBubbleSize val="0"/>
            <c:showLeaderLines val="0"/>
          </c:dLbls>
          <c:cat>
            <c:strRef>
              <c:f>Sheet1!$B$1:$D$1</c:f>
              <c:strCache>
                <c:ptCount val="3"/>
                <c:pt idx="0">
                  <c:v>Male</c:v>
                </c:pt>
                <c:pt idx="1">
                  <c:v>Female</c:v>
                </c:pt>
                <c:pt idx="2">
                  <c:v>Total</c:v>
                </c:pt>
              </c:strCache>
            </c:strRef>
          </c:cat>
          <c:val>
            <c:numRef>
              <c:f>Sheet1!$B$2:$D$2</c:f>
              <c:numCache>
                <c:formatCode>General</c:formatCode>
                <c:ptCount val="3"/>
                <c:pt idx="0">
                  <c:v>81.400000000000006</c:v>
                </c:pt>
                <c:pt idx="1">
                  <c:v>54.3</c:v>
                </c:pt>
                <c:pt idx="2">
                  <c:v>67.400000000000006</c:v>
                </c:pt>
              </c:numCache>
            </c:numRef>
          </c:val>
        </c:ser>
        <c:ser>
          <c:idx val="1"/>
          <c:order val="1"/>
          <c:tx>
            <c:strRef>
              <c:f>Sheet1!$A$3</c:f>
              <c:strCache>
                <c:ptCount val="1"/>
                <c:pt idx="0">
                  <c:v>Hyperuricemia</c:v>
                </c:pt>
              </c:strCache>
            </c:strRef>
          </c:tx>
          <c:invertIfNegative val="0"/>
          <c:dLbls>
            <c:showLegendKey val="0"/>
            <c:showVal val="1"/>
            <c:showCatName val="0"/>
            <c:showSerName val="0"/>
            <c:showPercent val="0"/>
            <c:showBubbleSize val="0"/>
            <c:showLeaderLines val="0"/>
          </c:dLbls>
          <c:cat>
            <c:strRef>
              <c:f>Sheet1!$B$1:$D$1</c:f>
              <c:strCache>
                <c:ptCount val="3"/>
                <c:pt idx="0">
                  <c:v>Male</c:v>
                </c:pt>
                <c:pt idx="1">
                  <c:v>Female</c:v>
                </c:pt>
                <c:pt idx="2">
                  <c:v>Total</c:v>
                </c:pt>
              </c:strCache>
            </c:strRef>
          </c:cat>
          <c:val>
            <c:numRef>
              <c:f>Sheet1!$B$3:$D$3</c:f>
              <c:numCache>
                <c:formatCode>General</c:formatCode>
                <c:ptCount val="3"/>
                <c:pt idx="0">
                  <c:v>9.3000000000000007</c:v>
                </c:pt>
                <c:pt idx="1">
                  <c:v>13</c:v>
                </c:pt>
                <c:pt idx="2">
                  <c:v>11.2</c:v>
                </c:pt>
              </c:numCache>
            </c:numRef>
          </c:val>
        </c:ser>
        <c:ser>
          <c:idx val="2"/>
          <c:order val="2"/>
          <c:tx>
            <c:strRef>
              <c:f>Sheet1!$A$4</c:f>
              <c:strCache>
                <c:ptCount val="1"/>
                <c:pt idx="0">
                  <c:v>Gastritis</c:v>
                </c:pt>
              </c:strCache>
            </c:strRef>
          </c:tx>
          <c:invertIfNegative val="0"/>
          <c:dLbls>
            <c:showLegendKey val="0"/>
            <c:showVal val="1"/>
            <c:showCatName val="0"/>
            <c:showSerName val="0"/>
            <c:showPercent val="0"/>
            <c:showBubbleSize val="0"/>
            <c:showLeaderLines val="0"/>
          </c:dLbls>
          <c:cat>
            <c:strRef>
              <c:f>Sheet1!$B$1:$D$1</c:f>
              <c:strCache>
                <c:ptCount val="3"/>
                <c:pt idx="0">
                  <c:v>Male</c:v>
                </c:pt>
                <c:pt idx="1">
                  <c:v>Female</c:v>
                </c:pt>
                <c:pt idx="2">
                  <c:v>Total</c:v>
                </c:pt>
              </c:strCache>
            </c:strRef>
          </c:cat>
          <c:val>
            <c:numRef>
              <c:f>Sheet1!$B$4:$D$4</c:f>
              <c:numCache>
                <c:formatCode>General</c:formatCode>
                <c:ptCount val="3"/>
                <c:pt idx="0">
                  <c:v>0</c:v>
                </c:pt>
                <c:pt idx="1">
                  <c:v>15.2</c:v>
                </c:pt>
                <c:pt idx="2">
                  <c:v>7.9</c:v>
                </c:pt>
              </c:numCache>
            </c:numRef>
          </c:val>
        </c:ser>
        <c:ser>
          <c:idx val="3"/>
          <c:order val="3"/>
          <c:tx>
            <c:strRef>
              <c:f>Sheet1!$A$5</c:f>
              <c:strCache>
                <c:ptCount val="1"/>
                <c:pt idx="0">
                  <c:v>Gastritis and hyperuricemia</c:v>
                </c:pt>
              </c:strCache>
            </c:strRef>
          </c:tx>
          <c:invertIfNegative val="0"/>
          <c:dLbls>
            <c:showLegendKey val="0"/>
            <c:showVal val="1"/>
            <c:showCatName val="0"/>
            <c:showSerName val="0"/>
            <c:showPercent val="0"/>
            <c:showBubbleSize val="0"/>
            <c:showLeaderLines val="0"/>
          </c:dLbls>
          <c:cat>
            <c:strRef>
              <c:f>Sheet1!$B$1:$D$1</c:f>
              <c:strCache>
                <c:ptCount val="3"/>
                <c:pt idx="0">
                  <c:v>Male</c:v>
                </c:pt>
                <c:pt idx="1">
                  <c:v>Female</c:v>
                </c:pt>
                <c:pt idx="2">
                  <c:v>Total</c:v>
                </c:pt>
              </c:strCache>
            </c:strRef>
          </c:cat>
          <c:val>
            <c:numRef>
              <c:f>Sheet1!$B$5:$D$5</c:f>
              <c:numCache>
                <c:formatCode>General</c:formatCode>
                <c:ptCount val="3"/>
                <c:pt idx="0">
                  <c:v>2.2999999999999998</c:v>
                </c:pt>
                <c:pt idx="1">
                  <c:v>4.3</c:v>
                </c:pt>
                <c:pt idx="2">
                  <c:v>3.4</c:v>
                </c:pt>
              </c:numCache>
            </c:numRef>
          </c:val>
        </c:ser>
        <c:ser>
          <c:idx val="4"/>
          <c:order val="4"/>
          <c:tx>
            <c:strRef>
              <c:f>Sheet1!$A$6</c:f>
              <c:strCache>
                <c:ptCount val="1"/>
                <c:pt idx="0">
                  <c:v>Drug induced hepatitis</c:v>
                </c:pt>
              </c:strCache>
            </c:strRef>
          </c:tx>
          <c:invertIfNegative val="0"/>
          <c:dLbls>
            <c:showLegendKey val="0"/>
            <c:showVal val="1"/>
            <c:showCatName val="0"/>
            <c:showSerName val="0"/>
            <c:showPercent val="0"/>
            <c:showBubbleSize val="0"/>
            <c:showLeaderLines val="0"/>
          </c:dLbls>
          <c:cat>
            <c:strRef>
              <c:f>Sheet1!$B$1:$D$1</c:f>
              <c:strCache>
                <c:ptCount val="3"/>
                <c:pt idx="0">
                  <c:v>Male</c:v>
                </c:pt>
                <c:pt idx="1">
                  <c:v>Female</c:v>
                </c:pt>
                <c:pt idx="2">
                  <c:v>Total</c:v>
                </c:pt>
              </c:strCache>
            </c:strRef>
          </c:cat>
          <c:val>
            <c:numRef>
              <c:f>Sheet1!$B$6:$D$6</c:f>
              <c:numCache>
                <c:formatCode>General</c:formatCode>
                <c:ptCount val="3"/>
                <c:pt idx="0">
                  <c:v>0</c:v>
                </c:pt>
                <c:pt idx="1">
                  <c:v>6.5</c:v>
                </c:pt>
                <c:pt idx="2">
                  <c:v>3.4</c:v>
                </c:pt>
              </c:numCache>
            </c:numRef>
          </c:val>
        </c:ser>
        <c:ser>
          <c:idx val="5"/>
          <c:order val="5"/>
          <c:tx>
            <c:strRef>
              <c:f>Sheet1!$A$7</c:f>
              <c:strCache>
                <c:ptCount val="1"/>
                <c:pt idx="0">
                  <c:v>Skin rash</c:v>
                </c:pt>
              </c:strCache>
            </c:strRef>
          </c:tx>
          <c:invertIfNegative val="0"/>
          <c:dLbls>
            <c:showLegendKey val="0"/>
            <c:showVal val="1"/>
            <c:showCatName val="0"/>
            <c:showSerName val="0"/>
            <c:showPercent val="0"/>
            <c:showBubbleSize val="0"/>
            <c:showLeaderLines val="0"/>
          </c:dLbls>
          <c:cat>
            <c:strRef>
              <c:f>Sheet1!$B$1:$D$1</c:f>
              <c:strCache>
                <c:ptCount val="3"/>
                <c:pt idx="0">
                  <c:v>Male</c:v>
                </c:pt>
                <c:pt idx="1">
                  <c:v>Female</c:v>
                </c:pt>
                <c:pt idx="2">
                  <c:v>Total</c:v>
                </c:pt>
              </c:strCache>
            </c:strRef>
          </c:cat>
          <c:val>
            <c:numRef>
              <c:f>Sheet1!$B$7:$D$7</c:f>
              <c:numCache>
                <c:formatCode>General</c:formatCode>
                <c:ptCount val="3"/>
                <c:pt idx="0">
                  <c:v>0</c:v>
                </c:pt>
                <c:pt idx="1">
                  <c:v>6.5</c:v>
                </c:pt>
                <c:pt idx="2">
                  <c:v>3.4</c:v>
                </c:pt>
              </c:numCache>
            </c:numRef>
          </c:val>
        </c:ser>
        <c:ser>
          <c:idx val="6"/>
          <c:order val="6"/>
          <c:tx>
            <c:strRef>
              <c:f>Sheet1!$A$8</c:f>
              <c:strCache>
                <c:ptCount val="1"/>
                <c:pt idx="0">
                  <c:v>Nutritis</c:v>
                </c:pt>
              </c:strCache>
            </c:strRef>
          </c:tx>
          <c:invertIfNegative val="0"/>
          <c:dLbls>
            <c:showLegendKey val="0"/>
            <c:showVal val="1"/>
            <c:showCatName val="0"/>
            <c:showSerName val="0"/>
            <c:showPercent val="0"/>
            <c:showBubbleSize val="0"/>
            <c:showLeaderLines val="0"/>
          </c:dLbls>
          <c:cat>
            <c:strRef>
              <c:f>Sheet1!$B$1:$D$1</c:f>
              <c:strCache>
                <c:ptCount val="3"/>
                <c:pt idx="0">
                  <c:v>Male</c:v>
                </c:pt>
                <c:pt idx="1">
                  <c:v>Female</c:v>
                </c:pt>
                <c:pt idx="2">
                  <c:v>Total</c:v>
                </c:pt>
              </c:strCache>
            </c:strRef>
          </c:cat>
          <c:val>
            <c:numRef>
              <c:f>Sheet1!$B$8:$D$8</c:f>
              <c:numCache>
                <c:formatCode>General</c:formatCode>
                <c:ptCount val="3"/>
                <c:pt idx="0">
                  <c:v>2.2999999999999998</c:v>
                </c:pt>
                <c:pt idx="1">
                  <c:v>0</c:v>
                </c:pt>
                <c:pt idx="2">
                  <c:v>1.1000000000000001</c:v>
                </c:pt>
              </c:numCache>
            </c:numRef>
          </c:val>
        </c:ser>
        <c:ser>
          <c:idx val="7"/>
          <c:order val="7"/>
          <c:tx>
            <c:v>Ototoxicity</c:v>
          </c:tx>
          <c:invertIfNegative val="0"/>
          <c:cat>
            <c:strRef>
              <c:f>Sheet1!$B$1:$D$1</c:f>
              <c:strCache>
                <c:ptCount val="3"/>
                <c:pt idx="0">
                  <c:v>Male</c:v>
                </c:pt>
                <c:pt idx="1">
                  <c:v>Female</c:v>
                </c:pt>
                <c:pt idx="2">
                  <c:v>Total</c:v>
                </c:pt>
              </c:strCache>
            </c:strRef>
          </c:cat>
          <c:val>
            <c:numRef>
              <c:f>Sheet1!$B$9:$D$9</c:f>
              <c:numCache>
                <c:formatCode>General</c:formatCode>
                <c:ptCount val="3"/>
                <c:pt idx="0">
                  <c:v>2.2999999999999998</c:v>
                </c:pt>
                <c:pt idx="1">
                  <c:v>0</c:v>
                </c:pt>
                <c:pt idx="2">
                  <c:v>1.1000000000000001</c:v>
                </c:pt>
              </c:numCache>
            </c:numRef>
          </c:val>
        </c:ser>
        <c:ser>
          <c:idx val="8"/>
          <c:order val="8"/>
          <c:tx>
            <c:strRef>
              <c:f>Sheet1!$A$10</c:f>
              <c:strCache>
                <c:ptCount val="1"/>
                <c:pt idx="0">
                  <c:v>Thrombocytopenia</c:v>
                </c:pt>
              </c:strCache>
            </c:strRef>
          </c:tx>
          <c:invertIfNegative val="0"/>
          <c:dLbls>
            <c:showLegendKey val="0"/>
            <c:showVal val="1"/>
            <c:showCatName val="0"/>
            <c:showSerName val="0"/>
            <c:showPercent val="0"/>
            <c:showBubbleSize val="0"/>
            <c:showLeaderLines val="0"/>
          </c:dLbls>
          <c:cat>
            <c:strRef>
              <c:f>Sheet1!$B$1:$D$1</c:f>
              <c:strCache>
                <c:ptCount val="3"/>
                <c:pt idx="0">
                  <c:v>Male</c:v>
                </c:pt>
                <c:pt idx="1">
                  <c:v>Female</c:v>
                </c:pt>
                <c:pt idx="2">
                  <c:v>Total</c:v>
                </c:pt>
              </c:strCache>
            </c:strRef>
          </c:cat>
          <c:val>
            <c:numRef>
              <c:f>Sheet1!$B$10:$D$10</c:f>
              <c:numCache>
                <c:formatCode>General</c:formatCode>
                <c:ptCount val="3"/>
                <c:pt idx="0">
                  <c:v>2.2999999999999998</c:v>
                </c:pt>
                <c:pt idx="1">
                  <c:v>0</c:v>
                </c:pt>
                <c:pt idx="2">
                  <c:v>1.1000000000000001</c:v>
                </c:pt>
              </c:numCache>
            </c:numRef>
          </c:val>
        </c:ser>
        <c:dLbls>
          <c:showLegendKey val="0"/>
          <c:showVal val="0"/>
          <c:showCatName val="0"/>
          <c:showSerName val="0"/>
          <c:showPercent val="0"/>
          <c:showBubbleSize val="0"/>
        </c:dLbls>
        <c:gapWidth val="150"/>
        <c:overlap val="100"/>
        <c:axId val="146161664"/>
        <c:axId val="146163200"/>
      </c:barChart>
      <c:catAx>
        <c:axId val="146161664"/>
        <c:scaling>
          <c:orientation val="minMax"/>
        </c:scaling>
        <c:delete val="0"/>
        <c:axPos val="b"/>
        <c:majorTickMark val="out"/>
        <c:minorTickMark val="none"/>
        <c:tickLblPos val="nextTo"/>
        <c:txPr>
          <a:bodyPr/>
          <a:lstStyle/>
          <a:p>
            <a:pPr>
              <a:defRPr b="1"/>
            </a:pPr>
            <a:endParaRPr lang="en-US"/>
          </a:p>
        </c:txPr>
        <c:crossAx val="146163200"/>
        <c:crosses val="autoZero"/>
        <c:auto val="1"/>
        <c:lblAlgn val="ctr"/>
        <c:lblOffset val="100"/>
        <c:noMultiLvlLbl val="0"/>
      </c:catAx>
      <c:valAx>
        <c:axId val="146163200"/>
        <c:scaling>
          <c:orientation val="minMax"/>
        </c:scaling>
        <c:delete val="0"/>
        <c:axPos val="l"/>
        <c:majorGridlines/>
        <c:title>
          <c:tx>
            <c:rich>
              <a:bodyPr rot="-5400000" vert="horz"/>
              <a:lstStyle/>
              <a:p>
                <a:pPr>
                  <a:defRPr/>
                </a:pPr>
                <a:r>
                  <a:rPr lang="en-US"/>
                  <a:t>% of cases</a:t>
                </a:r>
              </a:p>
            </c:rich>
          </c:tx>
          <c:overlay val="0"/>
        </c:title>
        <c:numFmt formatCode="General" sourceLinked="1"/>
        <c:majorTickMark val="out"/>
        <c:minorTickMark val="none"/>
        <c:tickLblPos val="nextTo"/>
        <c:crossAx val="146161664"/>
        <c:crosses val="autoZero"/>
        <c:crossBetween val="between"/>
      </c:valAx>
    </c:plotArea>
    <c:legend>
      <c:legendPos val="r"/>
      <c:legendEntry>
        <c:idx val="1"/>
        <c:txPr>
          <a:bodyPr/>
          <a:lstStyle/>
          <a:p>
            <a:pPr>
              <a:defRPr sz="1000" b="1"/>
            </a:pPr>
            <a:endParaRPr lang="en-US"/>
          </a:p>
        </c:txPr>
      </c:legendEntry>
      <c:layout>
        <c:manualLayout>
          <c:xMode val="edge"/>
          <c:yMode val="edge"/>
          <c:x val="9.1231014156017393E-2"/>
          <c:y val="0.10251656042994625"/>
          <c:w val="0.90580909157189138"/>
          <c:h val="0.1402049743782027"/>
        </c:manualLayout>
      </c:layout>
      <c:overlay val="0"/>
      <c:txPr>
        <a:bodyPr/>
        <a:lstStyle/>
        <a:p>
          <a:pPr>
            <a:defRPr b="1"/>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259DD-62DC-493E-804D-3E376D4C4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2374</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RDRL</cp:lastModifiedBy>
  <cp:revision>3</cp:revision>
  <cp:lastPrinted>2021-10-20T15:29:00Z</cp:lastPrinted>
  <dcterms:created xsi:type="dcterms:W3CDTF">2021-10-20T15:23:00Z</dcterms:created>
  <dcterms:modified xsi:type="dcterms:W3CDTF">2021-10-20T15:29:00Z</dcterms:modified>
</cp:coreProperties>
</file>