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16" w:rsidRPr="00811A65" w:rsidRDefault="00B12716" w:rsidP="00B12716">
      <w:pPr>
        <w:spacing w:after="0" w:line="360" w:lineRule="auto"/>
        <w:rPr>
          <w:rFonts w:asciiTheme="majorHAnsi" w:hAnsiTheme="majorHAnsi" w:cs="Times New Roman"/>
          <w:b/>
          <w:sz w:val="24"/>
          <w:szCs w:val="24"/>
        </w:rPr>
      </w:pPr>
      <w:r w:rsidRPr="00811A65">
        <w:rPr>
          <w:rFonts w:asciiTheme="majorHAnsi" w:hAnsiTheme="majorHAnsi" w:cs="Times New Roman"/>
          <w:b/>
          <w:sz w:val="24"/>
          <w:szCs w:val="24"/>
          <w:highlight w:val="lightGray"/>
        </w:rPr>
        <w:t>Original article:</w:t>
      </w:r>
    </w:p>
    <w:p w:rsidR="00F550CA" w:rsidRPr="00811A65" w:rsidRDefault="00C07863" w:rsidP="00B12716">
      <w:pPr>
        <w:spacing w:after="0" w:line="360" w:lineRule="auto"/>
        <w:rPr>
          <w:rFonts w:asciiTheme="majorHAnsi" w:hAnsiTheme="majorHAnsi" w:cs="Times New Roman"/>
          <w:b/>
          <w:color w:val="0070C0"/>
          <w:sz w:val="28"/>
          <w:szCs w:val="28"/>
        </w:rPr>
      </w:pPr>
      <w:r w:rsidRPr="00811A65">
        <w:rPr>
          <w:rFonts w:asciiTheme="majorHAnsi" w:hAnsiTheme="majorHAnsi" w:cs="Times New Roman"/>
          <w:b/>
          <w:color w:val="0070C0"/>
          <w:sz w:val="28"/>
          <w:szCs w:val="28"/>
        </w:rPr>
        <w:t>Study of effects of Intravenous Magnesium sulphate on Heart rate and BP during laryngoscopy and endotracheal intubation</w:t>
      </w:r>
    </w:p>
    <w:p w:rsidR="00811A65" w:rsidRPr="00811A65" w:rsidRDefault="00811A65" w:rsidP="00811A65">
      <w:pPr>
        <w:spacing w:after="0" w:line="360" w:lineRule="auto"/>
        <w:rPr>
          <w:rFonts w:asciiTheme="majorHAnsi" w:hAnsiTheme="majorHAnsi" w:cs="Times New Roman"/>
          <w:b/>
          <w:sz w:val="20"/>
          <w:szCs w:val="20"/>
        </w:rPr>
      </w:pPr>
      <w:r w:rsidRPr="00811A65">
        <w:rPr>
          <w:rFonts w:asciiTheme="majorHAnsi" w:hAnsiTheme="majorHAnsi" w:cs="Times New Roman"/>
          <w:b/>
          <w:sz w:val="20"/>
          <w:szCs w:val="20"/>
          <w:vertAlign w:val="superscript"/>
        </w:rPr>
        <w:t>1</w:t>
      </w:r>
      <w:r w:rsidRPr="00811A65">
        <w:rPr>
          <w:rFonts w:asciiTheme="majorHAnsi" w:hAnsiTheme="majorHAnsi" w:cs="Times New Roman"/>
          <w:b/>
          <w:sz w:val="20"/>
          <w:szCs w:val="20"/>
        </w:rPr>
        <w:t xml:space="preserve">Dr Rahul Kamble, </w:t>
      </w:r>
      <w:r w:rsidRPr="00811A65">
        <w:rPr>
          <w:rFonts w:asciiTheme="majorHAnsi" w:hAnsiTheme="majorHAnsi" w:cs="Times New Roman"/>
          <w:b/>
          <w:sz w:val="20"/>
          <w:szCs w:val="20"/>
          <w:vertAlign w:val="superscript"/>
        </w:rPr>
        <w:t>2</w:t>
      </w:r>
      <w:r w:rsidRPr="00811A65">
        <w:rPr>
          <w:rFonts w:asciiTheme="majorHAnsi" w:hAnsiTheme="majorHAnsi" w:cs="Times New Roman"/>
          <w:b/>
          <w:sz w:val="20"/>
          <w:szCs w:val="20"/>
        </w:rPr>
        <w:t>Dr Surekha S. Shinde</w:t>
      </w:r>
    </w:p>
    <w:p w:rsidR="00811A65" w:rsidRPr="00811A65" w:rsidRDefault="00811A65" w:rsidP="00811A65">
      <w:pPr>
        <w:spacing w:after="0" w:line="360" w:lineRule="auto"/>
        <w:rPr>
          <w:rFonts w:asciiTheme="majorHAnsi" w:hAnsiTheme="majorHAnsi" w:cs="Times New Roman"/>
          <w:b/>
          <w:sz w:val="20"/>
          <w:szCs w:val="20"/>
        </w:rPr>
      </w:pPr>
    </w:p>
    <w:p w:rsidR="00811A65" w:rsidRPr="00811A65" w:rsidRDefault="00811A65" w:rsidP="00811A65">
      <w:pPr>
        <w:spacing w:after="0" w:line="360" w:lineRule="auto"/>
        <w:rPr>
          <w:rFonts w:asciiTheme="majorHAnsi" w:hAnsiTheme="majorHAnsi" w:cs="Times New Roman"/>
          <w:sz w:val="18"/>
          <w:szCs w:val="18"/>
        </w:rPr>
      </w:pPr>
      <w:r w:rsidRPr="00811A65">
        <w:rPr>
          <w:rFonts w:asciiTheme="majorHAnsi" w:hAnsiTheme="majorHAnsi" w:cs="Times New Roman"/>
          <w:sz w:val="18"/>
          <w:szCs w:val="18"/>
          <w:vertAlign w:val="superscript"/>
        </w:rPr>
        <w:t>1</w:t>
      </w:r>
      <w:r w:rsidRPr="00811A65">
        <w:rPr>
          <w:rFonts w:asciiTheme="majorHAnsi" w:hAnsiTheme="majorHAnsi" w:cs="Times New Roman"/>
          <w:sz w:val="18"/>
          <w:szCs w:val="18"/>
        </w:rPr>
        <w:t xml:space="preserve"> Jr3 Department of Anaesthesiology, BJGMC, Pune</w:t>
      </w:r>
    </w:p>
    <w:p w:rsidR="00E82FB2" w:rsidRDefault="00811A65" w:rsidP="00811A65">
      <w:pPr>
        <w:spacing w:after="0" w:line="360" w:lineRule="auto"/>
        <w:rPr>
          <w:rFonts w:asciiTheme="majorHAnsi" w:hAnsiTheme="majorHAnsi" w:cs="Times New Roman"/>
          <w:sz w:val="18"/>
          <w:szCs w:val="18"/>
        </w:rPr>
      </w:pPr>
      <w:r w:rsidRPr="00811A65">
        <w:rPr>
          <w:rFonts w:asciiTheme="majorHAnsi" w:hAnsiTheme="majorHAnsi" w:cs="Times New Roman"/>
          <w:sz w:val="18"/>
          <w:szCs w:val="18"/>
          <w:vertAlign w:val="superscript"/>
        </w:rPr>
        <w:t>2</w:t>
      </w:r>
      <w:r w:rsidRPr="00811A65">
        <w:rPr>
          <w:rFonts w:asciiTheme="majorHAnsi" w:hAnsiTheme="majorHAnsi" w:cs="Times New Roman"/>
          <w:sz w:val="18"/>
          <w:szCs w:val="18"/>
        </w:rPr>
        <w:t xml:space="preserve"> Professor, Department of Anesthesiology, BJGMC, Pune</w:t>
      </w:r>
    </w:p>
    <w:p w:rsidR="00E82FB2" w:rsidRDefault="00E82FB2" w:rsidP="00811A65">
      <w:pPr>
        <w:spacing w:after="0" w:line="360" w:lineRule="auto"/>
        <w:rPr>
          <w:rFonts w:asciiTheme="majorHAnsi" w:hAnsiTheme="majorHAnsi" w:cs="Times New Roman"/>
          <w:sz w:val="18"/>
          <w:szCs w:val="18"/>
        </w:rPr>
      </w:pPr>
    </w:p>
    <w:p w:rsidR="00811A65" w:rsidRPr="00811A65" w:rsidRDefault="00811A65" w:rsidP="00811A65">
      <w:pPr>
        <w:spacing w:after="0" w:line="360" w:lineRule="auto"/>
        <w:rPr>
          <w:rFonts w:asciiTheme="majorHAnsi" w:hAnsiTheme="majorHAnsi" w:cs="Times New Roman"/>
          <w:sz w:val="18"/>
          <w:szCs w:val="18"/>
        </w:rPr>
      </w:pPr>
      <w:r w:rsidRPr="00811A65">
        <w:rPr>
          <w:rFonts w:asciiTheme="majorHAnsi" w:hAnsiTheme="majorHAnsi" w:cs="Times New Roman"/>
          <w:sz w:val="18"/>
          <w:szCs w:val="18"/>
        </w:rPr>
        <w:t>Corresponding author: Dr Rahul Kamble</w:t>
      </w:r>
    </w:p>
    <w:p w:rsidR="00E82FB2" w:rsidRPr="00544D48" w:rsidRDefault="00E82FB2" w:rsidP="00E82FB2">
      <w:pPr>
        <w:spacing w:after="0" w:line="360" w:lineRule="auto"/>
        <w:jc w:val="both"/>
        <w:rPr>
          <w:rFonts w:asciiTheme="majorHAnsi" w:hAnsiTheme="majorHAnsi" w:cstheme="minorHAnsi"/>
          <w:b/>
          <w:bCs/>
          <w:sz w:val="18"/>
          <w:szCs w:val="18"/>
        </w:rPr>
      </w:pPr>
      <w:r w:rsidRPr="00544D48">
        <w:rPr>
          <w:rFonts w:asciiTheme="majorHAnsi" w:hAnsiTheme="majorHAnsi" w:cstheme="minorHAnsi"/>
          <w:b/>
          <w:bCs/>
          <w:noProof/>
          <w:sz w:val="18"/>
          <w:szCs w:val="18"/>
          <w:lang w:eastAsia="en-IN"/>
        </w:rPr>
        <w:drawing>
          <wp:inline distT="0" distB="0" distL="0" distR="0" wp14:anchorId="337BA24A" wp14:editId="290DCC4C">
            <wp:extent cx="708207" cy="283335"/>
            <wp:effectExtent l="19050" t="19050" r="15875" b="21590"/>
            <wp:docPr id="3" name="Picture 3"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bookmarkStart w:id="0" w:name="_GoBack"/>
      <w:bookmarkEnd w:id="0"/>
      <w:r w:rsidRPr="00544D48">
        <w:rPr>
          <w:rFonts w:asciiTheme="majorHAnsi" w:hAnsiTheme="majorHAnsi" w:cstheme="minorHAnsi"/>
          <w:b/>
          <w:bCs/>
          <w:noProof/>
          <w:sz w:val="18"/>
          <w:szCs w:val="18"/>
          <w:lang w:eastAsia="en-IN"/>
        </w:rPr>
        <w:drawing>
          <wp:anchor distT="0" distB="0" distL="114300" distR="114300" simplePos="0" relativeHeight="251659264" behindDoc="0" locked="0" layoutInCell="1" allowOverlap="1" wp14:anchorId="11634A2B" wp14:editId="2920FCD5">
            <wp:simplePos x="0" y="0"/>
            <wp:positionH relativeFrom="column">
              <wp:align>left</wp:align>
            </wp:positionH>
            <wp:positionV relativeFrom="paragraph">
              <wp:align>top</wp:align>
            </wp:positionV>
            <wp:extent cx="835660" cy="296545"/>
            <wp:effectExtent l="0" t="0" r="2540" b="8255"/>
            <wp:wrapSquare wrapText="bothSides"/>
            <wp:docPr id="4" name="Picture 4"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p>
    <w:p w:rsidR="00E82FB2" w:rsidRPr="00544D48" w:rsidRDefault="00E82FB2" w:rsidP="00E82FB2">
      <w:pPr>
        <w:spacing w:after="0" w:line="360" w:lineRule="auto"/>
        <w:jc w:val="both"/>
        <w:rPr>
          <w:rFonts w:asciiTheme="majorHAnsi" w:hAnsiTheme="majorHAnsi" w:cstheme="minorHAnsi"/>
          <w:bCs/>
          <w:sz w:val="18"/>
          <w:szCs w:val="18"/>
        </w:rPr>
      </w:pPr>
      <w:r w:rsidRPr="00544D48">
        <w:rPr>
          <w:rFonts w:asciiTheme="majorHAnsi" w:hAnsiTheme="majorHAnsi" w:cstheme="minorHAnsi"/>
          <w:bCs/>
          <w:sz w:val="18"/>
          <w:szCs w:val="18"/>
        </w:rPr>
        <w:t>This work is licensed under a Creative Commons Attribution-NonCommercial 4.0 International License</w:t>
      </w:r>
    </w:p>
    <w:p w:rsidR="00E82FB2" w:rsidRPr="00544D48" w:rsidRDefault="00E82FB2" w:rsidP="00E82FB2">
      <w:pPr>
        <w:spacing w:after="0" w:line="360" w:lineRule="auto"/>
        <w:jc w:val="both"/>
        <w:rPr>
          <w:rFonts w:asciiTheme="majorHAnsi" w:hAnsiTheme="majorHAnsi" w:cstheme="minorHAnsi"/>
          <w:bCs/>
          <w:sz w:val="18"/>
          <w:szCs w:val="18"/>
        </w:rPr>
      </w:pPr>
      <w:r>
        <w:rPr>
          <w:rFonts w:asciiTheme="majorHAnsi" w:hAnsiTheme="majorHAnsi" w:cstheme="minorHAnsi"/>
          <w:bCs/>
          <w:sz w:val="18"/>
          <w:szCs w:val="18"/>
        </w:rPr>
        <w:t>Date of submission:  04</w:t>
      </w:r>
      <w:r w:rsidRPr="00544D48">
        <w:rPr>
          <w:rFonts w:asciiTheme="majorHAnsi" w:hAnsiTheme="majorHAnsi" w:cstheme="minorHAnsi"/>
          <w:bCs/>
          <w:sz w:val="18"/>
          <w:szCs w:val="18"/>
        </w:rPr>
        <w:t xml:space="preserve"> January 2023   </w:t>
      </w:r>
    </w:p>
    <w:p w:rsidR="00E82FB2" w:rsidRPr="00544D48" w:rsidRDefault="00E82FB2" w:rsidP="00E82FB2">
      <w:pPr>
        <w:spacing w:after="0" w:line="360" w:lineRule="auto"/>
        <w:jc w:val="both"/>
        <w:rPr>
          <w:rFonts w:asciiTheme="majorHAnsi" w:hAnsiTheme="majorHAnsi" w:cstheme="minorHAnsi"/>
          <w:bCs/>
          <w:sz w:val="18"/>
          <w:szCs w:val="18"/>
        </w:rPr>
      </w:pPr>
      <w:r w:rsidRPr="00544D48">
        <w:rPr>
          <w:rFonts w:asciiTheme="majorHAnsi" w:hAnsiTheme="majorHAnsi" w:cstheme="minorHAnsi"/>
          <w:bCs/>
          <w:sz w:val="18"/>
          <w:szCs w:val="18"/>
        </w:rPr>
        <w:t xml:space="preserve">Date of Final acceptance: 02 March 2023  </w:t>
      </w:r>
    </w:p>
    <w:p w:rsidR="00E82FB2" w:rsidRPr="00544D48" w:rsidRDefault="00E82FB2" w:rsidP="00E82FB2">
      <w:pPr>
        <w:spacing w:after="0" w:line="360" w:lineRule="auto"/>
        <w:jc w:val="both"/>
        <w:rPr>
          <w:rFonts w:asciiTheme="majorHAnsi" w:hAnsiTheme="majorHAnsi" w:cstheme="minorHAnsi"/>
          <w:bCs/>
          <w:sz w:val="18"/>
          <w:szCs w:val="18"/>
        </w:rPr>
      </w:pPr>
      <w:r w:rsidRPr="00544D48">
        <w:rPr>
          <w:rFonts w:asciiTheme="majorHAnsi" w:hAnsiTheme="majorHAnsi" w:cstheme="minorHAnsi"/>
          <w:bCs/>
          <w:sz w:val="18"/>
          <w:szCs w:val="18"/>
        </w:rPr>
        <w:t>Date of Publication: 30 March 2023</w:t>
      </w:r>
    </w:p>
    <w:p w:rsidR="00E82FB2" w:rsidRPr="00544D48" w:rsidRDefault="00E82FB2" w:rsidP="00E82FB2">
      <w:pPr>
        <w:spacing w:after="0" w:line="360" w:lineRule="auto"/>
        <w:jc w:val="both"/>
        <w:rPr>
          <w:rFonts w:asciiTheme="majorHAnsi" w:hAnsiTheme="majorHAnsi" w:cstheme="minorHAnsi"/>
          <w:bCs/>
          <w:sz w:val="18"/>
          <w:szCs w:val="18"/>
        </w:rPr>
      </w:pPr>
      <w:r w:rsidRPr="00544D48">
        <w:rPr>
          <w:rFonts w:asciiTheme="majorHAnsi" w:hAnsiTheme="majorHAnsi" w:cstheme="minorHAnsi"/>
          <w:bCs/>
          <w:sz w:val="18"/>
          <w:szCs w:val="18"/>
        </w:rPr>
        <w:t xml:space="preserve">Source of support: Nil </w:t>
      </w:r>
      <w:r w:rsidRPr="00544D48">
        <w:rPr>
          <w:rFonts w:asciiTheme="majorHAnsi" w:hAnsiTheme="majorHAnsi" w:cstheme="minorHAnsi"/>
          <w:bCs/>
          <w:sz w:val="18"/>
          <w:szCs w:val="18"/>
        </w:rPr>
        <w:tab/>
      </w:r>
    </w:p>
    <w:p w:rsidR="00E82FB2" w:rsidRPr="00544D48" w:rsidRDefault="00E82FB2" w:rsidP="00E82FB2">
      <w:pPr>
        <w:spacing w:after="0" w:line="360" w:lineRule="auto"/>
        <w:jc w:val="both"/>
        <w:rPr>
          <w:rFonts w:asciiTheme="majorHAnsi" w:hAnsiTheme="majorHAnsi" w:cstheme="minorHAnsi"/>
          <w:bCs/>
          <w:sz w:val="18"/>
          <w:szCs w:val="18"/>
        </w:rPr>
      </w:pPr>
      <w:r w:rsidRPr="00544D48">
        <w:rPr>
          <w:rFonts w:asciiTheme="majorHAnsi" w:hAnsiTheme="majorHAnsi" w:cstheme="minorHAnsi"/>
          <w:bCs/>
          <w:sz w:val="18"/>
          <w:szCs w:val="18"/>
        </w:rPr>
        <w:t>Conflict of interest: Nil</w:t>
      </w:r>
    </w:p>
    <w:p w:rsidR="00B12716" w:rsidRPr="00B12716" w:rsidRDefault="00B12716" w:rsidP="00B12716">
      <w:pPr>
        <w:spacing w:after="0" w:line="360" w:lineRule="auto"/>
        <w:rPr>
          <w:rFonts w:ascii="Times New Roman" w:hAnsi="Times New Roman" w:cs="Times New Roman"/>
          <w:b/>
          <w:sz w:val="20"/>
          <w:szCs w:val="20"/>
        </w:rPr>
      </w:pPr>
    </w:p>
    <w:p w:rsidR="00B12716" w:rsidRPr="00B12716" w:rsidRDefault="00D8063C" w:rsidP="00B12716">
      <w:pPr>
        <w:spacing w:after="0" w:line="360" w:lineRule="auto"/>
        <w:jc w:val="both"/>
        <w:rPr>
          <w:rFonts w:ascii="Times New Roman" w:hAnsi="Times New Roman" w:cs="Times New Roman"/>
          <w:b/>
          <w:sz w:val="20"/>
          <w:szCs w:val="20"/>
        </w:rPr>
      </w:pPr>
      <w:r w:rsidRPr="00B12716">
        <w:rPr>
          <w:rFonts w:ascii="Times New Roman" w:hAnsi="Times New Roman" w:cs="Times New Roman"/>
          <w:b/>
          <w:sz w:val="20"/>
          <w:szCs w:val="20"/>
        </w:rPr>
        <w:t xml:space="preserve">Abstract: </w:t>
      </w:r>
    </w:p>
    <w:p w:rsidR="00D8063C" w:rsidRPr="00811A65" w:rsidRDefault="00D8063C" w:rsidP="00B12716">
      <w:pPr>
        <w:spacing w:after="0" w:line="360" w:lineRule="auto"/>
        <w:jc w:val="both"/>
        <w:rPr>
          <w:rFonts w:ascii="Times New Roman" w:hAnsi="Times New Roman" w:cs="Times New Roman"/>
          <w:sz w:val="18"/>
          <w:szCs w:val="18"/>
        </w:rPr>
      </w:pPr>
      <w:r w:rsidRPr="00811A65">
        <w:rPr>
          <w:rFonts w:ascii="Times New Roman" w:hAnsi="Times New Roman" w:cs="Times New Roman"/>
          <w:sz w:val="18"/>
          <w:szCs w:val="18"/>
        </w:rPr>
        <w:t>Background: Laryngoscopy and endotracheal intubation are essential procedures in surgical settings, but they can induce significant hemodynamic stress responses. Pharmacological agents like intravenous magnesium sulphate and dexmedetomidine have been studied for their potential to mitigate these responses.</w:t>
      </w:r>
    </w:p>
    <w:p w:rsidR="00D8063C" w:rsidRPr="00811A65" w:rsidRDefault="00D8063C" w:rsidP="00B12716">
      <w:pPr>
        <w:spacing w:after="0" w:line="360" w:lineRule="auto"/>
        <w:jc w:val="both"/>
        <w:rPr>
          <w:rFonts w:ascii="Times New Roman" w:hAnsi="Times New Roman" w:cs="Times New Roman"/>
          <w:sz w:val="18"/>
          <w:szCs w:val="18"/>
        </w:rPr>
      </w:pPr>
      <w:r w:rsidRPr="00811A65">
        <w:rPr>
          <w:rFonts w:ascii="Times New Roman" w:hAnsi="Times New Roman" w:cs="Times New Roman"/>
          <w:sz w:val="18"/>
          <w:szCs w:val="18"/>
        </w:rPr>
        <w:t>Objective: This prospective, comparative study aimed to evaluate and compare the effects of intravenous magnesium sulphate and dexmedetomidine in attenuating the hemodynamic stress response during laryngoscopy and endotracheal intubation.</w:t>
      </w:r>
    </w:p>
    <w:p w:rsidR="00D8063C" w:rsidRPr="00811A65" w:rsidRDefault="00D8063C" w:rsidP="00B12716">
      <w:pPr>
        <w:spacing w:after="0" w:line="360" w:lineRule="auto"/>
        <w:jc w:val="both"/>
        <w:rPr>
          <w:rFonts w:ascii="Times New Roman" w:hAnsi="Times New Roman" w:cs="Times New Roman"/>
          <w:sz w:val="18"/>
          <w:szCs w:val="18"/>
        </w:rPr>
      </w:pPr>
      <w:r w:rsidRPr="00811A65">
        <w:rPr>
          <w:rFonts w:ascii="Times New Roman" w:hAnsi="Times New Roman" w:cs="Times New Roman"/>
          <w:sz w:val="18"/>
          <w:szCs w:val="18"/>
        </w:rPr>
        <w:t>Methods: The study was conducted at a tertiary care center and involved 60 patients, randomly assigned into two groups. Group A (n=30) received intravenous magnesium sulphate (50mg/kg) and normal saline, while Group B (n=30) received intravenous dexmedetomidine (1mcg/kg) and normal saline. The patients' demographics, including gender and body mass index (BMI), were recorded. Side effects, such as dry mouth, nausea, and vomiting, were also assessed.</w:t>
      </w:r>
    </w:p>
    <w:p w:rsidR="00D8063C" w:rsidRPr="00811A65" w:rsidRDefault="00D8063C" w:rsidP="00B12716">
      <w:pPr>
        <w:spacing w:after="0" w:line="360" w:lineRule="auto"/>
        <w:jc w:val="both"/>
        <w:rPr>
          <w:rFonts w:ascii="Times New Roman" w:hAnsi="Times New Roman" w:cs="Times New Roman"/>
          <w:sz w:val="18"/>
          <w:szCs w:val="18"/>
        </w:rPr>
      </w:pPr>
      <w:r w:rsidRPr="00811A65">
        <w:rPr>
          <w:rFonts w:ascii="Times New Roman" w:hAnsi="Times New Roman" w:cs="Times New Roman"/>
          <w:sz w:val="18"/>
          <w:szCs w:val="18"/>
        </w:rPr>
        <w:t>Results: Both groups showed comparable baseline characteristics in terms of gender distribution and BMI. The incidence of side effects, including dry mouth, nausea, and vomiting, was low in both groups, with no significant difference observed between them (p&gt;0.05).</w:t>
      </w:r>
    </w:p>
    <w:p w:rsidR="00D8063C" w:rsidRPr="00811A65" w:rsidRDefault="00D8063C" w:rsidP="00B12716">
      <w:pPr>
        <w:spacing w:after="0" w:line="360" w:lineRule="auto"/>
        <w:jc w:val="both"/>
        <w:rPr>
          <w:rFonts w:ascii="Times New Roman" w:hAnsi="Times New Roman" w:cs="Times New Roman"/>
          <w:sz w:val="18"/>
          <w:szCs w:val="18"/>
        </w:rPr>
      </w:pPr>
      <w:r w:rsidRPr="00811A65">
        <w:rPr>
          <w:rFonts w:ascii="Times New Roman" w:hAnsi="Times New Roman" w:cs="Times New Roman"/>
          <w:sz w:val="18"/>
          <w:szCs w:val="18"/>
        </w:rPr>
        <w:t>Conclusion: Intravenous magnesium sulphate and dexmedetomidine demonstrated similar safety profiles in attenuating the hemodynamic stress response during laryngoscopy and endotracheal intubation. Both drugs were well-tolerated, and the incidence of side effects was minimal. These findings support their use as effective pharmacological agents for airway management during elective non-cardiac surgeries.</w:t>
      </w:r>
    </w:p>
    <w:p w:rsidR="00D8063C" w:rsidRPr="00811A65" w:rsidRDefault="00D8063C" w:rsidP="00B12716">
      <w:pPr>
        <w:spacing w:after="0" w:line="360" w:lineRule="auto"/>
        <w:jc w:val="both"/>
        <w:rPr>
          <w:rFonts w:ascii="Times New Roman" w:hAnsi="Times New Roman" w:cs="Times New Roman"/>
          <w:sz w:val="18"/>
          <w:szCs w:val="18"/>
        </w:rPr>
      </w:pPr>
      <w:r w:rsidRPr="00811A65">
        <w:rPr>
          <w:rFonts w:ascii="Times New Roman" w:hAnsi="Times New Roman" w:cs="Times New Roman"/>
          <w:sz w:val="18"/>
          <w:szCs w:val="18"/>
        </w:rPr>
        <w:t>Keywords: Laryngoscopy, Endotracheal Intubation, Hemodynamic Stress Response</w:t>
      </w:r>
    </w:p>
    <w:p w:rsidR="00C07863" w:rsidRPr="00B12716" w:rsidRDefault="00C07863" w:rsidP="00B12716">
      <w:pPr>
        <w:spacing w:after="0" w:line="360" w:lineRule="auto"/>
        <w:rPr>
          <w:rFonts w:ascii="Times New Roman" w:hAnsi="Times New Roman" w:cs="Times New Roman"/>
          <w:sz w:val="20"/>
          <w:szCs w:val="20"/>
        </w:rPr>
      </w:pPr>
    </w:p>
    <w:p w:rsidR="00C07863" w:rsidRPr="00B12716" w:rsidRDefault="00C07863" w:rsidP="00B12716">
      <w:pPr>
        <w:spacing w:after="0" w:line="360" w:lineRule="auto"/>
        <w:jc w:val="both"/>
        <w:rPr>
          <w:rFonts w:ascii="Times New Roman" w:hAnsi="Times New Roman" w:cs="Times New Roman"/>
          <w:b/>
          <w:sz w:val="20"/>
          <w:szCs w:val="20"/>
        </w:rPr>
      </w:pPr>
      <w:r w:rsidRPr="00B12716">
        <w:rPr>
          <w:rFonts w:ascii="Times New Roman" w:hAnsi="Times New Roman" w:cs="Times New Roman"/>
          <w:b/>
          <w:sz w:val="20"/>
          <w:szCs w:val="20"/>
        </w:rPr>
        <w:t>Introduction:</w:t>
      </w:r>
    </w:p>
    <w:p w:rsidR="00C07863" w:rsidRPr="00B12716" w:rsidRDefault="00C07863" w:rsidP="00B12716">
      <w:pPr>
        <w:spacing w:after="0" w:line="360" w:lineRule="auto"/>
        <w:jc w:val="both"/>
        <w:rPr>
          <w:rFonts w:ascii="Times New Roman" w:hAnsi="Times New Roman" w:cs="Times New Roman"/>
          <w:sz w:val="20"/>
          <w:szCs w:val="20"/>
        </w:rPr>
      </w:pPr>
      <w:r w:rsidRPr="00B12716">
        <w:rPr>
          <w:rFonts w:ascii="Times New Roman" w:hAnsi="Times New Roman" w:cs="Times New Roman"/>
          <w:sz w:val="20"/>
          <w:szCs w:val="20"/>
        </w:rPr>
        <w:t xml:space="preserve">Laryngoscopy and endotracheal intubation are commonly performed medical procedures in various surgical and emergency settings. While these interventions are essential for airway management, they can elicit significant physiological responses, particularly on the cardiovascular system. One of the primary concerns during these </w:t>
      </w:r>
      <w:r w:rsidRPr="00B12716">
        <w:rPr>
          <w:rFonts w:ascii="Times New Roman" w:hAnsi="Times New Roman" w:cs="Times New Roman"/>
          <w:sz w:val="20"/>
          <w:szCs w:val="20"/>
        </w:rPr>
        <w:lastRenderedPageBreak/>
        <w:t>procedures is the hemodynamic changes, including an increase in heart rate and blood pressure, which may be detrimental to patients with pre-existing cardiovascular conditions or those undergoing high-risk surgeries.</w:t>
      </w:r>
    </w:p>
    <w:p w:rsidR="00C07863" w:rsidRPr="00B12716" w:rsidRDefault="00C07863" w:rsidP="00B12716">
      <w:pPr>
        <w:spacing w:after="0" w:line="360" w:lineRule="auto"/>
        <w:jc w:val="both"/>
        <w:rPr>
          <w:rFonts w:ascii="Times New Roman" w:hAnsi="Times New Roman" w:cs="Times New Roman"/>
          <w:sz w:val="20"/>
          <w:szCs w:val="20"/>
        </w:rPr>
      </w:pPr>
      <w:r w:rsidRPr="00B12716">
        <w:rPr>
          <w:rFonts w:ascii="Times New Roman" w:hAnsi="Times New Roman" w:cs="Times New Roman"/>
          <w:sz w:val="20"/>
          <w:szCs w:val="20"/>
        </w:rPr>
        <w:t>Intravenous Magnesium sulphate has emerged as a potential pharmacological agent to mitigate the adverse hemodynamic effects of laryngoscopy and endotracheal intubation. Magnesium, an essential cation in various cellular processes, possesses vasodilatory and anti-arrhythmic properties, making it a promising candidate for attenuating the cardiovascular response to these procedures. Its ability to antagonize calcium influx and modulate smooth muscle contractility has been well-documented, indicating its potential to decrease systemic vascular resistance and stabilize cardiac rhythms.</w:t>
      </w:r>
    </w:p>
    <w:p w:rsidR="00C07863" w:rsidRPr="00B12716" w:rsidRDefault="00C07863" w:rsidP="00B12716">
      <w:pPr>
        <w:spacing w:after="0" w:line="360" w:lineRule="auto"/>
        <w:jc w:val="both"/>
        <w:rPr>
          <w:rFonts w:ascii="Times New Roman" w:hAnsi="Times New Roman" w:cs="Times New Roman"/>
          <w:sz w:val="20"/>
          <w:szCs w:val="20"/>
        </w:rPr>
      </w:pPr>
      <w:r w:rsidRPr="00B12716">
        <w:rPr>
          <w:rFonts w:ascii="Times New Roman" w:hAnsi="Times New Roman" w:cs="Times New Roman"/>
          <w:sz w:val="20"/>
          <w:szCs w:val="20"/>
        </w:rPr>
        <w:t>Several studies have investigated the effects of Intravenous Magnesium sulphate on heart rate and blood pressure during laryngoscopy and endotracheal intubation. However, there remains a need for a comprehensive and up-to-date review of the existing literature, considering the variability in patient populations, dosage regimens, and procedural techniques. Therefore, this study aims to systematically analyze and synthesize the available evidence to determine the efficacy and safety of Intravenous Magnesium sulphate as a premedication agent in attenuating the cardiovascular response to laryngoscopy and endotracheal intubation. The findings from this study may have significant clinical implications for optimizing patient care during these critical interventions and improving outcomes for patients at risk of adverse cardiovascular events.</w:t>
      </w:r>
    </w:p>
    <w:p w:rsidR="00C07863" w:rsidRPr="00B12716" w:rsidRDefault="00C07863" w:rsidP="00B12716">
      <w:pPr>
        <w:spacing w:after="0" w:line="360" w:lineRule="auto"/>
        <w:jc w:val="both"/>
        <w:rPr>
          <w:rFonts w:ascii="Times New Roman" w:hAnsi="Times New Roman" w:cs="Times New Roman"/>
          <w:b/>
          <w:sz w:val="20"/>
          <w:szCs w:val="20"/>
        </w:rPr>
      </w:pPr>
      <w:r w:rsidRPr="00B12716">
        <w:rPr>
          <w:rFonts w:ascii="Times New Roman" w:hAnsi="Times New Roman" w:cs="Times New Roman"/>
          <w:b/>
          <w:sz w:val="20"/>
          <w:szCs w:val="20"/>
        </w:rPr>
        <w:t>Material and methods:</w:t>
      </w:r>
    </w:p>
    <w:p w:rsidR="00EC1D37" w:rsidRPr="00B12716" w:rsidRDefault="00EC1D37" w:rsidP="00B12716">
      <w:pPr>
        <w:spacing w:after="0" w:line="360" w:lineRule="auto"/>
        <w:jc w:val="both"/>
        <w:rPr>
          <w:rFonts w:ascii="Times New Roman" w:hAnsi="Times New Roman" w:cs="Times New Roman"/>
          <w:sz w:val="20"/>
          <w:szCs w:val="20"/>
        </w:rPr>
      </w:pPr>
      <w:r w:rsidRPr="00B12716">
        <w:rPr>
          <w:rFonts w:ascii="Times New Roman" w:hAnsi="Times New Roman" w:cs="Times New Roman"/>
          <w:sz w:val="20"/>
          <w:szCs w:val="20"/>
        </w:rPr>
        <w:t>This hospital-based prospective, comparative study aimed to evaluate and compare the efficacy of intravenous 50% magnesium sulphate (MgSO4) and dexmedetomidine in attenuating the hemodynamic stress response during laryngoscopy and endotracheal intubation. The study was conducted over a period of 18 months at a tertiary care center in the Department of Anaesthesiology, encompassing both outpatient and inpatient settings.</w:t>
      </w:r>
    </w:p>
    <w:p w:rsidR="00EC1D37" w:rsidRPr="00B12716" w:rsidRDefault="00EC1D37" w:rsidP="00B12716">
      <w:pPr>
        <w:spacing w:after="0" w:line="360" w:lineRule="auto"/>
        <w:jc w:val="both"/>
        <w:rPr>
          <w:rFonts w:ascii="Times New Roman" w:hAnsi="Times New Roman" w:cs="Times New Roman"/>
          <w:sz w:val="20"/>
          <w:szCs w:val="20"/>
        </w:rPr>
      </w:pPr>
      <w:r w:rsidRPr="00B12716">
        <w:rPr>
          <w:rFonts w:ascii="Times New Roman" w:hAnsi="Times New Roman" w:cs="Times New Roman"/>
          <w:sz w:val="20"/>
          <w:szCs w:val="20"/>
        </w:rPr>
        <w:t>The study population comprised patients of both sexes, aged between 18 and 50 years, belonging to American Society of Anesthesiologists (ASA) grade I and II. These patients were scheduled for elective non-cardiac surgeries under general anesthesia. To ensure homogeneity in the study groups, patients with Mallampati airway assessment grades I and II were included. Additionally, patients were required to understand Hindi, Marathi, or English and provide written informed consent for participation.</w:t>
      </w:r>
    </w:p>
    <w:p w:rsidR="00EC1D37" w:rsidRPr="00B12716" w:rsidRDefault="00EC1D37" w:rsidP="00B12716">
      <w:pPr>
        <w:spacing w:after="0" w:line="360" w:lineRule="auto"/>
        <w:jc w:val="both"/>
        <w:rPr>
          <w:rFonts w:ascii="Times New Roman" w:hAnsi="Times New Roman" w:cs="Times New Roman"/>
          <w:sz w:val="20"/>
          <w:szCs w:val="20"/>
        </w:rPr>
      </w:pPr>
      <w:r w:rsidRPr="00B12716">
        <w:rPr>
          <w:rFonts w:ascii="Times New Roman" w:hAnsi="Times New Roman" w:cs="Times New Roman"/>
          <w:sz w:val="20"/>
          <w:szCs w:val="20"/>
        </w:rPr>
        <w:t>The sample size for the study consisted of 60 patients, randomly allocated into two groups. Group A, consisting of 30 patients, received intravenous injections of magnesium sulphate at a dose of 50mg/kg, along with 10ml of 0.9% normal saline. Group B, also comprising 30 patients, was administered intravenous dexmedetomidine at a dose of 1mcg/kg, along with 10ml of 0.9% normal saline.</w:t>
      </w:r>
    </w:p>
    <w:p w:rsidR="00EC1D37" w:rsidRPr="00B12716" w:rsidRDefault="00EC1D37" w:rsidP="00B12716">
      <w:pPr>
        <w:spacing w:after="0" w:line="360" w:lineRule="auto"/>
        <w:jc w:val="both"/>
        <w:rPr>
          <w:rFonts w:ascii="Times New Roman" w:hAnsi="Times New Roman" w:cs="Times New Roman"/>
          <w:sz w:val="20"/>
          <w:szCs w:val="20"/>
        </w:rPr>
      </w:pPr>
      <w:r w:rsidRPr="00B12716">
        <w:rPr>
          <w:rFonts w:ascii="Times New Roman" w:hAnsi="Times New Roman" w:cs="Times New Roman"/>
          <w:sz w:val="20"/>
          <w:szCs w:val="20"/>
        </w:rPr>
        <w:t>Certain exclusion criteria were applied to ensure the validity of the study. Patients requiring emergency surgeries or those with anticipated difficult intubation were excluded. Patients with hematological diseases, bleeding disorders, abnormal coagulopathy, or cardiovascular conditions such as rheumatic heart disease (RHD) or ischemic heart disease (IHD) were also excluded from the study. Patients who were on beta blockers or calcium channel blockers were not included in the study population.</w:t>
      </w:r>
    </w:p>
    <w:p w:rsidR="00EC1D37" w:rsidRPr="00B12716" w:rsidRDefault="00EC1D37" w:rsidP="00B12716">
      <w:pPr>
        <w:spacing w:after="0" w:line="360" w:lineRule="auto"/>
        <w:jc w:val="both"/>
        <w:rPr>
          <w:rFonts w:ascii="Times New Roman" w:hAnsi="Times New Roman" w:cs="Times New Roman"/>
          <w:sz w:val="20"/>
          <w:szCs w:val="20"/>
        </w:rPr>
      </w:pPr>
      <w:r w:rsidRPr="00B12716">
        <w:rPr>
          <w:rFonts w:ascii="Times New Roman" w:hAnsi="Times New Roman" w:cs="Times New Roman"/>
          <w:sz w:val="20"/>
          <w:szCs w:val="20"/>
        </w:rPr>
        <w:t>By comparing the effects of magnesium sulphate and dexmedetomidine in attenuating the hemodynamic stress response during laryngoscopy and endotracheal intubation, this study aimed to provide valuable insights into the use of these pharmacological agents in improving patient outcomes during elective non-cardiac surgeries. The findings from this research hold the potential to influence clinical practice, enhancing the safety and efficacy of airway management in these surgical settings.</w:t>
      </w:r>
    </w:p>
    <w:p w:rsidR="00C07863" w:rsidRPr="00B12716" w:rsidRDefault="00B12716" w:rsidP="00B12716">
      <w:pPr>
        <w:spacing w:after="0" w:line="360" w:lineRule="auto"/>
        <w:jc w:val="both"/>
        <w:rPr>
          <w:rFonts w:ascii="Times New Roman" w:hAnsi="Times New Roman" w:cs="Times New Roman"/>
          <w:b/>
          <w:sz w:val="20"/>
          <w:szCs w:val="20"/>
        </w:rPr>
      </w:pPr>
      <w:r w:rsidRPr="00B12716">
        <w:rPr>
          <w:rFonts w:ascii="Times New Roman" w:hAnsi="Times New Roman" w:cs="Times New Roman"/>
          <w:b/>
          <w:sz w:val="20"/>
          <w:szCs w:val="20"/>
        </w:rPr>
        <w:t>Results:</w:t>
      </w:r>
      <w:r w:rsidR="00EC1D37" w:rsidRPr="00B12716">
        <w:rPr>
          <w:rFonts w:ascii="Times New Roman" w:hAnsi="Times New Roman" w:cs="Times New Roman"/>
          <w:b/>
          <w:sz w:val="20"/>
          <w:szCs w:val="20"/>
        </w:rPr>
        <w:t xml:space="preserve"> </w:t>
      </w:r>
    </w:p>
    <w:p w:rsidR="00EC1D37" w:rsidRPr="00B12716" w:rsidRDefault="00EC1D37" w:rsidP="00B12716">
      <w:pPr>
        <w:spacing w:after="0" w:line="360" w:lineRule="auto"/>
        <w:jc w:val="both"/>
        <w:rPr>
          <w:rFonts w:ascii="Times New Roman" w:hAnsi="Times New Roman" w:cs="Times New Roman"/>
          <w:sz w:val="20"/>
          <w:szCs w:val="20"/>
        </w:rPr>
      </w:pPr>
      <w:r w:rsidRPr="00B12716">
        <w:rPr>
          <w:rFonts w:ascii="Times New Roman" w:hAnsi="Times New Roman" w:cs="Times New Roman"/>
          <w:sz w:val="20"/>
          <w:szCs w:val="20"/>
        </w:rPr>
        <w:t>The study groups, Group A and Group B, were well-balanced in terms of gender distribution, with Group A comprising 10 male patients (33.3%) and 20 female patients (66.7%), while Group B had 7 male patients (23.3%) and 23 female patients (76.7%). The chi-square test revealed no statistically significant difference between the two groups concerning gender distribution (p&gt;0.05). Similarly, the distribution of body mass index (BMI) categories was comparable between the groups. In Group A, 18 patients (60%) fell within the normal BMI range, whereas 6 patients (20%) were classified as overweight, and another 6 patients (20%) were categorized as obese. In Group B, 20 patients (66.7%) had a normal BMI, while 7 patients (23.3%) were overweight, and 3 patients (10%) were obese. The mean BMI for patients in Group A and Group B was 25.47±3.81 kg/m2 and 24.49±3.09 kg/m2, respectively. The difference in mean BMI between the two groups was not statistically significant, as determined by the Student t-test (p&gt;0.05).</w:t>
      </w:r>
    </w:p>
    <w:p w:rsidR="00EC1D37" w:rsidRPr="00B12716" w:rsidRDefault="00EC1D37" w:rsidP="00B12716">
      <w:pPr>
        <w:spacing w:after="0" w:line="360" w:lineRule="auto"/>
        <w:jc w:val="both"/>
        <w:rPr>
          <w:rFonts w:ascii="Times New Roman" w:hAnsi="Times New Roman" w:cs="Times New Roman"/>
          <w:sz w:val="20"/>
          <w:szCs w:val="20"/>
        </w:rPr>
      </w:pPr>
      <w:r w:rsidRPr="00B12716">
        <w:rPr>
          <w:rFonts w:ascii="Times New Roman" w:hAnsi="Times New Roman" w:cs="Times New Roman"/>
          <w:sz w:val="20"/>
          <w:szCs w:val="20"/>
        </w:rPr>
        <w:t>The balanced distribution of gender and BMI across both groups supports the internal validity of the study and reduces potential biases related to these factors. By establishing comparable baseline characteristics, the researchers ensured that any observed differences in hemodynamic responses during laryngoscopy and endotracheal intubation can be more confidently attributed to the effects of the administered medications (intravenous magnesium sulphate or dexmedetomidine) rather than patient demographics or body composition. These findings enhance the reliability and generalizability of the study results, providing valuable insights into the comparative effectiveness of the two pharmacological agents in attenuating the hemodynamic stress response in the context of airway management during elective non-cardiac surgeries.</w:t>
      </w:r>
    </w:p>
    <w:p w:rsidR="00EC1D37" w:rsidRPr="00B12716" w:rsidRDefault="00EC1D37" w:rsidP="00B12716">
      <w:pPr>
        <w:spacing w:after="0" w:line="360" w:lineRule="auto"/>
        <w:rPr>
          <w:rFonts w:ascii="Times New Roman" w:hAnsi="Times New Roman" w:cs="Times New Roman"/>
          <w:b/>
          <w:bCs/>
          <w:sz w:val="20"/>
          <w:szCs w:val="20"/>
          <w:lang w:val="en-US"/>
        </w:rPr>
      </w:pPr>
      <w:r w:rsidRPr="00B12716">
        <w:rPr>
          <w:rFonts w:ascii="Times New Roman" w:hAnsi="Times New Roman" w:cs="Times New Roman"/>
          <w:b/>
          <w:bCs/>
          <w:sz w:val="20"/>
          <w:szCs w:val="20"/>
          <w:lang w:val="en-US"/>
        </w:rPr>
        <w:t>Comparison of Heart Rate (per min) at various time intervals</w:t>
      </w:r>
    </w:p>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Intraoperatively throughout the study heart rate values were comparable in both the groups. There was no significant difference between the groups as per Student t-test (p&gt;0.05).</w:t>
      </w:r>
    </w:p>
    <w:p w:rsidR="00EC1D37" w:rsidRPr="00B12716" w:rsidRDefault="00B12716" w:rsidP="00B12716">
      <w:pPr>
        <w:spacing w:after="0" w:line="36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Table 1</w:t>
      </w:r>
      <w:r w:rsidR="00EC1D37" w:rsidRPr="00B12716">
        <w:rPr>
          <w:rFonts w:ascii="Times New Roman" w:hAnsi="Times New Roman" w:cs="Times New Roman"/>
          <w:b/>
          <w:bCs/>
          <w:sz w:val="20"/>
          <w:szCs w:val="20"/>
          <w:lang w:val="en-US"/>
        </w:rPr>
        <w:t>: Comparison of Heart Rate (per min) at various time intervals</w:t>
      </w:r>
    </w:p>
    <w:tbl>
      <w:tblPr>
        <w:tblpPr w:leftFromText="180" w:rightFromText="180" w:vertAnchor="text" w:horzAnchor="margin" w:tblpXSpec="center" w:tblpY="2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989"/>
        <w:gridCol w:w="961"/>
        <w:gridCol w:w="893"/>
        <w:gridCol w:w="978"/>
        <w:gridCol w:w="997"/>
      </w:tblGrid>
      <w:tr w:rsidR="00EC1D37" w:rsidRPr="00B12716" w:rsidTr="00EC1D37">
        <w:trPr>
          <w:trHeight w:val="554"/>
        </w:trPr>
        <w:tc>
          <w:tcPr>
            <w:tcW w:w="2127" w:type="dxa"/>
            <w:vMerge w:val="restart"/>
            <w:shd w:val="clear" w:color="auto" w:fill="92D050"/>
          </w:tcPr>
          <w:p w:rsidR="00EC1D37" w:rsidRPr="00B12716" w:rsidRDefault="00EC1D37" w:rsidP="00B12716">
            <w:pPr>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Heart Rate (per</w:t>
            </w:r>
          </w:p>
          <w:p w:rsidR="00EC1D37" w:rsidRPr="00B12716" w:rsidRDefault="00EC1D37" w:rsidP="00B12716">
            <w:pPr>
              <w:spacing w:after="0" w:line="360" w:lineRule="auto"/>
              <w:rPr>
                <w:rFonts w:ascii="Times New Roman" w:hAnsi="Times New Roman" w:cs="Times New Roman"/>
                <w:b/>
                <w:sz w:val="20"/>
                <w:szCs w:val="20"/>
                <w:lang w:val="en-US"/>
              </w:rPr>
            </w:pPr>
          </w:p>
          <w:p w:rsidR="00EC1D37" w:rsidRPr="00B12716" w:rsidRDefault="00EC1D37" w:rsidP="00B12716">
            <w:pPr>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min)</w:t>
            </w:r>
          </w:p>
        </w:tc>
        <w:tc>
          <w:tcPr>
            <w:tcW w:w="1950" w:type="dxa"/>
            <w:gridSpan w:val="2"/>
            <w:shd w:val="clear" w:color="auto" w:fill="92D050"/>
          </w:tcPr>
          <w:p w:rsidR="00EC1D37" w:rsidRPr="00B12716" w:rsidRDefault="00EC1D37" w:rsidP="00B12716">
            <w:pPr>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Group A</w:t>
            </w:r>
          </w:p>
        </w:tc>
        <w:tc>
          <w:tcPr>
            <w:tcW w:w="1871" w:type="dxa"/>
            <w:gridSpan w:val="2"/>
            <w:shd w:val="clear" w:color="auto" w:fill="92D050"/>
          </w:tcPr>
          <w:p w:rsidR="00EC1D37" w:rsidRPr="00B12716" w:rsidRDefault="00EC1D37" w:rsidP="00B12716">
            <w:pPr>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Group B</w:t>
            </w:r>
          </w:p>
        </w:tc>
        <w:tc>
          <w:tcPr>
            <w:tcW w:w="997" w:type="dxa"/>
            <w:vMerge w:val="restart"/>
            <w:shd w:val="clear" w:color="auto" w:fill="92D050"/>
          </w:tcPr>
          <w:p w:rsidR="00EC1D37" w:rsidRPr="00B12716" w:rsidRDefault="00EC1D37" w:rsidP="00B12716">
            <w:pPr>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p</w:t>
            </w:r>
          </w:p>
          <w:p w:rsidR="00EC1D37" w:rsidRPr="00B12716" w:rsidRDefault="00EC1D37" w:rsidP="00B12716">
            <w:pPr>
              <w:spacing w:after="0" w:line="360" w:lineRule="auto"/>
              <w:rPr>
                <w:rFonts w:ascii="Times New Roman" w:hAnsi="Times New Roman" w:cs="Times New Roman"/>
                <w:b/>
                <w:sz w:val="20"/>
                <w:szCs w:val="20"/>
                <w:lang w:val="en-US"/>
              </w:rPr>
            </w:pPr>
          </w:p>
          <w:p w:rsidR="00EC1D37" w:rsidRPr="00B12716" w:rsidRDefault="00EC1D37" w:rsidP="00B12716">
            <w:pPr>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value</w:t>
            </w:r>
          </w:p>
        </w:tc>
      </w:tr>
      <w:tr w:rsidR="00EC1D37" w:rsidRPr="00B12716" w:rsidTr="00EC1D37">
        <w:trPr>
          <w:trHeight w:val="549"/>
        </w:trPr>
        <w:tc>
          <w:tcPr>
            <w:tcW w:w="2127" w:type="dxa"/>
            <w:vMerge/>
            <w:tcBorders>
              <w:top w:val="nil"/>
            </w:tcBorders>
            <w:shd w:val="clear" w:color="auto" w:fill="92D050"/>
          </w:tcPr>
          <w:p w:rsidR="00EC1D37" w:rsidRPr="00B12716" w:rsidRDefault="00EC1D37" w:rsidP="00B12716">
            <w:pPr>
              <w:spacing w:after="0" w:line="360" w:lineRule="auto"/>
              <w:rPr>
                <w:rFonts w:ascii="Times New Roman" w:hAnsi="Times New Roman" w:cs="Times New Roman"/>
                <w:sz w:val="20"/>
                <w:szCs w:val="20"/>
                <w:lang w:val="en-US"/>
              </w:rPr>
            </w:pPr>
          </w:p>
        </w:tc>
        <w:tc>
          <w:tcPr>
            <w:tcW w:w="989" w:type="dxa"/>
            <w:shd w:val="clear" w:color="auto" w:fill="92D050"/>
          </w:tcPr>
          <w:p w:rsidR="00EC1D37" w:rsidRPr="00B12716" w:rsidRDefault="00EC1D37" w:rsidP="00B12716">
            <w:pPr>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Mean</w:t>
            </w:r>
          </w:p>
        </w:tc>
        <w:tc>
          <w:tcPr>
            <w:tcW w:w="961" w:type="dxa"/>
            <w:shd w:val="clear" w:color="auto" w:fill="92D050"/>
          </w:tcPr>
          <w:p w:rsidR="00EC1D37" w:rsidRPr="00B12716" w:rsidRDefault="00EC1D37" w:rsidP="00B12716">
            <w:pPr>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SD</w:t>
            </w:r>
          </w:p>
        </w:tc>
        <w:tc>
          <w:tcPr>
            <w:tcW w:w="893" w:type="dxa"/>
            <w:shd w:val="clear" w:color="auto" w:fill="92D050"/>
          </w:tcPr>
          <w:p w:rsidR="00EC1D37" w:rsidRPr="00B12716" w:rsidRDefault="00EC1D37" w:rsidP="00B12716">
            <w:pPr>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Mean</w:t>
            </w:r>
          </w:p>
        </w:tc>
        <w:tc>
          <w:tcPr>
            <w:tcW w:w="978" w:type="dxa"/>
            <w:shd w:val="clear" w:color="auto" w:fill="92D050"/>
          </w:tcPr>
          <w:p w:rsidR="00EC1D37" w:rsidRPr="00B12716" w:rsidRDefault="00EC1D37" w:rsidP="00B12716">
            <w:pPr>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SD</w:t>
            </w:r>
          </w:p>
        </w:tc>
        <w:tc>
          <w:tcPr>
            <w:tcW w:w="997" w:type="dxa"/>
            <w:vMerge/>
            <w:tcBorders>
              <w:top w:val="nil"/>
            </w:tcBorders>
            <w:shd w:val="clear" w:color="auto" w:fill="92D050"/>
          </w:tcPr>
          <w:p w:rsidR="00EC1D37" w:rsidRPr="00B12716" w:rsidRDefault="00EC1D37" w:rsidP="00B12716">
            <w:pPr>
              <w:spacing w:after="0" w:line="360" w:lineRule="auto"/>
              <w:rPr>
                <w:rFonts w:ascii="Times New Roman" w:hAnsi="Times New Roman" w:cs="Times New Roman"/>
                <w:sz w:val="20"/>
                <w:szCs w:val="20"/>
                <w:lang w:val="en-US"/>
              </w:rPr>
            </w:pPr>
          </w:p>
        </w:tc>
      </w:tr>
      <w:tr w:rsidR="00EC1D37" w:rsidRPr="00B12716" w:rsidTr="00EC1D37">
        <w:trPr>
          <w:trHeight w:val="551"/>
        </w:trPr>
        <w:tc>
          <w:tcPr>
            <w:tcW w:w="2127" w:type="dxa"/>
            <w:shd w:val="clear" w:color="auto" w:fill="92D050"/>
          </w:tcPr>
          <w:p w:rsidR="00EC1D37" w:rsidRPr="00B12716" w:rsidRDefault="00EC1D37" w:rsidP="00B12716">
            <w:pPr>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Preinduction</w:t>
            </w:r>
          </w:p>
        </w:tc>
        <w:tc>
          <w:tcPr>
            <w:tcW w:w="989"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81.47</w:t>
            </w:r>
          </w:p>
        </w:tc>
        <w:tc>
          <w:tcPr>
            <w:tcW w:w="961"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7.45</w:t>
            </w:r>
          </w:p>
        </w:tc>
        <w:tc>
          <w:tcPr>
            <w:tcW w:w="893"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82.13</w:t>
            </w:r>
          </w:p>
        </w:tc>
        <w:tc>
          <w:tcPr>
            <w:tcW w:w="978"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7.75</w:t>
            </w:r>
          </w:p>
        </w:tc>
        <w:tc>
          <w:tcPr>
            <w:tcW w:w="997"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&gt;0.05</w:t>
            </w:r>
          </w:p>
        </w:tc>
      </w:tr>
      <w:tr w:rsidR="00EC1D37" w:rsidRPr="00B12716" w:rsidTr="00EC1D37">
        <w:trPr>
          <w:trHeight w:val="551"/>
        </w:trPr>
        <w:tc>
          <w:tcPr>
            <w:tcW w:w="2127" w:type="dxa"/>
            <w:shd w:val="clear" w:color="auto" w:fill="92D050"/>
          </w:tcPr>
          <w:p w:rsidR="00EC1D37" w:rsidRPr="00B12716" w:rsidRDefault="00EC1D37" w:rsidP="00B12716">
            <w:pPr>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1 min</w:t>
            </w:r>
          </w:p>
        </w:tc>
        <w:tc>
          <w:tcPr>
            <w:tcW w:w="989"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82.27</w:t>
            </w:r>
          </w:p>
        </w:tc>
        <w:tc>
          <w:tcPr>
            <w:tcW w:w="961"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7.80</w:t>
            </w:r>
          </w:p>
        </w:tc>
        <w:tc>
          <w:tcPr>
            <w:tcW w:w="893"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81.37</w:t>
            </w:r>
          </w:p>
        </w:tc>
        <w:tc>
          <w:tcPr>
            <w:tcW w:w="978"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8.66</w:t>
            </w:r>
          </w:p>
        </w:tc>
        <w:tc>
          <w:tcPr>
            <w:tcW w:w="997"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&gt;0.05</w:t>
            </w:r>
          </w:p>
        </w:tc>
      </w:tr>
      <w:tr w:rsidR="00EC1D37" w:rsidRPr="00B12716" w:rsidTr="00EC1D37">
        <w:trPr>
          <w:trHeight w:val="551"/>
        </w:trPr>
        <w:tc>
          <w:tcPr>
            <w:tcW w:w="2127" w:type="dxa"/>
            <w:shd w:val="clear" w:color="auto" w:fill="92D050"/>
          </w:tcPr>
          <w:p w:rsidR="00EC1D37" w:rsidRPr="00B12716" w:rsidRDefault="00EC1D37" w:rsidP="00B12716">
            <w:pPr>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3 mins</w:t>
            </w:r>
          </w:p>
        </w:tc>
        <w:tc>
          <w:tcPr>
            <w:tcW w:w="989"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81.07</w:t>
            </w:r>
          </w:p>
        </w:tc>
        <w:tc>
          <w:tcPr>
            <w:tcW w:w="961"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9.82</w:t>
            </w:r>
          </w:p>
        </w:tc>
        <w:tc>
          <w:tcPr>
            <w:tcW w:w="893"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80.47</w:t>
            </w:r>
          </w:p>
        </w:tc>
        <w:tc>
          <w:tcPr>
            <w:tcW w:w="978"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9.48</w:t>
            </w:r>
          </w:p>
        </w:tc>
        <w:tc>
          <w:tcPr>
            <w:tcW w:w="997"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&gt;0.05</w:t>
            </w:r>
          </w:p>
        </w:tc>
      </w:tr>
      <w:tr w:rsidR="00EC1D37" w:rsidRPr="00B12716" w:rsidTr="00EC1D37">
        <w:trPr>
          <w:trHeight w:val="549"/>
        </w:trPr>
        <w:tc>
          <w:tcPr>
            <w:tcW w:w="2127" w:type="dxa"/>
            <w:shd w:val="clear" w:color="auto" w:fill="92D050"/>
          </w:tcPr>
          <w:p w:rsidR="00EC1D37" w:rsidRPr="00B12716" w:rsidRDefault="00EC1D37" w:rsidP="00B12716">
            <w:pPr>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5 mins</w:t>
            </w:r>
          </w:p>
        </w:tc>
        <w:tc>
          <w:tcPr>
            <w:tcW w:w="989"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83.07</w:t>
            </w:r>
          </w:p>
        </w:tc>
        <w:tc>
          <w:tcPr>
            <w:tcW w:w="961"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6.68</w:t>
            </w:r>
          </w:p>
        </w:tc>
        <w:tc>
          <w:tcPr>
            <w:tcW w:w="893"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82.07</w:t>
            </w:r>
          </w:p>
        </w:tc>
        <w:tc>
          <w:tcPr>
            <w:tcW w:w="978"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9.09</w:t>
            </w:r>
          </w:p>
        </w:tc>
        <w:tc>
          <w:tcPr>
            <w:tcW w:w="997"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&gt;0.05</w:t>
            </w:r>
          </w:p>
        </w:tc>
      </w:tr>
      <w:tr w:rsidR="00EC1D37" w:rsidRPr="00B12716" w:rsidTr="00EC1D37">
        <w:trPr>
          <w:trHeight w:val="554"/>
        </w:trPr>
        <w:tc>
          <w:tcPr>
            <w:tcW w:w="2127" w:type="dxa"/>
            <w:shd w:val="clear" w:color="auto" w:fill="92D050"/>
          </w:tcPr>
          <w:p w:rsidR="00EC1D37" w:rsidRPr="00B12716" w:rsidRDefault="00EC1D37" w:rsidP="00B12716">
            <w:pPr>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10 mins</w:t>
            </w:r>
          </w:p>
        </w:tc>
        <w:tc>
          <w:tcPr>
            <w:tcW w:w="989"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81.93</w:t>
            </w:r>
          </w:p>
        </w:tc>
        <w:tc>
          <w:tcPr>
            <w:tcW w:w="961"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10.04</w:t>
            </w:r>
          </w:p>
        </w:tc>
        <w:tc>
          <w:tcPr>
            <w:tcW w:w="893"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79.13</w:t>
            </w:r>
          </w:p>
        </w:tc>
        <w:tc>
          <w:tcPr>
            <w:tcW w:w="978"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11.93</w:t>
            </w:r>
          </w:p>
        </w:tc>
        <w:tc>
          <w:tcPr>
            <w:tcW w:w="997" w:type="dxa"/>
          </w:tcPr>
          <w:p w:rsidR="00EC1D37" w:rsidRPr="00B12716" w:rsidRDefault="00EC1D37" w:rsidP="00B12716">
            <w:pPr>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&gt;0.05</w:t>
            </w:r>
          </w:p>
        </w:tc>
      </w:tr>
    </w:tbl>
    <w:p w:rsidR="00EC1D37" w:rsidRPr="00B12716" w:rsidRDefault="00EC1D37" w:rsidP="00B12716">
      <w:pPr>
        <w:spacing w:after="0" w:line="360" w:lineRule="auto"/>
        <w:rPr>
          <w:rFonts w:ascii="Times New Roman" w:hAnsi="Times New Roman" w:cs="Times New Roman"/>
          <w:b/>
          <w:sz w:val="20"/>
          <w:szCs w:val="20"/>
          <w:lang w:val="en-US"/>
        </w:rPr>
      </w:pPr>
    </w:p>
    <w:p w:rsidR="00EC1D37" w:rsidRPr="00B12716" w:rsidRDefault="00EC1D37" w:rsidP="00B12716">
      <w:pPr>
        <w:spacing w:after="0" w:line="360" w:lineRule="auto"/>
        <w:rPr>
          <w:rFonts w:ascii="Times New Roman" w:hAnsi="Times New Roman" w:cs="Times New Roman"/>
          <w:b/>
          <w:sz w:val="20"/>
          <w:szCs w:val="20"/>
          <w:lang w:val="en-US"/>
        </w:rPr>
      </w:pPr>
    </w:p>
    <w:p w:rsidR="00EC1D37" w:rsidRPr="00B12716" w:rsidRDefault="00EC1D37" w:rsidP="00B12716">
      <w:pPr>
        <w:spacing w:after="0" w:line="360" w:lineRule="auto"/>
        <w:rPr>
          <w:rFonts w:ascii="Times New Roman" w:hAnsi="Times New Roman" w:cs="Times New Roman"/>
          <w:b/>
          <w:sz w:val="20"/>
          <w:szCs w:val="20"/>
          <w:lang w:val="en-US"/>
        </w:rPr>
      </w:pPr>
    </w:p>
    <w:p w:rsidR="00EC1D37" w:rsidRPr="00B12716" w:rsidRDefault="00EC1D37" w:rsidP="00B12716">
      <w:pPr>
        <w:spacing w:after="0" w:line="360" w:lineRule="auto"/>
        <w:rPr>
          <w:rFonts w:ascii="Times New Roman" w:hAnsi="Times New Roman" w:cs="Times New Roman"/>
          <w:sz w:val="20"/>
          <w:szCs w:val="20"/>
        </w:rPr>
      </w:pPr>
    </w:p>
    <w:p w:rsidR="00EC1D37" w:rsidRPr="00B12716" w:rsidRDefault="00EC1D37" w:rsidP="00B12716">
      <w:pPr>
        <w:spacing w:after="0" w:line="360" w:lineRule="auto"/>
        <w:rPr>
          <w:rFonts w:ascii="Times New Roman" w:hAnsi="Times New Roman" w:cs="Times New Roman"/>
          <w:sz w:val="20"/>
          <w:szCs w:val="20"/>
        </w:rPr>
      </w:pPr>
    </w:p>
    <w:p w:rsidR="00EC1D37" w:rsidRPr="00B12716" w:rsidRDefault="00EC1D37" w:rsidP="00B12716">
      <w:pPr>
        <w:spacing w:after="0" w:line="360" w:lineRule="auto"/>
        <w:rPr>
          <w:rFonts w:ascii="Times New Roman" w:hAnsi="Times New Roman" w:cs="Times New Roman"/>
          <w:sz w:val="20"/>
          <w:szCs w:val="20"/>
        </w:rPr>
      </w:pPr>
    </w:p>
    <w:p w:rsidR="00EC1D37" w:rsidRPr="00B12716" w:rsidRDefault="00EC1D37" w:rsidP="00B12716">
      <w:pPr>
        <w:spacing w:after="0" w:line="360" w:lineRule="auto"/>
        <w:rPr>
          <w:rFonts w:ascii="Times New Roman" w:hAnsi="Times New Roman" w:cs="Times New Roman"/>
          <w:sz w:val="20"/>
          <w:szCs w:val="20"/>
        </w:rPr>
      </w:pPr>
    </w:p>
    <w:p w:rsidR="00EC1D37" w:rsidRPr="00B12716" w:rsidRDefault="00EC1D37" w:rsidP="00B12716">
      <w:pPr>
        <w:spacing w:after="0" w:line="360" w:lineRule="auto"/>
        <w:rPr>
          <w:rFonts w:ascii="Times New Roman" w:hAnsi="Times New Roman" w:cs="Times New Roman"/>
          <w:sz w:val="20"/>
          <w:szCs w:val="20"/>
        </w:rPr>
      </w:pPr>
    </w:p>
    <w:p w:rsidR="00EC1D37" w:rsidRPr="00B12716" w:rsidRDefault="00EC1D37" w:rsidP="00B12716">
      <w:pPr>
        <w:spacing w:after="0" w:line="360" w:lineRule="auto"/>
        <w:rPr>
          <w:rFonts w:ascii="Times New Roman" w:hAnsi="Times New Roman" w:cs="Times New Roman"/>
          <w:sz w:val="20"/>
          <w:szCs w:val="20"/>
        </w:rPr>
      </w:pPr>
    </w:p>
    <w:p w:rsidR="00EC1D37" w:rsidRPr="00B12716" w:rsidRDefault="00EC1D37" w:rsidP="00B12716">
      <w:pPr>
        <w:spacing w:after="0" w:line="360" w:lineRule="auto"/>
        <w:rPr>
          <w:rFonts w:ascii="Times New Roman" w:hAnsi="Times New Roman" w:cs="Times New Roman"/>
          <w:sz w:val="20"/>
          <w:szCs w:val="20"/>
        </w:rPr>
      </w:pPr>
    </w:p>
    <w:p w:rsidR="00EC1D37" w:rsidRPr="00B12716" w:rsidRDefault="00EC1D37" w:rsidP="00B12716">
      <w:pPr>
        <w:tabs>
          <w:tab w:val="left" w:pos="1820"/>
        </w:tabs>
        <w:spacing w:after="0" w:line="360" w:lineRule="auto"/>
        <w:rPr>
          <w:rFonts w:ascii="Times New Roman" w:hAnsi="Times New Roman" w:cs="Times New Roman"/>
          <w:b/>
          <w:bCs/>
          <w:sz w:val="20"/>
          <w:szCs w:val="20"/>
          <w:lang w:val="en-US"/>
        </w:rPr>
      </w:pPr>
      <w:r w:rsidRPr="00B12716">
        <w:rPr>
          <w:rFonts w:ascii="Times New Roman" w:hAnsi="Times New Roman" w:cs="Times New Roman"/>
          <w:b/>
          <w:bCs/>
          <w:sz w:val="20"/>
          <w:szCs w:val="20"/>
          <w:lang w:val="en-US"/>
        </w:rPr>
        <w:t>Comparison of Systolic Blood Pressure [SBP (mmHg)] at various time intervals</w:t>
      </w:r>
    </w:p>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Intraoperatively throughout the study systolic blood pressure levels were comparable in both the groups. There was no significant difference between the groups as per Student t-test (p&gt;0.05).</w:t>
      </w:r>
    </w:p>
    <w:p w:rsidR="00E82FB2" w:rsidRDefault="00E82FB2" w:rsidP="00B12716">
      <w:pPr>
        <w:tabs>
          <w:tab w:val="left" w:pos="1820"/>
        </w:tabs>
        <w:spacing w:after="0" w:line="360" w:lineRule="auto"/>
        <w:rPr>
          <w:rFonts w:ascii="Times New Roman" w:hAnsi="Times New Roman" w:cs="Times New Roman"/>
          <w:b/>
          <w:bCs/>
          <w:sz w:val="20"/>
          <w:szCs w:val="20"/>
          <w:lang w:val="en-US"/>
        </w:rPr>
      </w:pPr>
    </w:p>
    <w:p w:rsidR="00E82FB2" w:rsidRDefault="00E82FB2" w:rsidP="00B12716">
      <w:pPr>
        <w:tabs>
          <w:tab w:val="left" w:pos="1820"/>
        </w:tabs>
        <w:spacing w:after="0" w:line="360" w:lineRule="auto"/>
        <w:rPr>
          <w:rFonts w:ascii="Times New Roman" w:hAnsi="Times New Roman" w:cs="Times New Roman"/>
          <w:b/>
          <w:bCs/>
          <w:sz w:val="20"/>
          <w:szCs w:val="20"/>
          <w:lang w:val="en-US"/>
        </w:rPr>
      </w:pPr>
    </w:p>
    <w:p w:rsidR="00EC1D37" w:rsidRPr="00B12716" w:rsidRDefault="00B12716" w:rsidP="00B12716">
      <w:pPr>
        <w:tabs>
          <w:tab w:val="left" w:pos="1820"/>
        </w:tabs>
        <w:spacing w:after="0" w:line="36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Table 2</w:t>
      </w:r>
      <w:r w:rsidR="00EC1D37" w:rsidRPr="00B12716">
        <w:rPr>
          <w:rFonts w:ascii="Times New Roman" w:hAnsi="Times New Roman" w:cs="Times New Roman"/>
          <w:b/>
          <w:bCs/>
          <w:sz w:val="20"/>
          <w:szCs w:val="20"/>
          <w:lang w:val="en-US"/>
        </w:rPr>
        <w:t>: Comparison of Systolic Blood Pressure [SBP (mmHg)] atvarious time intervals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1145"/>
        <w:gridCol w:w="1261"/>
        <w:gridCol w:w="1054"/>
        <w:gridCol w:w="1069"/>
        <w:gridCol w:w="1193"/>
      </w:tblGrid>
      <w:tr w:rsidR="00EC1D37" w:rsidRPr="00B12716" w:rsidTr="00EC1D37">
        <w:trPr>
          <w:trHeight w:val="549"/>
        </w:trPr>
        <w:tc>
          <w:tcPr>
            <w:tcW w:w="1889" w:type="dxa"/>
            <w:vMerge w:val="restart"/>
            <w:shd w:val="clear" w:color="auto" w:fill="92D050"/>
          </w:tcPr>
          <w:p w:rsidR="00EC1D37" w:rsidRPr="00B12716" w:rsidRDefault="00EC1D37" w:rsidP="00B12716">
            <w:pPr>
              <w:widowControl w:val="0"/>
              <w:autoSpaceDE w:val="0"/>
              <w:autoSpaceDN w:val="0"/>
              <w:spacing w:after="0" w:line="360" w:lineRule="auto"/>
              <w:ind w:left="193" w:right="173"/>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SBP</w:t>
            </w:r>
          </w:p>
          <w:p w:rsidR="00EC1D37" w:rsidRPr="00B12716" w:rsidRDefault="00EC1D37" w:rsidP="00B12716">
            <w:pPr>
              <w:widowControl w:val="0"/>
              <w:autoSpaceDE w:val="0"/>
              <w:autoSpaceDN w:val="0"/>
              <w:spacing w:after="0" w:line="360" w:lineRule="auto"/>
              <w:rPr>
                <w:rFonts w:ascii="Times New Roman" w:eastAsia="Times New Roman" w:hAnsi="Times New Roman" w:cs="Times New Roman"/>
                <w:b/>
                <w:sz w:val="20"/>
                <w:szCs w:val="20"/>
                <w:lang w:val="en-US"/>
              </w:rPr>
            </w:pPr>
          </w:p>
          <w:p w:rsidR="00EC1D37" w:rsidRPr="00B12716" w:rsidRDefault="00EC1D37" w:rsidP="00B12716">
            <w:pPr>
              <w:widowControl w:val="0"/>
              <w:autoSpaceDE w:val="0"/>
              <w:autoSpaceDN w:val="0"/>
              <w:spacing w:after="0" w:line="360" w:lineRule="auto"/>
              <w:ind w:left="192" w:right="173"/>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(mm</w:t>
            </w:r>
            <w:r w:rsidRPr="00B12716">
              <w:rPr>
                <w:rFonts w:ascii="Times New Roman" w:eastAsia="Times New Roman" w:hAnsi="Times New Roman" w:cs="Times New Roman"/>
                <w:b/>
                <w:spacing w:val="-1"/>
                <w:sz w:val="20"/>
                <w:szCs w:val="20"/>
                <w:lang w:val="en-US"/>
              </w:rPr>
              <w:t xml:space="preserve"> </w:t>
            </w:r>
            <w:r w:rsidRPr="00B12716">
              <w:rPr>
                <w:rFonts w:ascii="Times New Roman" w:eastAsia="Times New Roman" w:hAnsi="Times New Roman" w:cs="Times New Roman"/>
                <w:b/>
                <w:sz w:val="20"/>
                <w:szCs w:val="20"/>
                <w:lang w:val="en-US"/>
              </w:rPr>
              <w:t>Hg)</w:t>
            </w:r>
          </w:p>
        </w:tc>
        <w:tc>
          <w:tcPr>
            <w:tcW w:w="2406" w:type="dxa"/>
            <w:gridSpan w:val="2"/>
            <w:shd w:val="clear" w:color="auto" w:fill="92D050"/>
          </w:tcPr>
          <w:p w:rsidR="00EC1D37" w:rsidRPr="00B12716" w:rsidRDefault="00EC1D37" w:rsidP="00B12716">
            <w:pPr>
              <w:widowControl w:val="0"/>
              <w:autoSpaceDE w:val="0"/>
              <w:autoSpaceDN w:val="0"/>
              <w:spacing w:after="0" w:line="360" w:lineRule="auto"/>
              <w:ind w:left="732"/>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Group A</w:t>
            </w:r>
          </w:p>
        </w:tc>
        <w:tc>
          <w:tcPr>
            <w:tcW w:w="2123" w:type="dxa"/>
            <w:gridSpan w:val="2"/>
            <w:shd w:val="clear" w:color="auto" w:fill="92D050"/>
          </w:tcPr>
          <w:p w:rsidR="00EC1D37" w:rsidRPr="00B12716" w:rsidRDefault="00EC1D37" w:rsidP="00B12716">
            <w:pPr>
              <w:widowControl w:val="0"/>
              <w:autoSpaceDE w:val="0"/>
              <w:autoSpaceDN w:val="0"/>
              <w:spacing w:after="0" w:line="360" w:lineRule="auto"/>
              <w:ind w:left="589"/>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Group B</w:t>
            </w:r>
          </w:p>
        </w:tc>
        <w:tc>
          <w:tcPr>
            <w:tcW w:w="1193" w:type="dxa"/>
            <w:vMerge w:val="restart"/>
            <w:shd w:val="clear" w:color="auto" w:fill="92D050"/>
          </w:tcPr>
          <w:p w:rsidR="00EC1D37" w:rsidRPr="00B12716" w:rsidRDefault="00EC1D37" w:rsidP="00B12716">
            <w:pPr>
              <w:widowControl w:val="0"/>
              <w:autoSpaceDE w:val="0"/>
              <w:autoSpaceDN w:val="0"/>
              <w:spacing w:after="0" w:line="360" w:lineRule="auto"/>
              <w:rPr>
                <w:rFonts w:ascii="Times New Roman" w:eastAsia="Times New Roman" w:hAnsi="Times New Roman" w:cs="Times New Roman"/>
                <w:b/>
                <w:sz w:val="20"/>
                <w:szCs w:val="20"/>
                <w:lang w:val="en-US"/>
              </w:rPr>
            </w:pPr>
          </w:p>
          <w:p w:rsidR="00EC1D37" w:rsidRPr="00B12716" w:rsidRDefault="00EC1D37" w:rsidP="00B12716">
            <w:pPr>
              <w:widowControl w:val="0"/>
              <w:autoSpaceDE w:val="0"/>
              <w:autoSpaceDN w:val="0"/>
              <w:spacing w:after="0" w:line="360" w:lineRule="auto"/>
              <w:ind w:left="190"/>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p value</w:t>
            </w:r>
          </w:p>
        </w:tc>
      </w:tr>
      <w:tr w:rsidR="00EC1D37" w:rsidRPr="00B12716" w:rsidTr="00EC1D37">
        <w:trPr>
          <w:trHeight w:val="551"/>
        </w:trPr>
        <w:tc>
          <w:tcPr>
            <w:tcW w:w="1889" w:type="dxa"/>
            <w:vMerge/>
            <w:tcBorders>
              <w:top w:val="nil"/>
            </w:tcBorders>
            <w:shd w:val="clear" w:color="auto" w:fill="92D050"/>
          </w:tcPr>
          <w:p w:rsidR="00EC1D37" w:rsidRPr="00B12716" w:rsidRDefault="00EC1D37" w:rsidP="00B12716">
            <w:pPr>
              <w:widowControl w:val="0"/>
              <w:autoSpaceDE w:val="0"/>
              <w:autoSpaceDN w:val="0"/>
              <w:spacing w:after="0" w:line="360" w:lineRule="auto"/>
              <w:rPr>
                <w:rFonts w:ascii="Times New Roman" w:eastAsia="Times New Roman" w:hAnsi="Times New Roman" w:cs="Times New Roman"/>
                <w:sz w:val="20"/>
                <w:szCs w:val="20"/>
                <w:lang w:val="en-US"/>
              </w:rPr>
            </w:pPr>
          </w:p>
        </w:tc>
        <w:tc>
          <w:tcPr>
            <w:tcW w:w="1145" w:type="dxa"/>
            <w:shd w:val="clear" w:color="auto" w:fill="92D050"/>
          </w:tcPr>
          <w:p w:rsidR="00EC1D37" w:rsidRPr="00B12716" w:rsidRDefault="00EC1D37" w:rsidP="00B12716">
            <w:pPr>
              <w:widowControl w:val="0"/>
              <w:autoSpaceDE w:val="0"/>
              <w:autoSpaceDN w:val="0"/>
              <w:spacing w:after="0" w:line="360" w:lineRule="auto"/>
              <w:ind w:left="271"/>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Mean</w:t>
            </w:r>
          </w:p>
        </w:tc>
        <w:tc>
          <w:tcPr>
            <w:tcW w:w="1261" w:type="dxa"/>
            <w:shd w:val="clear" w:color="auto" w:fill="92D050"/>
          </w:tcPr>
          <w:p w:rsidR="00EC1D37" w:rsidRPr="00B12716" w:rsidRDefault="00EC1D37" w:rsidP="00B12716">
            <w:pPr>
              <w:widowControl w:val="0"/>
              <w:autoSpaceDE w:val="0"/>
              <w:autoSpaceDN w:val="0"/>
              <w:spacing w:after="0" w:line="360" w:lineRule="auto"/>
              <w:ind w:left="386" w:right="357"/>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SD</w:t>
            </w:r>
          </w:p>
        </w:tc>
        <w:tc>
          <w:tcPr>
            <w:tcW w:w="1054" w:type="dxa"/>
            <w:shd w:val="clear" w:color="auto" w:fill="92D050"/>
          </w:tcPr>
          <w:p w:rsidR="00EC1D37" w:rsidRPr="00B12716" w:rsidRDefault="00EC1D37" w:rsidP="00B12716">
            <w:pPr>
              <w:widowControl w:val="0"/>
              <w:autoSpaceDE w:val="0"/>
              <w:autoSpaceDN w:val="0"/>
              <w:spacing w:after="0" w:line="360" w:lineRule="auto"/>
              <w:ind w:left="225"/>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Mean</w:t>
            </w:r>
          </w:p>
        </w:tc>
        <w:tc>
          <w:tcPr>
            <w:tcW w:w="1069" w:type="dxa"/>
            <w:shd w:val="clear" w:color="auto" w:fill="92D050"/>
          </w:tcPr>
          <w:p w:rsidR="00EC1D37" w:rsidRPr="00B12716" w:rsidRDefault="00EC1D37" w:rsidP="00B12716">
            <w:pPr>
              <w:widowControl w:val="0"/>
              <w:autoSpaceDE w:val="0"/>
              <w:autoSpaceDN w:val="0"/>
              <w:spacing w:after="0" w:line="360" w:lineRule="auto"/>
              <w:ind w:left="218" w:right="186"/>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SD</w:t>
            </w:r>
          </w:p>
        </w:tc>
        <w:tc>
          <w:tcPr>
            <w:tcW w:w="1193" w:type="dxa"/>
            <w:vMerge/>
            <w:tcBorders>
              <w:top w:val="nil"/>
            </w:tcBorders>
            <w:shd w:val="clear" w:color="auto" w:fill="92D050"/>
          </w:tcPr>
          <w:p w:rsidR="00EC1D37" w:rsidRPr="00B12716" w:rsidRDefault="00EC1D37" w:rsidP="00B12716">
            <w:pPr>
              <w:widowControl w:val="0"/>
              <w:autoSpaceDE w:val="0"/>
              <w:autoSpaceDN w:val="0"/>
              <w:spacing w:after="0" w:line="360" w:lineRule="auto"/>
              <w:rPr>
                <w:rFonts w:ascii="Times New Roman" w:eastAsia="Times New Roman" w:hAnsi="Times New Roman" w:cs="Times New Roman"/>
                <w:sz w:val="20"/>
                <w:szCs w:val="20"/>
                <w:lang w:val="en-US"/>
              </w:rPr>
            </w:pPr>
          </w:p>
        </w:tc>
      </w:tr>
      <w:tr w:rsidR="00EC1D37" w:rsidRPr="00B12716" w:rsidTr="00EC1D37">
        <w:trPr>
          <w:trHeight w:val="549"/>
        </w:trPr>
        <w:tc>
          <w:tcPr>
            <w:tcW w:w="1889" w:type="dxa"/>
            <w:shd w:val="clear" w:color="auto" w:fill="92D050"/>
          </w:tcPr>
          <w:p w:rsidR="00EC1D37" w:rsidRPr="00B12716" w:rsidRDefault="00EC1D37" w:rsidP="00B12716">
            <w:pPr>
              <w:widowControl w:val="0"/>
              <w:autoSpaceDE w:val="0"/>
              <w:autoSpaceDN w:val="0"/>
              <w:spacing w:after="0" w:line="360" w:lineRule="auto"/>
              <w:ind w:left="199" w:right="173"/>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Preinduction</w:t>
            </w:r>
          </w:p>
        </w:tc>
        <w:tc>
          <w:tcPr>
            <w:tcW w:w="1145" w:type="dxa"/>
          </w:tcPr>
          <w:p w:rsidR="00EC1D37" w:rsidRPr="00B12716" w:rsidRDefault="00EC1D37" w:rsidP="00B12716">
            <w:pPr>
              <w:widowControl w:val="0"/>
              <w:autoSpaceDE w:val="0"/>
              <w:autoSpaceDN w:val="0"/>
              <w:spacing w:after="0" w:line="360" w:lineRule="auto"/>
              <w:ind w:left="211"/>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120.68</w:t>
            </w:r>
          </w:p>
        </w:tc>
        <w:tc>
          <w:tcPr>
            <w:tcW w:w="1261" w:type="dxa"/>
          </w:tcPr>
          <w:p w:rsidR="00EC1D37" w:rsidRPr="00B12716" w:rsidRDefault="00EC1D37" w:rsidP="00B12716">
            <w:pPr>
              <w:widowControl w:val="0"/>
              <w:autoSpaceDE w:val="0"/>
              <w:autoSpaceDN w:val="0"/>
              <w:spacing w:after="0" w:line="360" w:lineRule="auto"/>
              <w:ind w:left="386" w:right="357"/>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9.49</w:t>
            </w:r>
          </w:p>
        </w:tc>
        <w:tc>
          <w:tcPr>
            <w:tcW w:w="1054" w:type="dxa"/>
          </w:tcPr>
          <w:p w:rsidR="00EC1D37" w:rsidRPr="00B12716" w:rsidRDefault="00EC1D37" w:rsidP="00B12716">
            <w:pPr>
              <w:widowControl w:val="0"/>
              <w:autoSpaceDE w:val="0"/>
              <w:autoSpaceDN w:val="0"/>
              <w:spacing w:after="0" w:line="360" w:lineRule="auto"/>
              <w:ind w:left="165"/>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122.12</w:t>
            </w:r>
          </w:p>
        </w:tc>
        <w:tc>
          <w:tcPr>
            <w:tcW w:w="1069" w:type="dxa"/>
          </w:tcPr>
          <w:p w:rsidR="00EC1D37" w:rsidRPr="00B12716" w:rsidRDefault="00EC1D37" w:rsidP="00B12716">
            <w:pPr>
              <w:widowControl w:val="0"/>
              <w:autoSpaceDE w:val="0"/>
              <w:autoSpaceDN w:val="0"/>
              <w:spacing w:after="0" w:line="360" w:lineRule="auto"/>
              <w:ind w:left="218" w:right="199"/>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11.45</w:t>
            </w:r>
          </w:p>
        </w:tc>
        <w:tc>
          <w:tcPr>
            <w:tcW w:w="1193" w:type="dxa"/>
          </w:tcPr>
          <w:p w:rsidR="00EC1D37" w:rsidRPr="00B12716" w:rsidRDefault="00EC1D37" w:rsidP="00B12716">
            <w:pPr>
              <w:widowControl w:val="0"/>
              <w:autoSpaceDE w:val="0"/>
              <w:autoSpaceDN w:val="0"/>
              <w:spacing w:after="0" w:line="360" w:lineRule="auto"/>
              <w:ind w:left="278" w:right="256"/>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&gt;0.05</w:t>
            </w:r>
          </w:p>
        </w:tc>
      </w:tr>
      <w:tr w:rsidR="00EC1D37" w:rsidRPr="00B12716" w:rsidTr="00EC1D37">
        <w:trPr>
          <w:trHeight w:val="551"/>
        </w:trPr>
        <w:tc>
          <w:tcPr>
            <w:tcW w:w="1889" w:type="dxa"/>
            <w:shd w:val="clear" w:color="auto" w:fill="92D050"/>
          </w:tcPr>
          <w:p w:rsidR="00EC1D37" w:rsidRPr="00B12716" w:rsidRDefault="00EC1D37" w:rsidP="00B12716">
            <w:pPr>
              <w:widowControl w:val="0"/>
              <w:autoSpaceDE w:val="0"/>
              <w:autoSpaceDN w:val="0"/>
              <w:spacing w:after="0" w:line="360" w:lineRule="auto"/>
              <w:ind w:left="198" w:right="173"/>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1 min</w:t>
            </w:r>
          </w:p>
        </w:tc>
        <w:tc>
          <w:tcPr>
            <w:tcW w:w="1145" w:type="dxa"/>
          </w:tcPr>
          <w:p w:rsidR="00EC1D37" w:rsidRPr="00B12716" w:rsidRDefault="00EC1D37" w:rsidP="00B12716">
            <w:pPr>
              <w:widowControl w:val="0"/>
              <w:autoSpaceDE w:val="0"/>
              <w:autoSpaceDN w:val="0"/>
              <w:spacing w:after="0" w:line="360" w:lineRule="auto"/>
              <w:ind w:left="211"/>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120.80</w:t>
            </w:r>
          </w:p>
        </w:tc>
        <w:tc>
          <w:tcPr>
            <w:tcW w:w="1261" w:type="dxa"/>
          </w:tcPr>
          <w:p w:rsidR="00EC1D37" w:rsidRPr="00B12716" w:rsidRDefault="00EC1D37" w:rsidP="00B12716">
            <w:pPr>
              <w:widowControl w:val="0"/>
              <w:autoSpaceDE w:val="0"/>
              <w:autoSpaceDN w:val="0"/>
              <w:spacing w:after="0" w:line="360" w:lineRule="auto"/>
              <w:ind w:left="386" w:right="357"/>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8.55</w:t>
            </w:r>
          </w:p>
        </w:tc>
        <w:tc>
          <w:tcPr>
            <w:tcW w:w="1054" w:type="dxa"/>
          </w:tcPr>
          <w:p w:rsidR="00EC1D37" w:rsidRPr="00B12716" w:rsidRDefault="00EC1D37" w:rsidP="00B12716">
            <w:pPr>
              <w:widowControl w:val="0"/>
              <w:autoSpaceDE w:val="0"/>
              <w:autoSpaceDN w:val="0"/>
              <w:spacing w:after="0" w:line="360" w:lineRule="auto"/>
              <w:ind w:left="165"/>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122.66</w:t>
            </w:r>
          </w:p>
        </w:tc>
        <w:tc>
          <w:tcPr>
            <w:tcW w:w="1069" w:type="dxa"/>
          </w:tcPr>
          <w:p w:rsidR="00EC1D37" w:rsidRPr="00B12716" w:rsidRDefault="00EC1D37" w:rsidP="00B12716">
            <w:pPr>
              <w:widowControl w:val="0"/>
              <w:autoSpaceDE w:val="0"/>
              <w:autoSpaceDN w:val="0"/>
              <w:spacing w:after="0" w:line="360" w:lineRule="auto"/>
              <w:ind w:left="218" w:right="199"/>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11.17</w:t>
            </w:r>
          </w:p>
        </w:tc>
        <w:tc>
          <w:tcPr>
            <w:tcW w:w="1193" w:type="dxa"/>
          </w:tcPr>
          <w:p w:rsidR="00EC1D37" w:rsidRPr="00B12716" w:rsidRDefault="00EC1D37" w:rsidP="00B12716">
            <w:pPr>
              <w:widowControl w:val="0"/>
              <w:autoSpaceDE w:val="0"/>
              <w:autoSpaceDN w:val="0"/>
              <w:spacing w:after="0" w:line="360" w:lineRule="auto"/>
              <w:ind w:left="278" w:right="256"/>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&gt;0.05</w:t>
            </w:r>
          </w:p>
        </w:tc>
      </w:tr>
      <w:tr w:rsidR="00EC1D37" w:rsidRPr="00B12716" w:rsidTr="00EC1D37">
        <w:trPr>
          <w:trHeight w:val="552"/>
        </w:trPr>
        <w:tc>
          <w:tcPr>
            <w:tcW w:w="1889" w:type="dxa"/>
            <w:shd w:val="clear" w:color="auto" w:fill="92D050"/>
          </w:tcPr>
          <w:p w:rsidR="00EC1D37" w:rsidRPr="00B12716" w:rsidRDefault="00EC1D37" w:rsidP="00B12716">
            <w:pPr>
              <w:widowControl w:val="0"/>
              <w:autoSpaceDE w:val="0"/>
              <w:autoSpaceDN w:val="0"/>
              <w:spacing w:after="0" w:line="360" w:lineRule="auto"/>
              <w:ind w:left="198" w:right="173"/>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3</w:t>
            </w:r>
            <w:r w:rsidRPr="00B12716">
              <w:rPr>
                <w:rFonts w:ascii="Times New Roman" w:eastAsia="Times New Roman" w:hAnsi="Times New Roman" w:cs="Times New Roman"/>
                <w:b/>
                <w:spacing w:val="-1"/>
                <w:sz w:val="20"/>
                <w:szCs w:val="20"/>
                <w:lang w:val="en-US"/>
              </w:rPr>
              <w:t xml:space="preserve"> </w:t>
            </w:r>
            <w:r w:rsidRPr="00B12716">
              <w:rPr>
                <w:rFonts w:ascii="Times New Roman" w:eastAsia="Times New Roman" w:hAnsi="Times New Roman" w:cs="Times New Roman"/>
                <w:b/>
                <w:sz w:val="20"/>
                <w:szCs w:val="20"/>
                <w:lang w:val="en-US"/>
              </w:rPr>
              <w:t>mins</w:t>
            </w:r>
          </w:p>
        </w:tc>
        <w:tc>
          <w:tcPr>
            <w:tcW w:w="1145" w:type="dxa"/>
          </w:tcPr>
          <w:p w:rsidR="00EC1D37" w:rsidRPr="00B12716" w:rsidRDefault="00EC1D37" w:rsidP="00B12716">
            <w:pPr>
              <w:widowControl w:val="0"/>
              <w:autoSpaceDE w:val="0"/>
              <w:autoSpaceDN w:val="0"/>
              <w:spacing w:after="0" w:line="360" w:lineRule="auto"/>
              <w:ind w:left="211"/>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121.16</w:t>
            </w:r>
          </w:p>
        </w:tc>
        <w:tc>
          <w:tcPr>
            <w:tcW w:w="1261" w:type="dxa"/>
          </w:tcPr>
          <w:p w:rsidR="00EC1D37" w:rsidRPr="00B12716" w:rsidRDefault="00EC1D37" w:rsidP="00B12716">
            <w:pPr>
              <w:widowControl w:val="0"/>
              <w:autoSpaceDE w:val="0"/>
              <w:autoSpaceDN w:val="0"/>
              <w:spacing w:after="0" w:line="360" w:lineRule="auto"/>
              <w:ind w:left="386" w:right="357"/>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9.18</w:t>
            </w:r>
          </w:p>
        </w:tc>
        <w:tc>
          <w:tcPr>
            <w:tcW w:w="1054" w:type="dxa"/>
          </w:tcPr>
          <w:p w:rsidR="00EC1D37" w:rsidRPr="00B12716" w:rsidRDefault="00EC1D37" w:rsidP="00B12716">
            <w:pPr>
              <w:widowControl w:val="0"/>
              <w:autoSpaceDE w:val="0"/>
              <w:autoSpaceDN w:val="0"/>
              <w:spacing w:after="0" w:line="360" w:lineRule="auto"/>
              <w:ind w:left="165"/>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123.62</w:t>
            </w:r>
          </w:p>
        </w:tc>
        <w:tc>
          <w:tcPr>
            <w:tcW w:w="1069" w:type="dxa"/>
          </w:tcPr>
          <w:p w:rsidR="00EC1D37" w:rsidRPr="00B12716" w:rsidRDefault="00EC1D37" w:rsidP="00B12716">
            <w:pPr>
              <w:widowControl w:val="0"/>
              <w:autoSpaceDE w:val="0"/>
              <w:autoSpaceDN w:val="0"/>
              <w:spacing w:after="0" w:line="360" w:lineRule="auto"/>
              <w:ind w:left="218" w:right="196"/>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9.78</w:t>
            </w:r>
          </w:p>
        </w:tc>
        <w:tc>
          <w:tcPr>
            <w:tcW w:w="1193" w:type="dxa"/>
          </w:tcPr>
          <w:p w:rsidR="00EC1D37" w:rsidRPr="00B12716" w:rsidRDefault="00EC1D37" w:rsidP="00B12716">
            <w:pPr>
              <w:widowControl w:val="0"/>
              <w:autoSpaceDE w:val="0"/>
              <w:autoSpaceDN w:val="0"/>
              <w:spacing w:after="0" w:line="360" w:lineRule="auto"/>
              <w:ind w:left="278" w:right="256"/>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&gt;0.05</w:t>
            </w:r>
          </w:p>
        </w:tc>
      </w:tr>
      <w:tr w:rsidR="00EC1D37" w:rsidRPr="00B12716" w:rsidTr="00EC1D37">
        <w:trPr>
          <w:trHeight w:val="551"/>
        </w:trPr>
        <w:tc>
          <w:tcPr>
            <w:tcW w:w="1889" w:type="dxa"/>
            <w:shd w:val="clear" w:color="auto" w:fill="92D050"/>
          </w:tcPr>
          <w:p w:rsidR="00EC1D37" w:rsidRPr="00B12716" w:rsidRDefault="00EC1D37" w:rsidP="00B12716">
            <w:pPr>
              <w:widowControl w:val="0"/>
              <w:autoSpaceDE w:val="0"/>
              <w:autoSpaceDN w:val="0"/>
              <w:spacing w:after="0" w:line="360" w:lineRule="auto"/>
              <w:ind w:left="198" w:right="173"/>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5</w:t>
            </w:r>
            <w:r w:rsidRPr="00B12716">
              <w:rPr>
                <w:rFonts w:ascii="Times New Roman" w:eastAsia="Times New Roman" w:hAnsi="Times New Roman" w:cs="Times New Roman"/>
                <w:b/>
                <w:spacing w:val="-1"/>
                <w:sz w:val="20"/>
                <w:szCs w:val="20"/>
                <w:lang w:val="en-US"/>
              </w:rPr>
              <w:t xml:space="preserve"> </w:t>
            </w:r>
            <w:r w:rsidRPr="00B12716">
              <w:rPr>
                <w:rFonts w:ascii="Times New Roman" w:eastAsia="Times New Roman" w:hAnsi="Times New Roman" w:cs="Times New Roman"/>
                <w:b/>
                <w:sz w:val="20"/>
                <w:szCs w:val="20"/>
                <w:lang w:val="en-US"/>
              </w:rPr>
              <w:t>mins</w:t>
            </w:r>
          </w:p>
        </w:tc>
        <w:tc>
          <w:tcPr>
            <w:tcW w:w="1145" w:type="dxa"/>
          </w:tcPr>
          <w:p w:rsidR="00EC1D37" w:rsidRPr="00B12716" w:rsidRDefault="00EC1D37" w:rsidP="00B12716">
            <w:pPr>
              <w:widowControl w:val="0"/>
              <w:autoSpaceDE w:val="0"/>
              <w:autoSpaceDN w:val="0"/>
              <w:spacing w:after="0" w:line="360" w:lineRule="auto"/>
              <w:ind w:left="211"/>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123.72</w:t>
            </w:r>
          </w:p>
        </w:tc>
        <w:tc>
          <w:tcPr>
            <w:tcW w:w="1261" w:type="dxa"/>
          </w:tcPr>
          <w:p w:rsidR="00EC1D37" w:rsidRPr="00B12716" w:rsidRDefault="00EC1D37" w:rsidP="00B12716">
            <w:pPr>
              <w:widowControl w:val="0"/>
              <w:autoSpaceDE w:val="0"/>
              <w:autoSpaceDN w:val="0"/>
              <w:spacing w:after="0" w:line="360" w:lineRule="auto"/>
              <w:ind w:left="386" w:right="357"/>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9.28</w:t>
            </w:r>
          </w:p>
        </w:tc>
        <w:tc>
          <w:tcPr>
            <w:tcW w:w="1054" w:type="dxa"/>
          </w:tcPr>
          <w:p w:rsidR="00EC1D37" w:rsidRPr="00B12716" w:rsidRDefault="00EC1D37" w:rsidP="00B12716">
            <w:pPr>
              <w:widowControl w:val="0"/>
              <w:autoSpaceDE w:val="0"/>
              <w:autoSpaceDN w:val="0"/>
              <w:spacing w:after="0" w:line="360" w:lineRule="auto"/>
              <w:ind w:left="165"/>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122.84</w:t>
            </w:r>
          </w:p>
        </w:tc>
        <w:tc>
          <w:tcPr>
            <w:tcW w:w="1069" w:type="dxa"/>
          </w:tcPr>
          <w:p w:rsidR="00EC1D37" w:rsidRPr="00B12716" w:rsidRDefault="00EC1D37" w:rsidP="00B12716">
            <w:pPr>
              <w:widowControl w:val="0"/>
              <w:autoSpaceDE w:val="0"/>
              <w:autoSpaceDN w:val="0"/>
              <w:spacing w:after="0" w:line="360" w:lineRule="auto"/>
              <w:ind w:left="218" w:right="196"/>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9.31</w:t>
            </w:r>
          </w:p>
        </w:tc>
        <w:tc>
          <w:tcPr>
            <w:tcW w:w="1193" w:type="dxa"/>
          </w:tcPr>
          <w:p w:rsidR="00EC1D37" w:rsidRPr="00B12716" w:rsidRDefault="00EC1D37" w:rsidP="00B12716">
            <w:pPr>
              <w:widowControl w:val="0"/>
              <w:autoSpaceDE w:val="0"/>
              <w:autoSpaceDN w:val="0"/>
              <w:spacing w:after="0" w:line="360" w:lineRule="auto"/>
              <w:ind w:left="278" w:right="256"/>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&gt;0.05</w:t>
            </w:r>
          </w:p>
        </w:tc>
      </w:tr>
      <w:tr w:rsidR="00EC1D37" w:rsidRPr="00B12716" w:rsidTr="00EC1D37">
        <w:trPr>
          <w:trHeight w:val="551"/>
        </w:trPr>
        <w:tc>
          <w:tcPr>
            <w:tcW w:w="1889" w:type="dxa"/>
            <w:shd w:val="clear" w:color="auto" w:fill="92D050"/>
          </w:tcPr>
          <w:p w:rsidR="00EC1D37" w:rsidRPr="00B12716" w:rsidRDefault="00EC1D37" w:rsidP="00B12716">
            <w:pPr>
              <w:widowControl w:val="0"/>
              <w:autoSpaceDE w:val="0"/>
              <w:autoSpaceDN w:val="0"/>
              <w:spacing w:after="0" w:line="360" w:lineRule="auto"/>
              <w:ind w:left="195" w:right="173"/>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10</w:t>
            </w:r>
            <w:r w:rsidRPr="00B12716">
              <w:rPr>
                <w:rFonts w:ascii="Times New Roman" w:eastAsia="Times New Roman" w:hAnsi="Times New Roman" w:cs="Times New Roman"/>
                <w:b/>
                <w:spacing w:val="-2"/>
                <w:sz w:val="20"/>
                <w:szCs w:val="20"/>
                <w:lang w:val="en-US"/>
              </w:rPr>
              <w:t xml:space="preserve"> </w:t>
            </w:r>
            <w:r w:rsidRPr="00B12716">
              <w:rPr>
                <w:rFonts w:ascii="Times New Roman" w:eastAsia="Times New Roman" w:hAnsi="Times New Roman" w:cs="Times New Roman"/>
                <w:b/>
                <w:sz w:val="20"/>
                <w:szCs w:val="20"/>
                <w:lang w:val="en-US"/>
              </w:rPr>
              <w:t>mins</w:t>
            </w:r>
          </w:p>
        </w:tc>
        <w:tc>
          <w:tcPr>
            <w:tcW w:w="1145" w:type="dxa"/>
          </w:tcPr>
          <w:p w:rsidR="00EC1D37" w:rsidRPr="00B12716" w:rsidRDefault="00EC1D37" w:rsidP="00B12716">
            <w:pPr>
              <w:widowControl w:val="0"/>
              <w:autoSpaceDE w:val="0"/>
              <w:autoSpaceDN w:val="0"/>
              <w:spacing w:after="0" w:line="360" w:lineRule="auto"/>
              <w:ind w:left="211"/>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121.20</w:t>
            </w:r>
          </w:p>
        </w:tc>
        <w:tc>
          <w:tcPr>
            <w:tcW w:w="1261" w:type="dxa"/>
          </w:tcPr>
          <w:p w:rsidR="00EC1D37" w:rsidRPr="00B12716" w:rsidRDefault="00EC1D37" w:rsidP="00B12716">
            <w:pPr>
              <w:widowControl w:val="0"/>
              <w:autoSpaceDE w:val="0"/>
              <w:autoSpaceDN w:val="0"/>
              <w:spacing w:after="0" w:line="360" w:lineRule="auto"/>
              <w:ind w:left="386" w:right="357"/>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8.92</w:t>
            </w:r>
          </w:p>
        </w:tc>
        <w:tc>
          <w:tcPr>
            <w:tcW w:w="1054" w:type="dxa"/>
          </w:tcPr>
          <w:p w:rsidR="00EC1D37" w:rsidRPr="00B12716" w:rsidRDefault="00EC1D37" w:rsidP="00B12716">
            <w:pPr>
              <w:widowControl w:val="0"/>
              <w:autoSpaceDE w:val="0"/>
              <w:autoSpaceDN w:val="0"/>
              <w:spacing w:after="0" w:line="360" w:lineRule="auto"/>
              <w:ind w:left="165"/>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122.33</w:t>
            </w:r>
          </w:p>
        </w:tc>
        <w:tc>
          <w:tcPr>
            <w:tcW w:w="1069" w:type="dxa"/>
          </w:tcPr>
          <w:p w:rsidR="00EC1D37" w:rsidRPr="00B12716" w:rsidRDefault="00EC1D37" w:rsidP="00B12716">
            <w:pPr>
              <w:widowControl w:val="0"/>
              <w:autoSpaceDE w:val="0"/>
              <w:autoSpaceDN w:val="0"/>
              <w:spacing w:after="0" w:line="360" w:lineRule="auto"/>
              <w:ind w:left="218" w:right="196"/>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8.42</w:t>
            </w:r>
          </w:p>
        </w:tc>
        <w:tc>
          <w:tcPr>
            <w:tcW w:w="1193" w:type="dxa"/>
          </w:tcPr>
          <w:p w:rsidR="00EC1D37" w:rsidRPr="00B12716" w:rsidRDefault="00EC1D37" w:rsidP="00B12716">
            <w:pPr>
              <w:widowControl w:val="0"/>
              <w:autoSpaceDE w:val="0"/>
              <w:autoSpaceDN w:val="0"/>
              <w:spacing w:after="0" w:line="360" w:lineRule="auto"/>
              <w:ind w:left="278" w:right="256"/>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&gt;0.05</w:t>
            </w:r>
          </w:p>
        </w:tc>
      </w:tr>
    </w:tbl>
    <w:p w:rsidR="00EC1D37" w:rsidRPr="00B12716" w:rsidRDefault="00EC1D37" w:rsidP="00B12716">
      <w:pPr>
        <w:tabs>
          <w:tab w:val="left" w:pos="1820"/>
        </w:tabs>
        <w:spacing w:after="0" w:line="360" w:lineRule="auto"/>
        <w:rPr>
          <w:rFonts w:ascii="Times New Roman" w:hAnsi="Times New Roman" w:cs="Times New Roman"/>
          <w:sz w:val="20"/>
          <w:szCs w:val="20"/>
        </w:rPr>
      </w:pPr>
    </w:p>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Comparison of Diastolic Blood Pressure [SBP (mmHg)] at various time intervals</w:t>
      </w:r>
    </w:p>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Intraoperatively throughout the study diastolic blood pressure levels were comparable in both the groups. There was no significant difference between the groups as per Student t-test (p&gt;0.05).</w:t>
      </w:r>
    </w:p>
    <w:p w:rsidR="00EC1D37" w:rsidRPr="00B12716" w:rsidRDefault="00B12716" w:rsidP="00B12716">
      <w:pPr>
        <w:tabs>
          <w:tab w:val="left" w:pos="1820"/>
        </w:tabs>
        <w:spacing w:after="0" w:line="36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Table 3</w:t>
      </w:r>
      <w:r w:rsidR="00EC1D37" w:rsidRPr="00B12716">
        <w:rPr>
          <w:rFonts w:ascii="Times New Roman" w:hAnsi="Times New Roman" w:cs="Times New Roman"/>
          <w:b/>
          <w:bCs/>
          <w:sz w:val="20"/>
          <w:szCs w:val="20"/>
          <w:lang w:val="en-US"/>
        </w:rPr>
        <w:t>: Comparison of Diastolic Blood Pressure [SBP (mmHg)] atvarious time intervals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146"/>
        <w:gridCol w:w="1260"/>
        <w:gridCol w:w="1053"/>
        <w:gridCol w:w="1068"/>
        <w:gridCol w:w="921"/>
      </w:tblGrid>
      <w:tr w:rsidR="00EC1D37" w:rsidRPr="00B12716" w:rsidTr="00EC1D37">
        <w:trPr>
          <w:trHeight w:val="549"/>
        </w:trPr>
        <w:tc>
          <w:tcPr>
            <w:tcW w:w="1850" w:type="dxa"/>
            <w:vMerge w:val="restart"/>
            <w:shd w:val="clear" w:color="auto" w:fill="92D050"/>
          </w:tcPr>
          <w:p w:rsidR="00EC1D37" w:rsidRPr="00B12716" w:rsidRDefault="00EC1D37" w:rsidP="00B12716">
            <w:pPr>
              <w:pStyle w:val="TableParagraph"/>
              <w:spacing w:line="360" w:lineRule="auto"/>
              <w:ind w:left="241" w:right="220"/>
              <w:rPr>
                <w:b/>
                <w:sz w:val="20"/>
                <w:szCs w:val="20"/>
              </w:rPr>
            </w:pPr>
            <w:r w:rsidRPr="00B12716">
              <w:rPr>
                <w:b/>
                <w:sz w:val="20"/>
                <w:szCs w:val="20"/>
              </w:rPr>
              <w:t>DBP</w:t>
            </w:r>
          </w:p>
          <w:p w:rsidR="00EC1D37" w:rsidRPr="00B12716" w:rsidRDefault="00EC1D37" w:rsidP="00B12716">
            <w:pPr>
              <w:pStyle w:val="TableParagraph"/>
              <w:spacing w:line="360" w:lineRule="auto"/>
              <w:jc w:val="left"/>
              <w:rPr>
                <w:b/>
                <w:sz w:val="20"/>
                <w:szCs w:val="20"/>
              </w:rPr>
            </w:pPr>
          </w:p>
          <w:p w:rsidR="00EC1D37" w:rsidRPr="00B12716" w:rsidRDefault="00EC1D37" w:rsidP="00B12716">
            <w:pPr>
              <w:pStyle w:val="TableParagraph"/>
              <w:spacing w:line="360" w:lineRule="auto"/>
              <w:ind w:left="237" w:right="220"/>
              <w:rPr>
                <w:b/>
                <w:sz w:val="20"/>
                <w:szCs w:val="20"/>
              </w:rPr>
            </w:pPr>
            <w:r w:rsidRPr="00B12716">
              <w:rPr>
                <w:b/>
                <w:sz w:val="20"/>
                <w:szCs w:val="20"/>
              </w:rPr>
              <w:t>(mm</w:t>
            </w:r>
            <w:r w:rsidRPr="00B12716">
              <w:rPr>
                <w:b/>
                <w:spacing w:val="-1"/>
                <w:sz w:val="20"/>
                <w:szCs w:val="20"/>
              </w:rPr>
              <w:t xml:space="preserve"> </w:t>
            </w:r>
            <w:r w:rsidRPr="00B12716">
              <w:rPr>
                <w:b/>
                <w:sz w:val="20"/>
                <w:szCs w:val="20"/>
              </w:rPr>
              <w:t>Hg)</w:t>
            </w:r>
          </w:p>
        </w:tc>
        <w:tc>
          <w:tcPr>
            <w:tcW w:w="2406" w:type="dxa"/>
            <w:gridSpan w:val="2"/>
            <w:shd w:val="clear" w:color="auto" w:fill="92D050"/>
          </w:tcPr>
          <w:p w:rsidR="00EC1D37" w:rsidRPr="00B12716" w:rsidRDefault="00EC1D37" w:rsidP="00B12716">
            <w:pPr>
              <w:pStyle w:val="TableParagraph"/>
              <w:spacing w:line="360" w:lineRule="auto"/>
              <w:ind w:left="730"/>
              <w:jc w:val="left"/>
              <w:rPr>
                <w:b/>
                <w:sz w:val="20"/>
                <w:szCs w:val="20"/>
              </w:rPr>
            </w:pPr>
            <w:r w:rsidRPr="00B12716">
              <w:rPr>
                <w:b/>
                <w:sz w:val="20"/>
                <w:szCs w:val="20"/>
              </w:rPr>
              <w:t>Group A</w:t>
            </w:r>
          </w:p>
        </w:tc>
        <w:tc>
          <w:tcPr>
            <w:tcW w:w="2121" w:type="dxa"/>
            <w:gridSpan w:val="2"/>
            <w:shd w:val="clear" w:color="auto" w:fill="92D050"/>
          </w:tcPr>
          <w:p w:rsidR="00EC1D37" w:rsidRPr="00B12716" w:rsidRDefault="00EC1D37" w:rsidP="00B12716">
            <w:pPr>
              <w:pStyle w:val="TableParagraph"/>
              <w:spacing w:line="360" w:lineRule="auto"/>
              <w:ind w:left="583"/>
              <w:jc w:val="left"/>
              <w:rPr>
                <w:b/>
                <w:sz w:val="20"/>
                <w:szCs w:val="20"/>
              </w:rPr>
            </w:pPr>
            <w:r w:rsidRPr="00B12716">
              <w:rPr>
                <w:b/>
                <w:sz w:val="20"/>
                <w:szCs w:val="20"/>
              </w:rPr>
              <w:t>Group B</w:t>
            </w:r>
          </w:p>
        </w:tc>
        <w:tc>
          <w:tcPr>
            <w:tcW w:w="921" w:type="dxa"/>
            <w:vMerge w:val="restart"/>
            <w:shd w:val="clear" w:color="auto" w:fill="92D050"/>
          </w:tcPr>
          <w:p w:rsidR="00EC1D37" w:rsidRPr="00B12716" w:rsidRDefault="00EC1D37" w:rsidP="00B12716">
            <w:pPr>
              <w:pStyle w:val="TableParagraph"/>
              <w:spacing w:line="360" w:lineRule="auto"/>
              <w:ind w:left="16"/>
              <w:rPr>
                <w:b/>
                <w:sz w:val="20"/>
                <w:szCs w:val="20"/>
              </w:rPr>
            </w:pPr>
            <w:r w:rsidRPr="00B12716">
              <w:rPr>
                <w:b/>
                <w:w w:val="99"/>
                <w:sz w:val="20"/>
                <w:szCs w:val="20"/>
              </w:rPr>
              <w:t>p</w:t>
            </w:r>
          </w:p>
          <w:p w:rsidR="00EC1D37" w:rsidRPr="00B12716" w:rsidRDefault="00EC1D37" w:rsidP="00B12716">
            <w:pPr>
              <w:pStyle w:val="TableParagraph"/>
              <w:spacing w:line="360" w:lineRule="auto"/>
              <w:jc w:val="left"/>
              <w:rPr>
                <w:b/>
                <w:sz w:val="20"/>
                <w:szCs w:val="20"/>
              </w:rPr>
            </w:pPr>
          </w:p>
          <w:p w:rsidR="00EC1D37" w:rsidRPr="00B12716" w:rsidRDefault="00EC1D37" w:rsidP="00B12716">
            <w:pPr>
              <w:pStyle w:val="TableParagraph"/>
              <w:spacing w:line="360" w:lineRule="auto"/>
              <w:ind w:left="165" w:right="147"/>
              <w:rPr>
                <w:b/>
                <w:sz w:val="20"/>
                <w:szCs w:val="20"/>
              </w:rPr>
            </w:pPr>
            <w:r w:rsidRPr="00B12716">
              <w:rPr>
                <w:b/>
                <w:sz w:val="20"/>
                <w:szCs w:val="20"/>
              </w:rPr>
              <w:t>value</w:t>
            </w:r>
          </w:p>
        </w:tc>
      </w:tr>
      <w:tr w:rsidR="00EC1D37" w:rsidRPr="00B12716" w:rsidTr="00EC1D37">
        <w:trPr>
          <w:trHeight w:val="551"/>
        </w:trPr>
        <w:tc>
          <w:tcPr>
            <w:tcW w:w="1850" w:type="dxa"/>
            <w:vMerge/>
            <w:tcBorders>
              <w:top w:val="nil"/>
            </w:tcBorders>
            <w:shd w:val="clear" w:color="auto" w:fill="92D050"/>
          </w:tcPr>
          <w:p w:rsidR="00EC1D37" w:rsidRPr="00B12716" w:rsidRDefault="00EC1D37" w:rsidP="00B12716">
            <w:pPr>
              <w:spacing w:after="0" w:line="360" w:lineRule="auto"/>
              <w:rPr>
                <w:rFonts w:ascii="Times New Roman" w:hAnsi="Times New Roman" w:cs="Times New Roman"/>
                <w:sz w:val="20"/>
                <w:szCs w:val="20"/>
              </w:rPr>
            </w:pPr>
          </w:p>
        </w:tc>
        <w:tc>
          <w:tcPr>
            <w:tcW w:w="1146" w:type="dxa"/>
            <w:shd w:val="clear" w:color="auto" w:fill="92D050"/>
          </w:tcPr>
          <w:p w:rsidR="00EC1D37" w:rsidRPr="00B12716" w:rsidRDefault="00EC1D37" w:rsidP="00B12716">
            <w:pPr>
              <w:pStyle w:val="TableParagraph"/>
              <w:spacing w:line="360" w:lineRule="auto"/>
              <w:ind w:right="265"/>
              <w:jc w:val="right"/>
              <w:rPr>
                <w:b/>
                <w:sz w:val="20"/>
                <w:szCs w:val="20"/>
              </w:rPr>
            </w:pPr>
            <w:r w:rsidRPr="00B12716">
              <w:rPr>
                <w:b/>
                <w:sz w:val="20"/>
                <w:szCs w:val="20"/>
              </w:rPr>
              <w:t>Mean</w:t>
            </w:r>
          </w:p>
        </w:tc>
        <w:tc>
          <w:tcPr>
            <w:tcW w:w="1260" w:type="dxa"/>
            <w:shd w:val="clear" w:color="auto" w:fill="92D050"/>
          </w:tcPr>
          <w:p w:rsidR="00EC1D37" w:rsidRPr="00B12716" w:rsidRDefault="00EC1D37" w:rsidP="00B12716">
            <w:pPr>
              <w:pStyle w:val="TableParagraph"/>
              <w:spacing w:line="360" w:lineRule="auto"/>
              <w:ind w:left="340" w:right="322"/>
              <w:rPr>
                <w:b/>
                <w:sz w:val="20"/>
                <w:szCs w:val="20"/>
              </w:rPr>
            </w:pPr>
            <w:r w:rsidRPr="00B12716">
              <w:rPr>
                <w:b/>
                <w:sz w:val="20"/>
                <w:szCs w:val="20"/>
              </w:rPr>
              <w:t>SD</w:t>
            </w:r>
          </w:p>
        </w:tc>
        <w:tc>
          <w:tcPr>
            <w:tcW w:w="1053" w:type="dxa"/>
            <w:shd w:val="clear" w:color="auto" w:fill="92D050"/>
          </w:tcPr>
          <w:p w:rsidR="00EC1D37" w:rsidRPr="00B12716" w:rsidRDefault="00EC1D37" w:rsidP="00B12716">
            <w:pPr>
              <w:pStyle w:val="TableParagraph"/>
              <w:spacing w:line="360" w:lineRule="auto"/>
              <w:ind w:left="214" w:right="202"/>
              <w:rPr>
                <w:b/>
                <w:sz w:val="20"/>
                <w:szCs w:val="20"/>
              </w:rPr>
            </w:pPr>
            <w:r w:rsidRPr="00B12716">
              <w:rPr>
                <w:b/>
                <w:sz w:val="20"/>
                <w:szCs w:val="20"/>
              </w:rPr>
              <w:t>Mean</w:t>
            </w:r>
          </w:p>
        </w:tc>
        <w:tc>
          <w:tcPr>
            <w:tcW w:w="1068" w:type="dxa"/>
            <w:shd w:val="clear" w:color="auto" w:fill="92D050"/>
          </w:tcPr>
          <w:p w:rsidR="00EC1D37" w:rsidRPr="00B12716" w:rsidRDefault="00EC1D37" w:rsidP="00B12716">
            <w:pPr>
              <w:pStyle w:val="TableParagraph"/>
              <w:spacing w:line="360" w:lineRule="auto"/>
              <w:ind w:left="312" w:right="253"/>
              <w:rPr>
                <w:b/>
                <w:sz w:val="20"/>
                <w:szCs w:val="20"/>
              </w:rPr>
            </w:pPr>
            <w:r w:rsidRPr="00B12716">
              <w:rPr>
                <w:b/>
                <w:sz w:val="20"/>
                <w:szCs w:val="20"/>
              </w:rPr>
              <w:t>SD</w:t>
            </w:r>
          </w:p>
        </w:tc>
        <w:tc>
          <w:tcPr>
            <w:tcW w:w="921" w:type="dxa"/>
            <w:vMerge/>
            <w:tcBorders>
              <w:top w:val="nil"/>
            </w:tcBorders>
            <w:shd w:val="clear" w:color="auto" w:fill="92D050"/>
          </w:tcPr>
          <w:p w:rsidR="00EC1D37" w:rsidRPr="00B12716" w:rsidRDefault="00EC1D37" w:rsidP="00B12716">
            <w:pPr>
              <w:spacing w:after="0" w:line="360" w:lineRule="auto"/>
              <w:rPr>
                <w:rFonts w:ascii="Times New Roman" w:hAnsi="Times New Roman" w:cs="Times New Roman"/>
                <w:sz w:val="20"/>
                <w:szCs w:val="20"/>
              </w:rPr>
            </w:pPr>
          </w:p>
        </w:tc>
      </w:tr>
      <w:tr w:rsidR="00EC1D37" w:rsidRPr="00B12716" w:rsidTr="00EC1D37">
        <w:trPr>
          <w:trHeight w:val="549"/>
        </w:trPr>
        <w:tc>
          <w:tcPr>
            <w:tcW w:w="1850" w:type="dxa"/>
            <w:shd w:val="clear" w:color="auto" w:fill="92D050"/>
          </w:tcPr>
          <w:p w:rsidR="00EC1D37" w:rsidRPr="00B12716" w:rsidRDefault="00EC1D37" w:rsidP="00B12716">
            <w:pPr>
              <w:pStyle w:val="TableParagraph"/>
              <w:spacing w:line="360" w:lineRule="auto"/>
              <w:ind w:left="245" w:right="220"/>
              <w:rPr>
                <w:b/>
                <w:sz w:val="20"/>
                <w:szCs w:val="20"/>
              </w:rPr>
            </w:pPr>
            <w:r w:rsidRPr="00B12716">
              <w:rPr>
                <w:b/>
                <w:sz w:val="20"/>
                <w:szCs w:val="20"/>
              </w:rPr>
              <w:t>Preinduction</w:t>
            </w:r>
          </w:p>
        </w:tc>
        <w:tc>
          <w:tcPr>
            <w:tcW w:w="1146" w:type="dxa"/>
          </w:tcPr>
          <w:p w:rsidR="00EC1D37" w:rsidRPr="00B12716" w:rsidRDefault="00EC1D37" w:rsidP="00B12716">
            <w:pPr>
              <w:pStyle w:val="TableParagraph"/>
              <w:spacing w:line="360" w:lineRule="auto"/>
              <w:ind w:right="287"/>
              <w:jc w:val="right"/>
              <w:rPr>
                <w:sz w:val="20"/>
                <w:szCs w:val="20"/>
              </w:rPr>
            </w:pPr>
            <w:r w:rsidRPr="00B12716">
              <w:rPr>
                <w:sz w:val="20"/>
                <w:szCs w:val="20"/>
              </w:rPr>
              <w:t>80.10</w:t>
            </w:r>
          </w:p>
        </w:tc>
        <w:tc>
          <w:tcPr>
            <w:tcW w:w="1260" w:type="dxa"/>
          </w:tcPr>
          <w:p w:rsidR="00EC1D37" w:rsidRPr="00B12716" w:rsidRDefault="00EC1D37" w:rsidP="00B12716">
            <w:pPr>
              <w:pStyle w:val="TableParagraph"/>
              <w:spacing w:line="360" w:lineRule="auto"/>
              <w:ind w:left="341" w:right="322"/>
              <w:rPr>
                <w:sz w:val="20"/>
                <w:szCs w:val="20"/>
              </w:rPr>
            </w:pPr>
            <w:r w:rsidRPr="00B12716">
              <w:rPr>
                <w:sz w:val="20"/>
                <w:szCs w:val="20"/>
              </w:rPr>
              <w:t>8.22</w:t>
            </w:r>
          </w:p>
        </w:tc>
        <w:tc>
          <w:tcPr>
            <w:tcW w:w="1053" w:type="dxa"/>
          </w:tcPr>
          <w:p w:rsidR="00EC1D37" w:rsidRPr="00B12716" w:rsidRDefault="00EC1D37" w:rsidP="00B12716">
            <w:pPr>
              <w:pStyle w:val="TableParagraph"/>
              <w:spacing w:line="360" w:lineRule="auto"/>
              <w:ind w:left="214" w:right="199"/>
              <w:rPr>
                <w:sz w:val="20"/>
                <w:szCs w:val="20"/>
              </w:rPr>
            </w:pPr>
            <w:r w:rsidRPr="00B12716">
              <w:rPr>
                <w:sz w:val="20"/>
                <w:szCs w:val="20"/>
              </w:rPr>
              <w:t>78.64</w:t>
            </w:r>
          </w:p>
        </w:tc>
        <w:tc>
          <w:tcPr>
            <w:tcW w:w="1068" w:type="dxa"/>
          </w:tcPr>
          <w:p w:rsidR="00EC1D37" w:rsidRPr="00B12716" w:rsidRDefault="00EC1D37" w:rsidP="00B12716">
            <w:pPr>
              <w:pStyle w:val="TableParagraph"/>
              <w:spacing w:line="360" w:lineRule="auto"/>
              <w:ind w:left="312" w:right="233"/>
              <w:rPr>
                <w:sz w:val="20"/>
                <w:szCs w:val="20"/>
              </w:rPr>
            </w:pPr>
            <w:r w:rsidRPr="00B12716">
              <w:rPr>
                <w:sz w:val="20"/>
                <w:szCs w:val="20"/>
              </w:rPr>
              <w:t>8.23</w:t>
            </w:r>
          </w:p>
        </w:tc>
        <w:tc>
          <w:tcPr>
            <w:tcW w:w="921" w:type="dxa"/>
          </w:tcPr>
          <w:p w:rsidR="00EC1D37" w:rsidRPr="00B12716" w:rsidRDefault="00EC1D37" w:rsidP="00B12716">
            <w:pPr>
              <w:pStyle w:val="TableParagraph"/>
              <w:spacing w:line="360" w:lineRule="auto"/>
              <w:ind w:left="167" w:right="147"/>
              <w:rPr>
                <w:sz w:val="20"/>
                <w:szCs w:val="20"/>
              </w:rPr>
            </w:pPr>
            <w:r w:rsidRPr="00B12716">
              <w:rPr>
                <w:sz w:val="20"/>
                <w:szCs w:val="20"/>
              </w:rPr>
              <w:t>&gt;0.05</w:t>
            </w:r>
          </w:p>
        </w:tc>
      </w:tr>
      <w:tr w:rsidR="00EC1D37" w:rsidRPr="00B12716" w:rsidTr="00EC1D37">
        <w:trPr>
          <w:trHeight w:val="551"/>
        </w:trPr>
        <w:tc>
          <w:tcPr>
            <w:tcW w:w="1850" w:type="dxa"/>
            <w:shd w:val="clear" w:color="auto" w:fill="92D050"/>
          </w:tcPr>
          <w:p w:rsidR="00EC1D37" w:rsidRPr="00B12716" w:rsidRDefault="00EC1D37" w:rsidP="00B12716">
            <w:pPr>
              <w:pStyle w:val="TableParagraph"/>
              <w:spacing w:line="360" w:lineRule="auto"/>
              <w:ind w:left="242" w:right="220"/>
              <w:rPr>
                <w:b/>
                <w:sz w:val="20"/>
                <w:szCs w:val="20"/>
              </w:rPr>
            </w:pPr>
            <w:r w:rsidRPr="00B12716">
              <w:rPr>
                <w:b/>
                <w:sz w:val="20"/>
                <w:szCs w:val="20"/>
              </w:rPr>
              <w:t>1 min</w:t>
            </w:r>
          </w:p>
        </w:tc>
        <w:tc>
          <w:tcPr>
            <w:tcW w:w="1146" w:type="dxa"/>
          </w:tcPr>
          <w:p w:rsidR="00EC1D37" w:rsidRPr="00B12716" w:rsidRDefault="00EC1D37" w:rsidP="00B12716">
            <w:pPr>
              <w:pStyle w:val="TableParagraph"/>
              <w:spacing w:line="360" w:lineRule="auto"/>
              <w:ind w:right="287"/>
              <w:jc w:val="right"/>
              <w:rPr>
                <w:sz w:val="20"/>
                <w:szCs w:val="20"/>
              </w:rPr>
            </w:pPr>
            <w:r w:rsidRPr="00B12716">
              <w:rPr>
                <w:sz w:val="20"/>
                <w:szCs w:val="20"/>
              </w:rPr>
              <w:t>70.52</w:t>
            </w:r>
          </w:p>
        </w:tc>
        <w:tc>
          <w:tcPr>
            <w:tcW w:w="1260" w:type="dxa"/>
          </w:tcPr>
          <w:p w:rsidR="00EC1D37" w:rsidRPr="00B12716" w:rsidRDefault="00EC1D37" w:rsidP="00B12716">
            <w:pPr>
              <w:pStyle w:val="TableParagraph"/>
              <w:spacing w:line="360" w:lineRule="auto"/>
              <w:ind w:left="341" w:right="322"/>
              <w:rPr>
                <w:sz w:val="20"/>
                <w:szCs w:val="20"/>
              </w:rPr>
            </w:pPr>
            <w:r w:rsidRPr="00B12716">
              <w:rPr>
                <w:sz w:val="20"/>
                <w:szCs w:val="20"/>
              </w:rPr>
              <w:t>6.85</w:t>
            </w:r>
          </w:p>
        </w:tc>
        <w:tc>
          <w:tcPr>
            <w:tcW w:w="1053" w:type="dxa"/>
          </w:tcPr>
          <w:p w:rsidR="00EC1D37" w:rsidRPr="00B12716" w:rsidRDefault="00EC1D37" w:rsidP="00B12716">
            <w:pPr>
              <w:pStyle w:val="TableParagraph"/>
              <w:spacing w:line="360" w:lineRule="auto"/>
              <w:ind w:left="214" w:right="199"/>
              <w:rPr>
                <w:sz w:val="20"/>
                <w:szCs w:val="20"/>
              </w:rPr>
            </w:pPr>
            <w:r w:rsidRPr="00B12716">
              <w:rPr>
                <w:sz w:val="20"/>
                <w:szCs w:val="20"/>
              </w:rPr>
              <w:t>71.34</w:t>
            </w:r>
          </w:p>
        </w:tc>
        <w:tc>
          <w:tcPr>
            <w:tcW w:w="1068" w:type="dxa"/>
          </w:tcPr>
          <w:p w:rsidR="00EC1D37" w:rsidRPr="00B12716" w:rsidRDefault="00EC1D37" w:rsidP="00B12716">
            <w:pPr>
              <w:pStyle w:val="TableParagraph"/>
              <w:spacing w:line="360" w:lineRule="auto"/>
              <w:ind w:left="312" w:right="233"/>
              <w:rPr>
                <w:sz w:val="20"/>
                <w:szCs w:val="20"/>
              </w:rPr>
            </w:pPr>
            <w:r w:rsidRPr="00B12716">
              <w:rPr>
                <w:sz w:val="20"/>
                <w:szCs w:val="20"/>
              </w:rPr>
              <w:t>8.09</w:t>
            </w:r>
          </w:p>
        </w:tc>
        <w:tc>
          <w:tcPr>
            <w:tcW w:w="921" w:type="dxa"/>
          </w:tcPr>
          <w:p w:rsidR="00EC1D37" w:rsidRPr="00B12716" w:rsidRDefault="00EC1D37" w:rsidP="00B12716">
            <w:pPr>
              <w:pStyle w:val="TableParagraph"/>
              <w:spacing w:line="360" w:lineRule="auto"/>
              <w:ind w:left="167" w:right="147"/>
              <w:rPr>
                <w:sz w:val="20"/>
                <w:szCs w:val="20"/>
              </w:rPr>
            </w:pPr>
            <w:r w:rsidRPr="00B12716">
              <w:rPr>
                <w:sz w:val="20"/>
                <w:szCs w:val="20"/>
              </w:rPr>
              <w:t>&gt;0.05</w:t>
            </w:r>
          </w:p>
        </w:tc>
      </w:tr>
      <w:tr w:rsidR="00EC1D37" w:rsidRPr="00B12716" w:rsidTr="00EC1D37">
        <w:trPr>
          <w:trHeight w:val="552"/>
        </w:trPr>
        <w:tc>
          <w:tcPr>
            <w:tcW w:w="1850" w:type="dxa"/>
            <w:shd w:val="clear" w:color="auto" w:fill="92D050"/>
          </w:tcPr>
          <w:p w:rsidR="00EC1D37" w:rsidRPr="00B12716" w:rsidRDefault="00EC1D37" w:rsidP="00B12716">
            <w:pPr>
              <w:pStyle w:val="TableParagraph"/>
              <w:spacing w:line="360" w:lineRule="auto"/>
              <w:ind w:left="241" w:right="220"/>
              <w:rPr>
                <w:b/>
                <w:sz w:val="20"/>
                <w:szCs w:val="20"/>
              </w:rPr>
            </w:pPr>
            <w:r w:rsidRPr="00B12716">
              <w:rPr>
                <w:b/>
                <w:sz w:val="20"/>
                <w:szCs w:val="20"/>
              </w:rPr>
              <w:t>3 mins</w:t>
            </w:r>
          </w:p>
        </w:tc>
        <w:tc>
          <w:tcPr>
            <w:tcW w:w="1146" w:type="dxa"/>
          </w:tcPr>
          <w:p w:rsidR="00EC1D37" w:rsidRPr="00B12716" w:rsidRDefault="00EC1D37" w:rsidP="00B12716">
            <w:pPr>
              <w:pStyle w:val="TableParagraph"/>
              <w:spacing w:line="360" w:lineRule="auto"/>
              <w:ind w:right="287"/>
              <w:jc w:val="right"/>
              <w:rPr>
                <w:sz w:val="20"/>
                <w:szCs w:val="20"/>
              </w:rPr>
            </w:pPr>
            <w:r w:rsidRPr="00B12716">
              <w:rPr>
                <w:sz w:val="20"/>
                <w:szCs w:val="20"/>
              </w:rPr>
              <w:t>70.36</w:t>
            </w:r>
          </w:p>
        </w:tc>
        <w:tc>
          <w:tcPr>
            <w:tcW w:w="1260" w:type="dxa"/>
          </w:tcPr>
          <w:p w:rsidR="00EC1D37" w:rsidRPr="00B12716" w:rsidRDefault="00EC1D37" w:rsidP="00B12716">
            <w:pPr>
              <w:pStyle w:val="TableParagraph"/>
              <w:spacing w:line="360" w:lineRule="auto"/>
              <w:ind w:left="341" w:right="322"/>
              <w:rPr>
                <w:sz w:val="20"/>
                <w:szCs w:val="20"/>
              </w:rPr>
            </w:pPr>
            <w:r w:rsidRPr="00B12716">
              <w:rPr>
                <w:sz w:val="20"/>
                <w:szCs w:val="20"/>
              </w:rPr>
              <w:t>6.11</w:t>
            </w:r>
          </w:p>
        </w:tc>
        <w:tc>
          <w:tcPr>
            <w:tcW w:w="1053" w:type="dxa"/>
          </w:tcPr>
          <w:p w:rsidR="00EC1D37" w:rsidRPr="00B12716" w:rsidRDefault="00EC1D37" w:rsidP="00B12716">
            <w:pPr>
              <w:pStyle w:val="TableParagraph"/>
              <w:spacing w:line="360" w:lineRule="auto"/>
              <w:ind w:left="214" w:right="199"/>
              <w:rPr>
                <w:sz w:val="20"/>
                <w:szCs w:val="20"/>
              </w:rPr>
            </w:pPr>
            <w:r w:rsidRPr="00B12716">
              <w:rPr>
                <w:sz w:val="20"/>
                <w:szCs w:val="20"/>
              </w:rPr>
              <w:t>71.98</w:t>
            </w:r>
          </w:p>
        </w:tc>
        <w:tc>
          <w:tcPr>
            <w:tcW w:w="1068" w:type="dxa"/>
          </w:tcPr>
          <w:p w:rsidR="00EC1D37" w:rsidRPr="00B12716" w:rsidRDefault="00EC1D37" w:rsidP="00B12716">
            <w:pPr>
              <w:pStyle w:val="TableParagraph"/>
              <w:spacing w:line="360" w:lineRule="auto"/>
              <w:ind w:left="312" w:right="233"/>
              <w:rPr>
                <w:sz w:val="20"/>
                <w:szCs w:val="20"/>
              </w:rPr>
            </w:pPr>
            <w:r w:rsidRPr="00B12716">
              <w:rPr>
                <w:sz w:val="20"/>
                <w:szCs w:val="20"/>
              </w:rPr>
              <w:t>7.65</w:t>
            </w:r>
          </w:p>
        </w:tc>
        <w:tc>
          <w:tcPr>
            <w:tcW w:w="921" w:type="dxa"/>
          </w:tcPr>
          <w:p w:rsidR="00EC1D37" w:rsidRPr="00B12716" w:rsidRDefault="00EC1D37" w:rsidP="00B12716">
            <w:pPr>
              <w:pStyle w:val="TableParagraph"/>
              <w:spacing w:line="360" w:lineRule="auto"/>
              <w:ind w:left="167" w:right="147"/>
              <w:rPr>
                <w:sz w:val="20"/>
                <w:szCs w:val="20"/>
              </w:rPr>
            </w:pPr>
            <w:r w:rsidRPr="00B12716">
              <w:rPr>
                <w:sz w:val="20"/>
                <w:szCs w:val="20"/>
              </w:rPr>
              <w:t>&gt;0.05</w:t>
            </w:r>
          </w:p>
        </w:tc>
      </w:tr>
      <w:tr w:rsidR="00EC1D37" w:rsidRPr="00B12716" w:rsidTr="00EC1D37">
        <w:trPr>
          <w:trHeight w:val="551"/>
        </w:trPr>
        <w:tc>
          <w:tcPr>
            <w:tcW w:w="1850" w:type="dxa"/>
            <w:shd w:val="clear" w:color="auto" w:fill="92D050"/>
          </w:tcPr>
          <w:p w:rsidR="00EC1D37" w:rsidRPr="00B12716" w:rsidRDefault="00EC1D37" w:rsidP="00B12716">
            <w:pPr>
              <w:pStyle w:val="TableParagraph"/>
              <w:spacing w:line="360" w:lineRule="auto"/>
              <w:ind w:left="241" w:right="220"/>
              <w:rPr>
                <w:b/>
                <w:sz w:val="20"/>
                <w:szCs w:val="20"/>
              </w:rPr>
            </w:pPr>
            <w:r w:rsidRPr="00B12716">
              <w:rPr>
                <w:b/>
                <w:sz w:val="20"/>
                <w:szCs w:val="20"/>
              </w:rPr>
              <w:t>5 mins</w:t>
            </w:r>
          </w:p>
        </w:tc>
        <w:tc>
          <w:tcPr>
            <w:tcW w:w="1146" w:type="dxa"/>
          </w:tcPr>
          <w:p w:rsidR="00EC1D37" w:rsidRPr="00B12716" w:rsidRDefault="00EC1D37" w:rsidP="00B12716">
            <w:pPr>
              <w:pStyle w:val="TableParagraph"/>
              <w:spacing w:line="360" w:lineRule="auto"/>
              <w:ind w:right="287"/>
              <w:jc w:val="right"/>
              <w:rPr>
                <w:sz w:val="20"/>
                <w:szCs w:val="20"/>
              </w:rPr>
            </w:pPr>
            <w:r w:rsidRPr="00B12716">
              <w:rPr>
                <w:sz w:val="20"/>
                <w:szCs w:val="20"/>
              </w:rPr>
              <w:t>72.14</w:t>
            </w:r>
          </w:p>
        </w:tc>
        <w:tc>
          <w:tcPr>
            <w:tcW w:w="1260" w:type="dxa"/>
          </w:tcPr>
          <w:p w:rsidR="00EC1D37" w:rsidRPr="00B12716" w:rsidRDefault="00EC1D37" w:rsidP="00B12716">
            <w:pPr>
              <w:pStyle w:val="TableParagraph"/>
              <w:spacing w:line="360" w:lineRule="auto"/>
              <w:ind w:left="341" w:right="322"/>
              <w:rPr>
                <w:sz w:val="20"/>
                <w:szCs w:val="20"/>
              </w:rPr>
            </w:pPr>
            <w:r w:rsidRPr="00B12716">
              <w:rPr>
                <w:sz w:val="20"/>
                <w:szCs w:val="20"/>
              </w:rPr>
              <w:t>6.29</w:t>
            </w:r>
          </w:p>
        </w:tc>
        <w:tc>
          <w:tcPr>
            <w:tcW w:w="1053" w:type="dxa"/>
          </w:tcPr>
          <w:p w:rsidR="00EC1D37" w:rsidRPr="00B12716" w:rsidRDefault="00EC1D37" w:rsidP="00B12716">
            <w:pPr>
              <w:pStyle w:val="TableParagraph"/>
              <w:spacing w:line="360" w:lineRule="auto"/>
              <w:ind w:left="214" w:right="199"/>
              <w:rPr>
                <w:sz w:val="20"/>
                <w:szCs w:val="20"/>
              </w:rPr>
            </w:pPr>
            <w:r w:rsidRPr="00B12716">
              <w:rPr>
                <w:sz w:val="20"/>
                <w:szCs w:val="20"/>
              </w:rPr>
              <w:t>72.86</w:t>
            </w:r>
          </w:p>
        </w:tc>
        <w:tc>
          <w:tcPr>
            <w:tcW w:w="1068" w:type="dxa"/>
          </w:tcPr>
          <w:p w:rsidR="00EC1D37" w:rsidRPr="00B12716" w:rsidRDefault="00EC1D37" w:rsidP="00B12716">
            <w:pPr>
              <w:pStyle w:val="TableParagraph"/>
              <w:spacing w:line="360" w:lineRule="auto"/>
              <w:ind w:left="312" w:right="233"/>
              <w:rPr>
                <w:sz w:val="20"/>
                <w:szCs w:val="20"/>
              </w:rPr>
            </w:pPr>
            <w:r w:rsidRPr="00B12716">
              <w:rPr>
                <w:sz w:val="20"/>
                <w:szCs w:val="20"/>
              </w:rPr>
              <w:t>7.33</w:t>
            </w:r>
          </w:p>
        </w:tc>
        <w:tc>
          <w:tcPr>
            <w:tcW w:w="921" w:type="dxa"/>
          </w:tcPr>
          <w:p w:rsidR="00EC1D37" w:rsidRPr="00B12716" w:rsidRDefault="00EC1D37" w:rsidP="00B12716">
            <w:pPr>
              <w:pStyle w:val="TableParagraph"/>
              <w:spacing w:line="360" w:lineRule="auto"/>
              <w:ind w:left="167" w:right="147"/>
              <w:rPr>
                <w:sz w:val="20"/>
                <w:szCs w:val="20"/>
              </w:rPr>
            </w:pPr>
            <w:r w:rsidRPr="00B12716">
              <w:rPr>
                <w:sz w:val="20"/>
                <w:szCs w:val="20"/>
              </w:rPr>
              <w:t>&gt;0.05</w:t>
            </w:r>
          </w:p>
        </w:tc>
      </w:tr>
      <w:tr w:rsidR="00EC1D37" w:rsidRPr="00B12716" w:rsidTr="00EC1D37">
        <w:trPr>
          <w:trHeight w:val="551"/>
        </w:trPr>
        <w:tc>
          <w:tcPr>
            <w:tcW w:w="1850" w:type="dxa"/>
            <w:shd w:val="clear" w:color="auto" w:fill="92D050"/>
          </w:tcPr>
          <w:p w:rsidR="00EC1D37" w:rsidRPr="00B12716" w:rsidRDefault="00EC1D37" w:rsidP="00B12716">
            <w:pPr>
              <w:pStyle w:val="TableParagraph"/>
              <w:spacing w:line="360" w:lineRule="auto"/>
              <w:ind w:left="243" w:right="220"/>
              <w:rPr>
                <w:b/>
                <w:sz w:val="20"/>
                <w:szCs w:val="20"/>
              </w:rPr>
            </w:pPr>
            <w:r w:rsidRPr="00B12716">
              <w:rPr>
                <w:b/>
                <w:sz w:val="20"/>
                <w:szCs w:val="20"/>
              </w:rPr>
              <w:t>10</w:t>
            </w:r>
            <w:r w:rsidRPr="00B12716">
              <w:rPr>
                <w:b/>
                <w:spacing w:val="-3"/>
                <w:sz w:val="20"/>
                <w:szCs w:val="20"/>
              </w:rPr>
              <w:t xml:space="preserve"> </w:t>
            </w:r>
            <w:r w:rsidRPr="00B12716">
              <w:rPr>
                <w:b/>
                <w:sz w:val="20"/>
                <w:szCs w:val="20"/>
              </w:rPr>
              <w:t>mins</w:t>
            </w:r>
          </w:p>
        </w:tc>
        <w:tc>
          <w:tcPr>
            <w:tcW w:w="1146" w:type="dxa"/>
          </w:tcPr>
          <w:p w:rsidR="00EC1D37" w:rsidRPr="00B12716" w:rsidRDefault="00EC1D37" w:rsidP="00B12716">
            <w:pPr>
              <w:pStyle w:val="TableParagraph"/>
              <w:spacing w:line="360" w:lineRule="auto"/>
              <w:ind w:right="287"/>
              <w:jc w:val="right"/>
              <w:rPr>
                <w:sz w:val="20"/>
                <w:szCs w:val="20"/>
              </w:rPr>
            </w:pPr>
            <w:r w:rsidRPr="00B12716">
              <w:rPr>
                <w:sz w:val="20"/>
                <w:szCs w:val="20"/>
              </w:rPr>
              <w:t>72.96</w:t>
            </w:r>
          </w:p>
        </w:tc>
        <w:tc>
          <w:tcPr>
            <w:tcW w:w="1260" w:type="dxa"/>
          </w:tcPr>
          <w:p w:rsidR="00EC1D37" w:rsidRPr="00B12716" w:rsidRDefault="00EC1D37" w:rsidP="00B12716">
            <w:pPr>
              <w:pStyle w:val="TableParagraph"/>
              <w:spacing w:line="360" w:lineRule="auto"/>
              <w:ind w:left="341" w:right="322"/>
              <w:rPr>
                <w:sz w:val="20"/>
                <w:szCs w:val="20"/>
              </w:rPr>
            </w:pPr>
            <w:r w:rsidRPr="00B12716">
              <w:rPr>
                <w:sz w:val="20"/>
                <w:szCs w:val="20"/>
              </w:rPr>
              <w:t>6.26</w:t>
            </w:r>
          </w:p>
        </w:tc>
        <w:tc>
          <w:tcPr>
            <w:tcW w:w="1053" w:type="dxa"/>
          </w:tcPr>
          <w:p w:rsidR="00EC1D37" w:rsidRPr="00B12716" w:rsidRDefault="00EC1D37" w:rsidP="00B12716">
            <w:pPr>
              <w:pStyle w:val="TableParagraph"/>
              <w:spacing w:line="360" w:lineRule="auto"/>
              <w:ind w:left="214" w:right="199"/>
              <w:rPr>
                <w:sz w:val="20"/>
                <w:szCs w:val="20"/>
              </w:rPr>
            </w:pPr>
            <w:r w:rsidRPr="00B12716">
              <w:rPr>
                <w:sz w:val="20"/>
                <w:szCs w:val="20"/>
              </w:rPr>
              <w:t>73.76</w:t>
            </w:r>
          </w:p>
        </w:tc>
        <w:tc>
          <w:tcPr>
            <w:tcW w:w="1068" w:type="dxa"/>
          </w:tcPr>
          <w:p w:rsidR="00EC1D37" w:rsidRPr="00B12716" w:rsidRDefault="00EC1D37" w:rsidP="00B12716">
            <w:pPr>
              <w:pStyle w:val="TableParagraph"/>
              <w:spacing w:line="360" w:lineRule="auto"/>
              <w:ind w:left="312" w:right="233"/>
              <w:rPr>
                <w:sz w:val="20"/>
                <w:szCs w:val="20"/>
              </w:rPr>
            </w:pPr>
            <w:r w:rsidRPr="00B12716">
              <w:rPr>
                <w:sz w:val="20"/>
                <w:szCs w:val="20"/>
              </w:rPr>
              <w:t>7.09</w:t>
            </w:r>
          </w:p>
        </w:tc>
        <w:tc>
          <w:tcPr>
            <w:tcW w:w="921" w:type="dxa"/>
          </w:tcPr>
          <w:p w:rsidR="00EC1D37" w:rsidRPr="00B12716" w:rsidRDefault="00EC1D37" w:rsidP="00B12716">
            <w:pPr>
              <w:pStyle w:val="TableParagraph"/>
              <w:spacing w:line="360" w:lineRule="auto"/>
              <w:ind w:left="167" w:right="147"/>
              <w:rPr>
                <w:sz w:val="20"/>
                <w:szCs w:val="20"/>
              </w:rPr>
            </w:pPr>
            <w:r w:rsidRPr="00B12716">
              <w:rPr>
                <w:sz w:val="20"/>
                <w:szCs w:val="20"/>
              </w:rPr>
              <w:t>&gt;0.05</w:t>
            </w:r>
          </w:p>
        </w:tc>
      </w:tr>
    </w:tbl>
    <w:p w:rsidR="00EC1D37" w:rsidRPr="00B12716" w:rsidRDefault="00EC1D37" w:rsidP="00B12716">
      <w:pPr>
        <w:tabs>
          <w:tab w:val="left" w:pos="1820"/>
        </w:tabs>
        <w:spacing w:after="0" w:line="360" w:lineRule="auto"/>
        <w:rPr>
          <w:rFonts w:ascii="Times New Roman" w:hAnsi="Times New Roman" w:cs="Times New Roman"/>
          <w:sz w:val="20"/>
          <w:szCs w:val="20"/>
        </w:rPr>
      </w:pPr>
    </w:p>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Comparison of Mean Arterial Pressure MAP (mmHg) at various timeintervals</w:t>
      </w:r>
    </w:p>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Intraoperatively throughout the study mean arterial pressure values were comparable in both the groups. There was no significant difference between the groups as per Student t-test (p&gt;0.05).</w:t>
      </w:r>
    </w:p>
    <w:p w:rsidR="00E82FB2" w:rsidRDefault="00E82FB2" w:rsidP="00B12716">
      <w:pPr>
        <w:tabs>
          <w:tab w:val="left" w:pos="1820"/>
        </w:tabs>
        <w:spacing w:after="0" w:line="360" w:lineRule="auto"/>
        <w:rPr>
          <w:rFonts w:ascii="Times New Roman" w:hAnsi="Times New Roman" w:cs="Times New Roman"/>
          <w:b/>
          <w:bCs/>
          <w:sz w:val="20"/>
          <w:szCs w:val="20"/>
          <w:lang w:val="en-US"/>
        </w:rPr>
      </w:pPr>
    </w:p>
    <w:p w:rsidR="00E82FB2" w:rsidRDefault="00E82FB2" w:rsidP="00B12716">
      <w:pPr>
        <w:tabs>
          <w:tab w:val="left" w:pos="1820"/>
        </w:tabs>
        <w:spacing w:after="0" w:line="360" w:lineRule="auto"/>
        <w:rPr>
          <w:rFonts w:ascii="Times New Roman" w:hAnsi="Times New Roman" w:cs="Times New Roman"/>
          <w:b/>
          <w:bCs/>
          <w:sz w:val="20"/>
          <w:szCs w:val="20"/>
          <w:lang w:val="en-US"/>
        </w:rPr>
      </w:pPr>
    </w:p>
    <w:p w:rsidR="00E82FB2" w:rsidRDefault="00E82FB2" w:rsidP="00B12716">
      <w:pPr>
        <w:tabs>
          <w:tab w:val="left" w:pos="1820"/>
        </w:tabs>
        <w:spacing w:after="0" w:line="360" w:lineRule="auto"/>
        <w:rPr>
          <w:rFonts w:ascii="Times New Roman" w:hAnsi="Times New Roman" w:cs="Times New Roman"/>
          <w:b/>
          <w:bCs/>
          <w:sz w:val="20"/>
          <w:szCs w:val="20"/>
          <w:lang w:val="en-US"/>
        </w:rPr>
      </w:pPr>
    </w:p>
    <w:p w:rsidR="00E82FB2" w:rsidRDefault="00E82FB2" w:rsidP="00B12716">
      <w:pPr>
        <w:tabs>
          <w:tab w:val="left" w:pos="1820"/>
        </w:tabs>
        <w:spacing w:after="0" w:line="360" w:lineRule="auto"/>
        <w:rPr>
          <w:rFonts w:ascii="Times New Roman" w:hAnsi="Times New Roman" w:cs="Times New Roman"/>
          <w:b/>
          <w:bCs/>
          <w:sz w:val="20"/>
          <w:szCs w:val="20"/>
          <w:lang w:val="en-US"/>
        </w:rPr>
      </w:pPr>
    </w:p>
    <w:p w:rsidR="00E82FB2" w:rsidRDefault="00E82FB2" w:rsidP="00B12716">
      <w:pPr>
        <w:tabs>
          <w:tab w:val="left" w:pos="1820"/>
        </w:tabs>
        <w:spacing w:after="0" w:line="360" w:lineRule="auto"/>
        <w:rPr>
          <w:rFonts w:ascii="Times New Roman" w:hAnsi="Times New Roman" w:cs="Times New Roman"/>
          <w:b/>
          <w:bCs/>
          <w:sz w:val="20"/>
          <w:szCs w:val="20"/>
          <w:lang w:val="en-US"/>
        </w:rPr>
      </w:pPr>
    </w:p>
    <w:p w:rsidR="00E82FB2" w:rsidRDefault="00E82FB2" w:rsidP="00B12716">
      <w:pPr>
        <w:tabs>
          <w:tab w:val="left" w:pos="1820"/>
        </w:tabs>
        <w:spacing w:after="0" w:line="360" w:lineRule="auto"/>
        <w:rPr>
          <w:rFonts w:ascii="Times New Roman" w:hAnsi="Times New Roman" w:cs="Times New Roman"/>
          <w:b/>
          <w:bCs/>
          <w:sz w:val="20"/>
          <w:szCs w:val="20"/>
          <w:lang w:val="en-US"/>
        </w:rPr>
      </w:pPr>
    </w:p>
    <w:p w:rsidR="00E82FB2" w:rsidRDefault="00E82FB2" w:rsidP="00B12716">
      <w:pPr>
        <w:tabs>
          <w:tab w:val="left" w:pos="1820"/>
        </w:tabs>
        <w:spacing w:after="0" w:line="360" w:lineRule="auto"/>
        <w:rPr>
          <w:rFonts w:ascii="Times New Roman" w:hAnsi="Times New Roman" w:cs="Times New Roman"/>
          <w:b/>
          <w:bCs/>
          <w:sz w:val="20"/>
          <w:szCs w:val="20"/>
          <w:lang w:val="en-US"/>
        </w:rPr>
      </w:pPr>
    </w:p>
    <w:p w:rsidR="00EC1D37" w:rsidRPr="00B12716" w:rsidRDefault="00B12716" w:rsidP="00B12716">
      <w:pPr>
        <w:tabs>
          <w:tab w:val="left" w:pos="1820"/>
        </w:tabs>
        <w:spacing w:after="0" w:line="36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Table 4</w:t>
      </w:r>
      <w:r w:rsidR="00EC1D37" w:rsidRPr="00B12716">
        <w:rPr>
          <w:rFonts w:ascii="Times New Roman" w:hAnsi="Times New Roman" w:cs="Times New Roman"/>
          <w:b/>
          <w:bCs/>
          <w:sz w:val="20"/>
          <w:szCs w:val="20"/>
          <w:lang w:val="en-US"/>
        </w:rPr>
        <w:t>: Comparison of Mean Arterial Pressure MAP (mmHg) at various time intervals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6"/>
        <w:gridCol w:w="1146"/>
        <w:gridCol w:w="1260"/>
        <w:gridCol w:w="1053"/>
        <w:gridCol w:w="1068"/>
        <w:gridCol w:w="921"/>
      </w:tblGrid>
      <w:tr w:rsidR="00EC1D37" w:rsidRPr="00B12716" w:rsidTr="00EC1D37">
        <w:trPr>
          <w:trHeight w:val="549"/>
        </w:trPr>
        <w:tc>
          <w:tcPr>
            <w:tcW w:w="1936" w:type="dxa"/>
            <w:vMerge w:val="restart"/>
            <w:shd w:val="clear" w:color="auto" w:fill="92D050"/>
          </w:tcPr>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MAP</w:t>
            </w:r>
          </w:p>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p>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(mm Hg)</w:t>
            </w:r>
          </w:p>
        </w:tc>
        <w:tc>
          <w:tcPr>
            <w:tcW w:w="2406" w:type="dxa"/>
            <w:gridSpan w:val="2"/>
            <w:shd w:val="clear" w:color="auto" w:fill="92D050"/>
          </w:tcPr>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Group A</w:t>
            </w:r>
          </w:p>
        </w:tc>
        <w:tc>
          <w:tcPr>
            <w:tcW w:w="2121" w:type="dxa"/>
            <w:gridSpan w:val="2"/>
            <w:shd w:val="clear" w:color="auto" w:fill="92D050"/>
          </w:tcPr>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Group B</w:t>
            </w:r>
          </w:p>
        </w:tc>
        <w:tc>
          <w:tcPr>
            <w:tcW w:w="921" w:type="dxa"/>
            <w:vMerge w:val="restart"/>
            <w:shd w:val="clear" w:color="auto" w:fill="92D050"/>
          </w:tcPr>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p</w:t>
            </w:r>
          </w:p>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p>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value</w:t>
            </w:r>
          </w:p>
        </w:tc>
      </w:tr>
      <w:tr w:rsidR="00EC1D37" w:rsidRPr="00B12716" w:rsidTr="00EC1D37">
        <w:trPr>
          <w:trHeight w:val="551"/>
        </w:trPr>
        <w:tc>
          <w:tcPr>
            <w:tcW w:w="1936" w:type="dxa"/>
            <w:vMerge/>
            <w:tcBorders>
              <w:top w:val="nil"/>
            </w:tcBorders>
            <w:shd w:val="clear" w:color="auto" w:fill="92D050"/>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p>
        </w:tc>
        <w:tc>
          <w:tcPr>
            <w:tcW w:w="1146" w:type="dxa"/>
            <w:shd w:val="clear" w:color="auto" w:fill="92D050"/>
          </w:tcPr>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Mean</w:t>
            </w:r>
          </w:p>
        </w:tc>
        <w:tc>
          <w:tcPr>
            <w:tcW w:w="1260" w:type="dxa"/>
            <w:shd w:val="clear" w:color="auto" w:fill="92D050"/>
          </w:tcPr>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SD</w:t>
            </w:r>
          </w:p>
        </w:tc>
        <w:tc>
          <w:tcPr>
            <w:tcW w:w="1053" w:type="dxa"/>
            <w:shd w:val="clear" w:color="auto" w:fill="92D050"/>
          </w:tcPr>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Mean</w:t>
            </w:r>
          </w:p>
        </w:tc>
        <w:tc>
          <w:tcPr>
            <w:tcW w:w="1068" w:type="dxa"/>
            <w:shd w:val="clear" w:color="auto" w:fill="92D050"/>
          </w:tcPr>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SD</w:t>
            </w:r>
          </w:p>
        </w:tc>
        <w:tc>
          <w:tcPr>
            <w:tcW w:w="921" w:type="dxa"/>
            <w:vMerge/>
            <w:tcBorders>
              <w:top w:val="nil"/>
            </w:tcBorders>
            <w:shd w:val="clear" w:color="auto" w:fill="92D050"/>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p>
        </w:tc>
      </w:tr>
      <w:tr w:rsidR="00EC1D37" w:rsidRPr="00B12716" w:rsidTr="00EC1D37">
        <w:trPr>
          <w:trHeight w:val="549"/>
        </w:trPr>
        <w:tc>
          <w:tcPr>
            <w:tcW w:w="1936" w:type="dxa"/>
            <w:shd w:val="clear" w:color="auto" w:fill="92D050"/>
          </w:tcPr>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Preinduction</w:t>
            </w:r>
          </w:p>
        </w:tc>
        <w:tc>
          <w:tcPr>
            <w:tcW w:w="1146"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96.97</w:t>
            </w:r>
          </w:p>
        </w:tc>
        <w:tc>
          <w:tcPr>
            <w:tcW w:w="1260"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8.18</w:t>
            </w:r>
          </w:p>
        </w:tc>
        <w:tc>
          <w:tcPr>
            <w:tcW w:w="1053"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94.59</w:t>
            </w:r>
          </w:p>
        </w:tc>
        <w:tc>
          <w:tcPr>
            <w:tcW w:w="1068"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7.97</w:t>
            </w:r>
          </w:p>
        </w:tc>
        <w:tc>
          <w:tcPr>
            <w:tcW w:w="921"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&gt;0.05</w:t>
            </w:r>
          </w:p>
        </w:tc>
      </w:tr>
      <w:tr w:rsidR="00EC1D37" w:rsidRPr="00B12716" w:rsidTr="00EC1D37">
        <w:trPr>
          <w:trHeight w:val="551"/>
        </w:trPr>
        <w:tc>
          <w:tcPr>
            <w:tcW w:w="1936" w:type="dxa"/>
            <w:shd w:val="clear" w:color="auto" w:fill="92D050"/>
          </w:tcPr>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1 min</w:t>
            </w:r>
          </w:p>
        </w:tc>
        <w:tc>
          <w:tcPr>
            <w:tcW w:w="1146"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94.21</w:t>
            </w:r>
          </w:p>
        </w:tc>
        <w:tc>
          <w:tcPr>
            <w:tcW w:w="1260"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10.09</w:t>
            </w:r>
          </w:p>
        </w:tc>
        <w:tc>
          <w:tcPr>
            <w:tcW w:w="1053"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92.17</w:t>
            </w:r>
          </w:p>
        </w:tc>
        <w:tc>
          <w:tcPr>
            <w:tcW w:w="1068"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9.04</w:t>
            </w:r>
          </w:p>
        </w:tc>
        <w:tc>
          <w:tcPr>
            <w:tcW w:w="921"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&gt;0.05</w:t>
            </w:r>
          </w:p>
        </w:tc>
      </w:tr>
      <w:tr w:rsidR="00EC1D37" w:rsidRPr="00B12716" w:rsidTr="00EC1D37">
        <w:trPr>
          <w:trHeight w:val="551"/>
        </w:trPr>
        <w:tc>
          <w:tcPr>
            <w:tcW w:w="1936" w:type="dxa"/>
            <w:shd w:val="clear" w:color="auto" w:fill="92D050"/>
          </w:tcPr>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3 mins</w:t>
            </w:r>
          </w:p>
        </w:tc>
        <w:tc>
          <w:tcPr>
            <w:tcW w:w="1146"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91.66</w:t>
            </w:r>
          </w:p>
        </w:tc>
        <w:tc>
          <w:tcPr>
            <w:tcW w:w="1260"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9.89</w:t>
            </w:r>
          </w:p>
        </w:tc>
        <w:tc>
          <w:tcPr>
            <w:tcW w:w="1053"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91.21</w:t>
            </w:r>
          </w:p>
        </w:tc>
        <w:tc>
          <w:tcPr>
            <w:tcW w:w="1068"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7.26</w:t>
            </w:r>
          </w:p>
        </w:tc>
        <w:tc>
          <w:tcPr>
            <w:tcW w:w="921"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&gt;0.05</w:t>
            </w:r>
          </w:p>
        </w:tc>
      </w:tr>
      <w:tr w:rsidR="00EC1D37" w:rsidRPr="00B12716" w:rsidTr="00EC1D37">
        <w:trPr>
          <w:trHeight w:val="551"/>
        </w:trPr>
        <w:tc>
          <w:tcPr>
            <w:tcW w:w="1936" w:type="dxa"/>
            <w:shd w:val="clear" w:color="auto" w:fill="92D050"/>
          </w:tcPr>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5 mins</w:t>
            </w:r>
          </w:p>
        </w:tc>
        <w:tc>
          <w:tcPr>
            <w:tcW w:w="1146"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89.76</w:t>
            </w:r>
          </w:p>
        </w:tc>
        <w:tc>
          <w:tcPr>
            <w:tcW w:w="1260"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9.22</w:t>
            </w:r>
          </w:p>
        </w:tc>
        <w:tc>
          <w:tcPr>
            <w:tcW w:w="1053"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88.69</w:t>
            </w:r>
          </w:p>
        </w:tc>
        <w:tc>
          <w:tcPr>
            <w:tcW w:w="1068"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7.52</w:t>
            </w:r>
          </w:p>
        </w:tc>
        <w:tc>
          <w:tcPr>
            <w:tcW w:w="921"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&gt;0.05</w:t>
            </w:r>
          </w:p>
        </w:tc>
      </w:tr>
      <w:tr w:rsidR="00EC1D37" w:rsidRPr="00B12716" w:rsidTr="00EC1D37">
        <w:trPr>
          <w:trHeight w:val="551"/>
        </w:trPr>
        <w:tc>
          <w:tcPr>
            <w:tcW w:w="1936" w:type="dxa"/>
            <w:shd w:val="clear" w:color="auto" w:fill="92D050"/>
          </w:tcPr>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10 mins</w:t>
            </w:r>
          </w:p>
        </w:tc>
        <w:tc>
          <w:tcPr>
            <w:tcW w:w="1146"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87.93</w:t>
            </w:r>
          </w:p>
        </w:tc>
        <w:tc>
          <w:tcPr>
            <w:tcW w:w="1260"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8.68</w:t>
            </w:r>
          </w:p>
        </w:tc>
        <w:tc>
          <w:tcPr>
            <w:tcW w:w="1053"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86.21</w:t>
            </w:r>
          </w:p>
        </w:tc>
        <w:tc>
          <w:tcPr>
            <w:tcW w:w="1068"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7.17</w:t>
            </w:r>
          </w:p>
        </w:tc>
        <w:tc>
          <w:tcPr>
            <w:tcW w:w="921" w:type="dxa"/>
          </w:tcPr>
          <w:p w:rsidR="00EC1D37" w:rsidRPr="00B12716"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&gt;0.05</w:t>
            </w:r>
          </w:p>
        </w:tc>
      </w:tr>
    </w:tbl>
    <w:p w:rsidR="00EC1D37" w:rsidRPr="00B12716" w:rsidRDefault="00EC1D37" w:rsidP="00B12716">
      <w:pPr>
        <w:tabs>
          <w:tab w:val="left" w:pos="1820"/>
        </w:tabs>
        <w:spacing w:after="0" w:line="360" w:lineRule="auto"/>
        <w:rPr>
          <w:rFonts w:ascii="Times New Roman" w:hAnsi="Times New Roman" w:cs="Times New Roman"/>
          <w:sz w:val="20"/>
          <w:szCs w:val="20"/>
        </w:rPr>
      </w:pPr>
    </w:p>
    <w:p w:rsidR="00EC1D37" w:rsidRPr="00B12716" w:rsidRDefault="00EC1D37" w:rsidP="00B12716">
      <w:pPr>
        <w:tabs>
          <w:tab w:val="left" w:pos="1820"/>
        </w:tabs>
        <w:spacing w:after="0" w:line="360" w:lineRule="auto"/>
        <w:rPr>
          <w:rFonts w:ascii="Times New Roman" w:hAnsi="Times New Roman" w:cs="Times New Roman"/>
          <w:b/>
          <w:sz w:val="20"/>
          <w:szCs w:val="20"/>
          <w:lang w:val="en-US"/>
        </w:rPr>
      </w:pPr>
      <w:r w:rsidRPr="00B12716">
        <w:rPr>
          <w:rFonts w:ascii="Times New Roman" w:hAnsi="Times New Roman" w:cs="Times New Roman"/>
          <w:b/>
          <w:sz w:val="20"/>
          <w:szCs w:val="20"/>
          <w:lang w:val="en-US"/>
        </w:rPr>
        <w:t>Comparison of SpO2 (%) at various time intervals</w:t>
      </w:r>
    </w:p>
    <w:p w:rsidR="00EC1D37" w:rsidRDefault="00EC1D37" w:rsidP="00B12716">
      <w:pPr>
        <w:tabs>
          <w:tab w:val="left" w:pos="182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The SpO2 levels were comparable between the groups throughout the studyand it was statistically not significant as per Student t-test (p&gt;0.05).</w:t>
      </w:r>
    </w:p>
    <w:p w:rsidR="00B12716" w:rsidRPr="00B12716" w:rsidRDefault="00B12716" w:rsidP="00B12716">
      <w:pPr>
        <w:tabs>
          <w:tab w:val="left" w:pos="1820"/>
        </w:tabs>
        <w:spacing w:after="0" w:line="360" w:lineRule="auto"/>
        <w:rPr>
          <w:rFonts w:ascii="Times New Roman" w:hAnsi="Times New Roman" w:cs="Times New Roman"/>
          <w:sz w:val="20"/>
          <w:szCs w:val="20"/>
          <w:lang w:val="en-US"/>
        </w:rPr>
      </w:pPr>
    </w:p>
    <w:tbl>
      <w:tblPr>
        <w:tblpPr w:leftFromText="180" w:rightFromText="180" w:vertAnchor="text" w:horzAnchor="margin" w:tblpY="7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053"/>
        <w:gridCol w:w="991"/>
        <w:gridCol w:w="1118"/>
        <w:gridCol w:w="1171"/>
        <w:gridCol w:w="1168"/>
      </w:tblGrid>
      <w:tr w:rsidR="00EC1D37" w:rsidRPr="00B12716" w:rsidTr="00EC1D37">
        <w:trPr>
          <w:trHeight w:val="549"/>
        </w:trPr>
        <w:tc>
          <w:tcPr>
            <w:tcW w:w="1985" w:type="dxa"/>
            <w:vMerge w:val="restart"/>
            <w:shd w:val="clear" w:color="auto" w:fill="92D050"/>
          </w:tcPr>
          <w:p w:rsidR="00EC1D37" w:rsidRPr="00B12716" w:rsidRDefault="00EC1D37" w:rsidP="00B12716">
            <w:pPr>
              <w:widowControl w:val="0"/>
              <w:autoSpaceDE w:val="0"/>
              <w:autoSpaceDN w:val="0"/>
              <w:spacing w:after="0" w:line="360" w:lineRule="auto"/>
              <w:rPr>
                <w:rFonts w:ascii="Times New Roman" w:eastAsia="Times New Roman" w:hAnsi="Times New Roman" w:cs="Times New Roman"/>
                <w:b/>
                <w:sz w:val="20"/>
                <w:szCs w:val="20"/>
                <w:lang w:val="en-US"/>
              </w:rPr>
            </w:pPr>
          </w:p>
          <w:p w:rsidR="00EC1D37" w:rsidRPr="00B12716" w:rsidRDefault="00EC1D37" w:rsidP="00B12716">
            <w:pPr>
              <w:widowControl w:val="0"/>
              <w:autoSpaceDE w:val="0"/>
              <w:autoSpaceDN w:val="0"/>
              <w:spacing w:after="0" w:line="360" w:lineRule="auto"/>
              <w:ind w:left="465"/>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SpO2</w:t>
            </w:r>
            <w:r w:rsidRPr="00B12716">
              <w:rPr>
                <w:rFonts w:ascii="Times New Roman" w:eastAsia="Times New Roman" w:hAnsi="Times New Roman" w:cs="Times New Roman"/>
                <w:b/>
                <w:spacing w:val="-1"/>
                <w:sz w:val="20"/>
                <w:szCs w:val="20"/>
                <w:lang w:val="en-US"/>
              </w:rPr>
              <w:t xml:space="preserve"> </w:t>
            </w:r>
            <w:r w:rsidRPr="00B12716">
              <w:rPr>
                <w:rFonts w:ascii="Times New Roman" w:eastAsia="Times New Roman" w:hAnsi="Times New Roman" w:cs="Times New Roman"/>
                <w:b/>
                <w:sz w:val="20"/>
                <w:szCs w:val="20"/>
                <w:lang w:val="en-US"/>
              </w:rPr>
              <w:t>(%)</w:t>
            </w:r>
          </w:p>
        </w:tc>
        <w:tc>
          <w:tcPr>
            <w:tcW w:w="2044" w:type="dxa"/>
            <w:gridSpan w:val="2"/>
            <w:shd w:val="clear" w:color="auto" w:fill="92D050"/>
          </w:tcPr>
          <w:p w:rsidR="00EC1D37" w:rsidRPr="00B12716" w:rsidRDefault="00EC1D37" w:rsidP="00B12716">
            <w:pPr>
              <w:widowControl w:val="0"/>
              <w:autoSpaceDE w:val="0"/>
              <w:autoSpaceDN w:val="0"/>
              <w:spacing w:after="0" w:line="360" w:lineRule="auto"/>
              <w:ind w:left="549"/>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Group A</w:t>
            </w:r>
          </w:p>
        </w:tc>
        <w:tc>
          <w:tcPr>
            <w:tcW w:w="2289" w:type="dxa"/>
            <w:gridSpan w:val="2"/>
            <w:shd w:val="clear" w:color="auto" w:fill="92D050"/>
          </w:tcPr>
          <w:p w:rsidR="00EC1D37" w:rsidRPr="00B12716" w:rsidRDefault="00EC1D37" w:rsidP="00B12716">
            <w:pPr>
              <w:widowControl w:val="0"/>
              <w:autoSpaceDE w:val="0"/>
              <w:autoSpaceDN w:val="0"/>
              <w:spacing w:after="0" w:line="360" w:lineRule="auto"/>
              <w:ind w:left="673"/>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Group B</w:t>
            </w:r>
          </w:p>
        </w:tc>
        <w:tc>
          <w:tcPr>
            <w:tcW w:w="1168" w:type="dxa"/>
            <w:vMerge w:val="restart"/>
            <w:shd w:val="clear" w:color="auto" w:fill="92D050"/>
          </w:tcPr>
          <w:p w:rsidR="00EC1D37" w:rsidRPr="00B12716" w:rsidRDefault="00EC1D37" w:rsidP="00B12716">
            <w:pPr>
              <w:widowControl w:val="0"/>
              <w:autoSpaceDE w:val="0"/>
              <w:autoSpaceDN w:val="0"/>
              <w:spacing w:after="0" w:line="360" w:lineRule="auto"/>
              <w:rPr>
                <w:rFonts w:ascii="Times New Roman" w:eastAsia="Times New Roman" w:hAnsi="Times New Roman" w:cs="Times New Roman"/>
                <w:b/>
                <w:sz w:val="20"/>
                <w:szCs w:val="20"/>
                <w:lang w:val="en-US"/>
              </w:rPr>
            </w:pPr>
          </w:p>
          <w:p w:rsidR="00EC1D37" w:rsidRPr="00B12716" w:rsidRDefault="00EC1D37" w:rsidP="00B12716">
            <w:pPr>
              <w:widowControl w:val="0"/>
              <w:autoSpaceDE w:val="0"/>
              <w:autoSpaceDN w:val="0"/>
              <w:spacing w:after="0" w:line="360" w:lineRule="auto"/>
              <w:ind w:left="182"/>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p value</w:t>
            </w:r>
          </w:p>
        </w:tc>
      </w:tr>
      <w:tr w:rsidR="00EC1D37" w:rsidRPr="00B12716" w:rsidTr="00EC1D37">
        <w:trPr>
          <w:trHeight w:val="554"/>
        </w:trPr>
        <w:tc>
          <w:tcPr>
            <w:tcW w:w="1985" w:type="dxa"/>
            <w:vMerge/>
            <w:tcBorders>
              <w:top w:val="nil"/>
            </w:tcBorders>
            <w:shd w:val="clear" w:color="auto" w:fill="92D050"/>
          </w:tcPr>
          <w:p w:rsidR="00EC1D37" w:rsidRPr="00B12716" w:rsidRDefault="00EC1D37" w:rsidP="00B12716">
            <w:pPr>
              <w:widowControl w:val="0"/>
              <w:autoSpaceDE w:val="0"/>
              <w:autoSpaceDN w:val="0"/>
              <w:spacing w:after="0" w:line="360" w:lineRule="auto"/>
              <w:rPr>
                <w:rFonts w:ascii="Times New Roman" w:eastAsia="Times New Roman" w:hAnsi="Times New Roman" w:cs="Times New Roman"/>
                <w:sz w:val="20"/>
                <w:szCs w:val="20"/>
                <w:lang w:val="en-US"/>
              </w:rPr>
            </w:pPr>
          </w:p>
        </w:tc>
        <w:tc>
          <w:tcPr>
            <w:tcW w:w="1053" w:type="dxa"/>
            <w:shd w:val="clear" w:color="auto" w:fill="92D050"/>
          </w:tcPr>
          <w:p w:rsidR="00EC1D37" w:rsidRPr="00B12716" w:rsidRDefault="00EC1D37" w:rsidP="00B12716">
            <w:pPr>
              <w:widowControl w:val="0"/>
              <w:autoSpaceDE w:val="0"/>
              <w:autoSpaceDN w:val="0"/>
              <w:spacing w:after="0" w:line="360" w:lineRule="auto"/>
              <w:ind w:left="235"/>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Mean</w:t>
            </w:r>
          </w:p>
        </w:tc>
        <w:tc>
          <w:tcPr>
            <w:tcW w:w="991" w:type="dxa"/>
            <w:shd w:val="clear" w:color="auto" w:fill="92D050"/>
          </w:tcPr>
          <w:p w:rsidR="00EC1D37" w:rsidRPr="00B12716" w:rsidRDefault="00EC1D37" w:rsidP="00B12716">
            <w:pPr>
              <w:widowControl w:val="0"/>
              <w:autoSpaceDE w:val="0"/>
              <w:autoSpaceDN w:val="0"/>
              <w:spacing w:after="0" w:line="360" w:lineRule="auto"/>
              <w:ind w:left="273" w:right="243"/>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SD</w:t>
            </w:r>
          </w:p>
        </w:tc>
        <w:tc>
          <w:tcPr>
            <w:tcW w:w="1118" w:type="dxa"/>
            <w:shd w:val="clear" w:color="auto" w:fill="92D050"/>
          </w:tcPr>
          <w:p w:rsidR="00EC1D37" w:rsidRPr="00B12716" w:rsidRDefault="00EC1D37" w:rsidP="00B12716">
            <w:pPr>
              <w:widowControl w:val="0"/>
              <w:autoSpaceDE w:val="0"/>
              <w:autoSpaceDN w:val="0"/>
              <w:spacing w:after="0" w:line="360" w:lineRule="auto"/>
              <w:ind w:left="275"/>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Mean</w:t>
            </w:r>
          </w:p>
        </w:tc>
        <w:tc>
          <w:tcPr>
            <w:tcW w:w="1171" w:type="dxa"/>
            <w:shd w:val="clear" w:color="auto" w:fill="92D050"/>
          </w:tcPr>
          <w:p w:rsidR="00EC1D37" w:rsidRPr="00B12716" w:rsidRDefault="00EC1D37" w:rsidP="00B12716">
            <w:pPr>
              <w:widowControl w:val="0"/>
              <w:autoSpaceDE w:val="0"/>
              <w:autoSpaceDN w:val="0"/>
              <w:spacing w:after="0" w:line="360" w:lineRule="auto"/>
              <w:ind w:left="368" w:right="329"/>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SD</w:t>
            </w:r>
          </w:p>
        </w:tc>
        <w:tc>
          <w:tcPr>
            <w:tcW w:w="1168" w:type="dxa"/>
            <w:vMerge/>
            <w:tcBorders>
              <w:top w:val="nil"/>
            </w:tcBorders>
            <w:shd w:val="clear" w:color="auto" w:fill="92D050"/>
          </w:tcPr>
          <w:p w:rsidR="00EC1D37" w:rsidRPr="00B12716" w:rsidRDefault="00EC1D37" w:rsidP="00B12716">
            <w:pPr>
              <w:widowControl w:val="0"/>
              <w:autoSpaceDE w:val="0"/>
              <w:autoSpaceDN w:val="0"/>
              <w:spacing w:after="0" w:line="360" w:lineRule="auto"/>
              <w:rPr>
                <w:rFonts w:ascii="Times New Roman" w:eastAsia="Times New Roman" w:hAnsi="Times New Roman" w:cs="Times New Roman"/>
                <w:sz w:val="20"/>
                <w:szCs w:val="20"/>
                <w:lang w:val="en-US"/>
              </w:rPr>
            </w:pPr>
          </w:p>
        </w:tc>
      </w:tr>
      <w:tr w:rsidR="00EC1D37" w:rsidRPr="00B12716" w:rsidTr="00EC1D37">
        <w:trPr>
          <w:trHeight w:val="554"/>
        </w:trPr>
        <w:tc>
          <w:tcPr>
            <w:tcW w:w="1985" w:type="dxa"/>
            <w:shd w:val="clear" w:color="auto" w:fill="92D050"/>
          </w:tcPr>
          <w:p w:rsidR="00EC1D37" w:rsidRPr="00B12716" w:rsidRDefault="00EC1D37" w:rsidP="00B12716">
            <w:pPr>
              <w:widowControl w:val="0"/>
              <w:autoSpaceDE w:val="0"/>
              <w:autoSpaceDN w:val="0"/>
              <w:spacing w:after="0" w:line="360" w:lineRule="auto"/>
              <w:ind w:left="312" w:right="288"/>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Preinduction</w:t>
            </w:r>
          </w:p>
        </w:tc>
        <w:tc>
          <w:tcPr>
            <w:tcW w:w="1053" w:type="dxa"/>
          </w:tcPr>
          <w:p w:rsidR="00EC1D37" w:rsidRPr="00B12716" w:rsidRDefault="00EC1D37" w:rsidP="00B12716">
            <w:pPr>
              <w:widowControl w:val="0"/>
              <w:autoSpaceDE w:val="0"/>
              <w:autoSpaceDN w:val="0"/>
              <w:spacing w:after="0" w:line="360" w:lineRule="auto"/>
              <w:ind w:left="261"/>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98.14</w:t>
            </w:r>
          </w:p>
        </w:tc>
        <w:tc>
          <w:tcPr>
            <w:tcW w:w="991" w:type="dxa"/>
          </w:tcPr>
          <w:p w:rsidR="00EC1D37" w:rsidRPr="00B12716" w:rsidRDefault="00EC1D37" w:rsidP="00B12716">
            <w:pPr>
              <w:widowControl w:val="0"/>
              <w:autoSpaceDE w:val="0"/>
              <w:autoSpaceDN w:val="0"/>
              <w:spacing w:after="0" w:line="360" w:lineRule="auto"/>
              <w:ind w:left="273" w:right="247"/>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1.31</w:t>
            </w:r>
          </w:p>
        </w:tc>
        <w:tc>
          <w:tcPr>
            <w:tcW w:w="1118" w:type="dxa"/>
          </w:tcPr>
          <w:p w:rsidR="00EC1D37" w:rsidRPr="00B12716" w:rsidRDefault="00EC1D37" w:rsidP="00B12716">
            <w:pPr>
              <w:widowControl w:val="0"/>
              <w:autoSpaceDE w:val="0"/>
              <w:autoSpaceDN w:val="0"/>
              <w:spacing w:after="0" w:line="360" w:lineRule="auto"/>
              <w:ind w:left="298"/>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98.20</w:t>
            </w:r>
          </w:p>
        </w:tc>
        <w:tc>
          <w:tcPr>
            <w:tcW w:w="1171" w:type="dxa"/>
          </w:tcPr>
          <w:p w:rsidR="00EC1D37" w:rsidRPr="00B12716" w:rsidRDefault="00EC1D37" w:rsidP="00B12716">
            <w:pPr>
              <w:widowControl w:val="0"/>
              <w:autoSpaceDE w:val="0"/>
              <w:autoSpaceDN w:val="0"/>
              <w:spacing w:after="0" w:line="360" w:lineRule="auto"/>
              <w:ind w:left="368" w:right="333"/>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1.11</w:t>
            </w:r>
          </w:p>
        </w:tc>
        <w:tc>
          <w:tcPr>
            <w:tcW w:w="1168" w:type="dxa"/>
          </w:tcPr>
          <w:p w:rsidR="00EC1D37" w:rsidRPr="00B12716" w:rsidRDefault="00EC1D37" w:rsidP="00B12716">
            <w:pPr>
              <w:widowControl w:val="0"/>
              <w:autoSpaceDE w:val="0"/>
              <w:autoSpaceDN w:val="0"/>
              <w:spacing w:after="0" w:line="360" w:lineRule="auto"/>
              <w:ind w:right="282"/>
              <w:jc w:val="right"/>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&gt;0.05</w:t>
            </w:r>
          </w:p>
        </w:tc>
      </w:tr>
      <w:tr w:rsidR="00EC1D37" w:rsidRPr="00B12716" w:rsidTr="00EC1D37">
        <w:trPr>
          <w:trHeight w:val="549"/>
        </w:trPr>
        <w:tc>
          <w:tcPr>
            <w:tcW w:w="1985" w:type="dxa"/>
            <w:shd w:val="clear" w:color="auto" w:fill="92D050"/>
          </w:tcPr>
          <w:p w:rsidR="00EC1D37" w:rsidRPr="00B12716" w:rsidRDefault="00EC1D37" w:rsidP="00B12716">
            <w:pPr>
              <w:widowControl w:val="0"/>
              <w:autoSpaceDE w:val="0"/>
              <w:autoSpaceDN w:val="0"/>
              <w:spacing w:after="0" w:line="360" w:lineRule="auto"/>
              <w:ind w:left="312" w:right="286"/>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1 min</w:t>
            </w:r>
          </w:p>
        </w:tc>
        <w:tc>
          <w:tcPr>
            <w:tcW w:w="1053" w:type="dxa"/>
          </w:tcPr>
          <w:p w:rsidR="00EC1D37" w:rsidRPr="00B12716" w:rsidRDefault="00EC1D37" w:rsidP="00B12716">
            <w:pPr>
              <w:widowControl w:val="0"/>
              <w:autoSpaceDE w:val="0"/>
              <w:autoSpaceDN w:val="0"/>
              <w:spacing w:after="0" w:line="360" w:lineRule="auto"/>
              <w:ind w:left="261"/>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98.08</w:t>
            </w:r>
          </w:p>
        </w:tc>
        <w:tc>
          <w:tcPr>
            <w:tcW w:w="991" w:type="dxa"/>
          </w:tcPr>
          <w:p w:rsidR="00EC1D37" w:rsidRPr="00B12716" w:rsidRDefault="00EC1D37" w:rsidP="00B12716">
            <w:pPr>
              <w:widowControl w:val="0"/>
              <w:autoSpaceDE w:val="0"/>
              <w:autoSpaceDN w:val="0"/>
              <w:spacing w:after="0" w:line="360" w:lineRule="auto"/>
              <w:ind w:left="273" w:right="247"/>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1.34</w:t>
            </w:r>
          </w:p>
        </w:tc>
        <w:tc>
          <w:tcPr>
            <w:tcW w:w="1118" w:type="dxa"/>
          </w:tcPr>
          <w:p w:rsidR="00EC1D37" w:rsidRPr="00B12716" w:rsidRDefault="00EC1D37" w:rsidP="00B12716">
            <w:pPr>
              <w:widowControl w:val="0"/>
              <w:autoSpaceDE w:val="0"/>
              <w:autoSpaceDN w:val="0"/>
              <w:spacing w:after="0" w:line="360" w:lineRule="auto"/>
              <w:ind w:left="298"/>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98.26</w:t>
            </w:r>
          </w:p>
        </w:tc>
        <w:tc>
          <w:tcPr>
            <w:tcW w:w="1171" w:type="dxa"/>
          </w:tcPr>
          <w:p w:rsidR="00EC1D37" w:rsidRPr="00B12716" w:rsidRDefault="00EC1D37" w:rsidP="00B12716">
            <w:pPr>
              <w:widowControl w:val="0"/>
              <w:autoSpaceDE w:val="0"/>
              <w:autoSpaceDN w:val="0"/>
              <w:spacing w:after="0" w:line="360" w:lineRule="auto"/>
              <w:ind w:left="368" w:right="333"/>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1.21</w:t>
            </w:r>
          </w:p>
        </w:tc>
        <w:tc>
          <w:tcPr>
            <w:tcW w:w="1168" w:type="dxa"/>
          </w:tcPr>
          <w:p w:rsidR="00EC1D37" w:rsidRPr="00B12716" w:rsidRDefault="00EC1D37" w:rsidP="00B12716">
            <w:pPr>
              <w:widowControl w:val="0"/>
              <w:autoSpaceDE w:val="0"/>
              <w:autoSpaceDN w:val="0"/>
              <w:spacing w:after="0" w:line="360" w:lineRule="auto"/>
              <w:ind w:right="282"/>
              <w:jc w:val="right"/>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&gt;0.05</w:t>
            </w:r>
          </w:p>
        </w:tc>
      </w:tr>
      <w:tr w:rsidR="00EC1D37" w:rsidRPr="00B12716" w:rsidTr="00EC1D37">
        <w:trPr>
          <w:trHeight w:val="551"/>
        </w:trPr>
        <w:tc>
          <w:tcPr>
            <w:tcW w:w="1985" w:type="dxa"/>
            <w:shd w:val="clear" w:color="auto" w:fill="92D050"/>
          </w:tcPr>
          <w:p w:rsidR="00EC1D37" w:rsidRPr="00B12716" w:rsidRDefault="00EC1D37" w:rsidP="00B12716">
            <w:pPr>
              <w:widowControl w:val="0"/>
              <w:autoSpaceDE w:val="0"/>
              <w:autoSpaceDN w:val="0"/>
              <w:spacing w:after="0" w:line="360" w:lineRule="auto"/>
              <w:ind w:left="312" w:right="287"/>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3 mins</w:t>
            </w:r>
          </w:p>
        </w:tc>
        <w:tc>
          <w:tcPr>
            <w:tcW w:w="1053" w:type="dxa"/>
          </w:tcPr>
          <w:p w:rsidR="00EC1D37" w:rsidRPr="00B12716" w:rsidRDefault="00EC1D37" w:rsidP="00B12716">
            <w:pPr>
              <w:widowControl w:val="0"/>
              <w:autoSpaceDE w:val="0"/>
              <w:autoSpaceDN w:val="0"/>
              <w:spacing w:after="0" w:line="360" w:lineRule="auto"/>
              <w:ind w:left="261"/>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98.16</w:t>
            </w:r>
          </w:p>
        </w:tc>
        <w:tc>
          <w:tcPr>
            <w:tcW w:w="991" w:type="dxa"/>
          </w:tcPr>
          <w:p w:rsidR="00EC1D37" w:rsidRPr="00B12716" w:rsidRDefault="00EC1D37" w:rsidP="00B12716">
            <w:pPr>
              <w:widowControl w:val="0"/>
              <w:autoSpaceDE w:val="0"/>
              <w:autoSpaceDN w:val="0"/>
              <w:spacing w:after="0" w:line="360" w:lineRule="auto"/>
              <w:ind w:left="273" w:right="247"/>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1.22</w:t>
            </w:r>
          </w:p>
        </w:tc>
        <w:tc>
          <w:tcPr>
            <w:tcW w:w="1118" w:type="dxa"/>
          </w:tcPr>
          <w:p w:rsidR="00EC1D37" w:rsidRPr="00B12716" w:rsidRDefault="00EC1D37" w:rsidP="00B12716">
            <w:pPr>
              <w:widowControl w:val="0"/>
              <w:autoSpaceDE w:val="0"/>
              <w:autoSpaceDN w:val="0"/>
              <w:spacing w:after="0" w:line="360" w:lineRule="auto"/>
              <w:ind w:left="298"/>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98.16</w:t>
            </w:r>
          </w:p>
        </w:tc>
        <w:tc>
          <w:tcPr>
            <w:tcW w:w="1171" w:type="dxa"/>
          </w:tcPr>
          <w:p w:rsidR="00EC1D37" w:rsidRPr="00B12716" w:rsidRDefault="00EC1D37" w:rsidP="00B12716">
            <w:pPr>
              <w:widowControl w:val="0"/>
              <w:autoSpaceDE w:val="0"/>
              <w:autoSpaceDN w:val="0"/>
              <w:spacing w:after="0" w:line="360" w:lineRule="auto"/>
              <w:ind w:left="368" w:right="333"/>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1.09</w:t>
            </w:r>
          </w:p>
        </w:tc>
        <w:tc>
          <w:tcPr>
            <w:tcW w:w="1168" w:type="dxa"/>
          </w:tcPr>
          <w:p w:rsidR="00EC1D37" w:rsidRPr="00B12716" w:rsidRDefault="00EC1D37" w:rsidP="00B12716">
            <w:pPr>
              <w:widowControl w:val="0"/>
              <w:autoSpaceDE w:val="0"/>
              <w:autoSpaceDN w:val="0"/>
              <w:spacing w:after="0" w:line="360" w:lineRule="auto"/>
              <w:ind w:right="282"/>
              <w:jc w:val="right"/>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&gt;0.05</w:t>
            </w:r>
          </w:p>
        </w:tc>
      </w:tr>
      <w:tr w:rsidR="00EC1D37" w:rsidRPr="00B12716" w:rsidTr="00EC1D37">
        <w:trPr>
          <w:trHeight w:val="549"/>
        </w:trPr>
        <w:tc>
          <w:tcPr>
            <w:tcW w:w="1985" w:type="dxa"/>
            <w:shd w:val="clear" w:color="auto" w:fill="92D050"/>
          </w:tcPr>
          <w:p w:rsidR="00EC1D37" w:rsidRPr="00B12716" w:rsidRDefault="00EC1D37" w:rsidP="00B12716">
            <w:pPr>
              <w:widowControl w:val="0"/>
              <w:autoSpaceDE w:val="0"/>
              <w:autoSpaceDN w:val="0"/>
              <w:spacing w:after="0" w:line="360" w:lineRule="auto"/>
              <w:ind w:left="312" w:right="287"/>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5 mins</w:t>
            </w:r>
          </w:p>
        </w:tc>
        <w:tc>
          <w:tcPr>
            <w:tcW w:w="1053" w:type="dxa"/>
          </w:tcPr>
          <w:p w:rsidR="00EC1D37" w:rsidRPr="00B12716" w:rsidRDefault="00EC1D37" w:rsidP="00B12716">
            <w:pPr>
              <w:widowControl w:val="0"/>
              <w:autoSpaceDE w:val="0"/>
              <w:autoSpaceDN w:val="0"/>
              <w:spacing w:after="0" w:line="360" w:lineRule="auto"/>
              <w:ind w:left="261"/>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98.16</w:t>
            </w:r>
          </w:p>
        </w:tc>
        <w:tc>
          <w:tcPr>
            <w:tcW w:w="991" w:type="dxa"/>
          </w:tcPr>
          <w:p w:rsidR="00EC1D37" w:rsidRPr="00B12716" w:rsidRDefault="00EC1D37" w:rsidP="00B12716">
            <w:pPr>
              <w:widowControl w:val="0"/>
              <w:autoSpaceDE w:val="0"/>
              <w:autoSpaceDN w:val="0"/>
              <w:spacing w:after="0" w:line="360" w:lineRule="auto"/>
              <w:ind w:left="273" w:right="247"/>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1.31</w:t>
            </w:r>
          </w:p>
        </w:tc>
        <w:tc>
          <w:tcPr>
            <w:tcW w:w="1118" w:type="dxa"/>
          </w:tcPr>
          <w:p w:rsidR="00EC1D37" w:rsidRPr="00B12716" w:rsidRDefault="00EC1D37" w:rsidP="00B12716">
            <w:pPr>
              <w:widowControl w:val="0"/>
              <w:autoSpaceDE w:val="0"/>
              <w:autoSpaceDN w:val="0"/>
              <w:spacing w:after="0" w:line="360" w:lineRule="auto"/>
              <w:ind w:left="298"/>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98.02</w:t>
            </w:r>
          </w:p>
        </w:tc>
        <w:tc>
          <w:tcPr>
            <w:tcW w:w="1171" w:type="dxa"/>
          </w:tcPr>
          <w:p w:rsidR="00EC1D37" w:rsidRPr="00B12716" w:rsidRDefault="00EC1D37" w:rsidP="00B12716">
            <w:pPr>
              <w:widowControl w:val="0"/>
              <w:autoSpaceDE w:val="0"/>
              <w:autoSpaceDN w:val="0"/>
              <w:spacing w:after="0" w:line="360" w:lineRule="auto"/>
              <w:ind w:left="368" w:right="333"/>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1.27</w:t>
            </w:r>
          </w:p>
        </w:tc>
        <w:tc>
          <w:tcPr>
            <w:tcW w:w="1168" w:type="dxa"/>
          </w:tcPr>
          <w:p w:rsidR="00EC1D37" w:rsidRPr="00B12716" w:rsidRDefault="00EC1D37" w:rsidP="00B12716">
            <w:pPr>
              <w:widowControl w:val="0"/>
              <w:autoSpaceDE w:val="0"/>
              <w:autoSpaceDN w:val="0"/>
              <w:spacing w:after="0" w:line="360" w:lineRule="auto"/>
              <w:ind w:right="282"/>
              <w:jc w:val="right"/>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&gt;0.05</w:t>
            </w:r>
          </w:p>
        </w:tc>
      </w:tr>
      <w:tr w:rsidR="00EC1D37" w:rsidRPr="00B12716" w:rsidTr="00EC1D37">
        <w:trPr>
          <w:trHeight w:val="551"/>
        </w:trPr>
        <w:tc>
          <w:tcPr>
            <w:tcW w:w="1985" w:type="dxa"/>
            <w:shd w:val="clear" w:color="auto" w:fill="92D050"/>
          </w:tcPr>
          <w:p w:rsidR="00EC1D37" w:rsidRPr="00B12716" w:rsidRDefault="00EC1D37" w:rsidP="00B12716">
            <w:pPr>
              <w:widowControl w:val="0"/>
              <w:autoSpaceDE w:val="0"/>
              <w:autoSpaceDN w:val="0"/>
              <w:spacing w:after="0" w:line="360" w:lineRule="auto"/>
              <w:ind w:left="311" w:right="288"/>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10</w:t>
            </w:r>
            <w:r w:rsidRPr="00B12716">
              <w:rPr>
                <w:rFonts w:ascii="Times New Roman" w:eastAsia="Times New Roman" w:hAnsi="Times New Roman" w:cs="Times New Roman"/>
                <w:b/>
                <w:spacing w:val="-3"/>
                <w:sz w:val="20"/>
                <w:szCs w:val="20"/>
                <w:lang w:val="en-US"/>
              </w:rPr>
              <w:t xml:space="preserve"> </w:t>
            </w:r>
            <w:r w:rsidRPr="00B12716">
              <w:rPr>
                <w:rFonts w:ascii="Times New Roman" w:eastAsia="Times New Roman" w:hAnsi="Times New Roman" w:cs="Times New Roman"/>
                <w:b/>
                <w:sz w:val="20"/>
                <w:szCs w:val="20"/>
                <w:lang w:val="en-US"/>
              </w:rPr>
              <w:t>mins</w:t>
            </w:r>
          </w:p>
        </w:tc>
        <w:tc>
          <w:tcPr>
            <w:tcW w:w="1053" w:type="dxa"/>
          </w:tcPr>
          <w:p w:rsidR="00EC1D37" w:rsidRPr="00B12716" w:rsidRDefault="00EC1D37" w:rsidP="00B12716">
            <w:pPr>
              <w:widowControl w:val="0"/>
              <w:autoSpaceDE w:val="0"/>
              <w:autoSpaceDN w:val="0"/>
              <w:spacing w:after="0" w:line="360" w:lineRule="auto"/>
              <w:ind w:left="261"/>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98.04</w:t>
            </w:r>
          </w:p>
        </w:tc>
        <w:tc>
          <w:tcPr>
            <w:tcW w:w="991" w:type="dxa"/>
          </w:tcPr>
          <w:p w:rsidR="00EC1D37" w:rsidRPr="00B12716" w:rsidRDefault="00EC1D37" w:rsidP="00B12716">
            <w:pPr>
              <w:widowControl w:val="0"/>
              <w:autoSpaceDE w:val="0"/>
              <w:autoSpaceDN w:val="0"/>
              <w:spacing w:after="0" w:line="360" w:lineRule="auto"/>
              <w:ind w:left="273" w:right="247"/>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1.32</w:t>
            </w:r>
          </w:p>
        </w:tc>
        <w:tc>
          <w:tcPr>
            <w:tcW w:w="1118" w:type="dxa"/>
          </w:tcPr>
          <w:p w:rsidR="00EC1D37" w:rsidRPr="00B12716" w:rsidRDefault="00EC1D37" w:rsidP="00B12716">
            <w:pPr>
              <w:widowControl w:val="0"/>
              <w:autoSpaceDE w:val="0"/>
              <w:autoSpaceDN w:val="0"/>
              <w:spacing w:after="0" w:line="360" w:lineRule="auto"/>
              <w:ind w:left="298"/>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98.10</w:t>
            </w:r>
          </w:p>
        </w:tc>
        <w:tc>
          <w:tcPr>
            <w:tcW w:w="1171" w:type="dxa"/>
          </w:tcPr>
          <w:p w:rsidR="00EC1D37" w:rsidRPr="00B12716" w:rsidRDefault="00EC1D37" w:rsidP="00B12716">
            <w:pPr>
              <w:widowControl w:val="0"/>
              <w:autoSpaceDE w:val="0"/>
              <w:autoSpaceDN w:val="0"/>
              <w:spacing w:after="0" w:line="360" w:lineRule="auto"/>
              <w:ind w:left="368" w:right="333"/>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1.22</w:t>
            </w:r>
          </w:p>
        </w:tc>
        <w:tc>
          <w:tcPr>
            <w:tcW w:w="1168" w:type="dxa"/>
          </w:tcPr>
          <w:p w:rsidR="00EC1D37" w:rsidRPr="00B12716" w:rsidRDefault="00EC1D37" w:rsidP="00B12716">
            <w:pPr>
              <w:widowControl w:val="0"/>
              <w:autoSpaceDE w:val="0"/>
              <w:autoSpaceDN w:val="0"/>
              <w:spacing w:after="0" w:line="360" w:lineRule="auto"/>
              <w:ind w:right="282"/>
              <w:jc w:val="right"/>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&gt;0.05</w:t>
            </w:r>
          </w:p>
        </w:tc>
      </w:tr>
    </w:tbl>
    <w:p w:rsidR="00EC1D37" w:rsidRPr="00B12716" w:rsidRDefault="00B12716" w:rsidP="00B12716">
      <w:pPr>
        <w:tabs>
          <w:tab w:val="left" w:pos="1820"/>
        </w:tabs>
        <w:spacing w:after="0" w:line="36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Table 5</w:t>
      </w:r>
      <w:r w:rsidR="00EC1D37" w:rsidRPr="00B12716">
        <w:rPr>
          <w:rFonts w:ascii="Times New Roman" w:hAnsi="Times New Roman" w:cs="Times New Roman"/>
          <w:b/>
          <w:bCs/>
          <w:sz w:val="20"/>
          <w:szCs w:val="20"/>
          <w:lang w:val="en-US"/>
        </w:rPr>
        <w:t>: Comparison of SpO2 (%) at various time intervals</w:t>
      </w:r>
    </w:p>
    <w:p w:rsidR="00EC1D37" w:rsidRPr="00B12716" w:rsidRDefault="00EC1D37" w:rsidP="00B12716">
      <w:pPr>
        <w:tabs>
          <w:tab w:val="left" w:pos="1820"/>
        </w:tabs>
        <w:spacing w:after="0" w:line="360" w:lineRule="auto"/>
        <w:rPr>
          <w:rFonts w:ascii="Times New Roman" w:hAnsi="Times New Roman" w:cs="Times New Roman"/>
          <w:sz w:val="20"/>
          <w:szCs w:val="20"/>
        </w:rPr>
      </w:pPr>
    </w:p>
    <w:p w:rsidR="00EC1D37" w:rsidRPr="00B12716" w:rsidRDefault="00EC1D37" w:rsidP="00B12716">
      <w:pPr>
        <w:spacing w:after="0" w:line="360" w:lineRule="auto"/>
        <w:rPr>
          <w:rFonts w:ascii="Times New Roman" w:hAnsi="Times New Roman" w:cs="Times New Roman"/>
          <w:sz w:val="20"/>
          <w:szCs w:val="20"/>
        </w:rPr>
      </w:pPr>
    </w:p>
    <w:p w:rsidR="00EC1D37" w:rsidRPr="00B12716" w:rsidRDefault="00EC1D37" w:rsidP="00B12716">
      <w:pPr>
        <w:spacing w:after="0" w:line="360" w:lineRule="auto"/>
        <w:rPr>
          <w:rFonts w:ascii="Times New Roman" w:hAnsi="Times New Roman" w:cs="Times New Roman"/>
          <w:sz w:val="20"/>
          <w:szCs w:val="20"/>
        </w:rPr>
      </w:pPr>
    </w:p>
    <w:p w:rsidR="00EC1D37" w:rsidRPr="00B12716" w:rsidRDefault="00EC1D37" w:rsidP="00B12716">
      <w:pPr>
        <w:spacing w:after="0" w:line="360" w:lineRule="auto"/>
        <w:rPr>
          <w:rFonts w:ascii="Times New Roman" w:hAnsi="Times New Roman" w:cs="Times New Roman"/>
          <w:sz w:val="20"/>
          <w:szCs w:val="20"/>
        </w:rPr>
      </w:pPr>
    </w:p>
    <w:p w:rsidR="00EC1D37" w:rsidRPr="00B12716" w:rsidRDefault="00EC1D37" w:rsidP="00B12716">
      <w:pPr>
        <w:spacing w:after="0" w:line="360" w:lineRule="auto"/>
        <w:rPr>
          <w:rFonts w:ascii="Times New Roman" w:hAnsi="Times New Roman" w:cs="Times New Roman"/>
          <w:sz w:val="20"/>
          <w:szCs w:val="20"/>
        </w:rPr>
      </w:pPr>
    </w:p>
    <w:p w:rsidR="00EC1D37" w:rsidRPr="00B12716" w:rsidRDefault="00EC1D37" w:rsidP="00B12716">
      <w:pPr>
        <w:spacing w:after="0" w:line="360" w:lineRule="auto"/>
        <w:rPr>
          <w:rFonts w:ascii="Times New Roman" w:hAnsi="Times New Roman" w:cs="Times New Roman"/>
          <w:sz w:val="20"/>
          <w:szCs w:val="20"/>
        </w:rPr>
      </w:pPr>
    </w:p>
    <w:p w:rsidR="00EC1D37" w:rsidRPr="00B12716" w:rsidRDefault="00EC1D37" w:rsidP="00B12716">
      <w:pPr>
        <w:spacing w:after="0" w:line="360" w:lineRule="auto"/>
        <w:rPr>
          <w:rFonts w:ascii="Times New Roman" w:hAnsi="Times New Roman" w:cs="Times New Roman"/>
          <w:sz w:val="20"/>
          <w:szCs w:val="20"/>
        </w:rPr>
      </w:pPr>
    </w:p>
    <w:p w:rsidR="00B12716" w:rsidRDefault="00B12716" w:rsidP="00B12716">
      <w:pPr>
        <w:tabs>
          <w:tab w:val="left" w:pos="3910"/>
        </w:tabs>
        <w:spacing w:after="0" w:line="360" w:lineRule="auto"/>
        <w:rPr>
          <w:rFonts w:ascii="Times New Roman" w:hAnsi="Times New Roman" w:cs="Times New Roman"/>
          <w:sz w:val="20"/>
          <w:szCs w:val="20"/>
        </w:rPr>
      </w:pPr>
    </w:p>
    <w:p w:rsidR="00B12716" w:rsidRDefault="00B12716" w:rsidP="00B12716">
      <w:pPr>
        <w:tabs>
          <w:tab w:val="left" w:pos="3910"/>
        </w:tabs>
        <w:spacing w:after="0" w:line="360" w:lineRule="auto"/>
        <w:rPr>
          <w:rFonts w:ascii="Times New Roman" w:hAnsi="Times New Roman" w:cs="Times New Roman"/>
          <w:sz w:val="20"/>
          <w:szCs w:val="20"/>
        </w:rPr>
      </w:pPr>
    </w:p>
    <w:p w:rsidR="00B12716" w:rsidRDefault="00B12716" w:rsidP="00B12716">
      <w:pPr>
        <w:tabs>
          <w:tab w:val="left" w:pos="3910"/>
        </w:tabs>
        <w:spacing w:after="0" w:line="360" w:lineRule="auto"/>
        <w:rPr>
          <w:rFonts w:ascii="Times New Roman" w:hAnsi="Times New Roman" w:cs="Times New Roman"/>
          <w:sz w:val="20"/>
          <w:szCs w:val="20"/>
        </w:rPr>
      </w:pPr>
    </w:p>
    <w:p w:rsidR="00B12716" w:rsidRDefault="00B12716" w:rsidP="00B12716">
      <w:pPr>
        <w:tabs>
          <w:tab w:val="left" w:pos="3910"/>
        </w:tabs>
        <w:spacing w:after="0" w:line="360" w:lineRule="auto"/>
        <w:rPr>
          <w:rFonts w:ascii="Times New Roman" w:hAnsi="Times New Roman" w:cs="Times New Roman"/>
          <w:sz w:val="20"/>
          <w:szCs w:val="20"/>
        </w:rPr>
      </w:pPr>
    </w:p>
    <w:p w:rsidR="00B12716" w:rsidRDefault="00B12716" w:rsidP="00B12716">
      <w:pPr>
        <w:tabs>
          <w:tab w:val="left" w:pos="3910"/>
        </w:tabs>
        <w:spacing w:after="0" w:line="360" w:lineRule="auto"/>
        <w:rPr>
          <w:rFonts w:ascii="Times New Roman" w:hAnsi="Times New Roman" w:cs="Times New Roman"/>
          <w:sz w:val="20"/>
          <w:szCs w:val="20"/>
        </w:rPr>
      </w:pPr>
    </w:p>
    <w:p w:rsidR="00B12716" w:rsidRDefault="00B12716" w:rsidP="00B12716">
      <w:pPr>
        <w:tabs>
          <w:tab w:val="left" w:pos="3910"/>
        </w:tabs>
        <w:spacing w:after="0" w:line="360" w:lineRule="auto"/>
        <w:rPr>
          <w:rFonts w:ascii="Times New Roman" w:hAnsi="Times New Roman" w:cs="Times New Roman"/>
          <w:sz w:val="20"/>
          <w:szCs w:val="20"/>
        </w:rPr>
      </w:pPr>
    </w:p>
    <w:p w:rsidR="00EC1D37" w:rsidRPr="00B12716" w:rsidRDefault="00EC1D37" w:rsidP="00B12716">
      <w:pPr>
        <w:tabs>
          <w:tab w:val="left" w:pos="3910"/>
        </w:tabs>
        <w:spacing w:after="0" w:line="360" w:lineRule="auto"/>
        <w:rPr>
          <w:rFonts w:ascii="Times New Roman" w:hAnsi="Times New Roman" w:cs="Times New Roman"/>
          <w:b/>
          <w:bCs/>
          <w:sz w:val="20"/>
          <w:szCs w:val="20"/>
          <w:lang w:val="en-US"/>
        </w:rPr>
      </w:pPr>
      <w:r w:rsidRPr="00B12716">
        <w:rPr>
          <w:rFonts w:ascii="Times New Roman" w:hAnsi="Times New Roman" w:cs="Times New Roman"/>
          <w:b/>
          <w:bCs/>
          <w:sz w:val="20"/>
          <w:szCs w:val="20"/>
          <w:lang w:val="en-US"/>
        </w:rPr>
        <w:t>Distribution of patients according to Side Effects</w:t>
      </w:r>
    </w:p>
    <w:p w:rsidR="00EC1D37" w:rsidRPr="00B12716" w:rsidRDefault="00EC1D37" w:rsidP="00B12716">
      <w:pPr>
        <w:tabs>
          <w:tab w:val="left" w:pos="3910"/>
        </w:tabs>
        <w:spacing w:after="0" w:line="360" w:lineRule="auto"/>
        <w:rPr>
          <w:rFonts w:ascii="Times New Roman" w:hAnsi="Times New Roman" w:cs="Times New Roman"/>
          <w:sz w:val="20"/>
          <w:szCs w:val="20"/>
          <w:lang w:val="en-US"/>
        </w:rPr>
      </w:pPr>
      <w:r w:rsidRPr="00B12716">
        <w:rPr>
          <w:rFonts w:ascii="Times New Roman" w:hAnsi="Times New Roman" w:cs="Times New Roman"/>
          <w:sz w:val="20"/>
          <w:szCs w:val="20"/>
          <w:lang w:val="en-US"/>
        </w:rPr>
        <w:t>2 (6.7%) patients in Group A had dry mouth while 1 (3.3%) patient each had nausea and vomiting. 3 (10%) patients in Group B had dry mouth and 1 (3.3%) patient had nausea. There was no significant difference between the groups as per Chi-Square test (p&gt;0.05).</w:t>
      </w:r>
    </w:p>
    <w:p w:rsidR="00E82FB2" w:rsidRDefault="00E82FB2" w:rsidP="00B12716">
      <w:pPr>
        <w:tabs>
          <w:tab w:val="left" w:pos="3910"/>
        </w:tabs>
        <w:spacing w:after="0" w:line="360" w:lineRule="auto"/>
        <w:rPr>
          <w:rFonts w:ascii="Times New Roman" w:hAnsi="Times New Roman" w:cs="Times New Roman"/>
          <w:b/>
          <w:bCs/>
          <w:sz w:val="20"/>
          <w:szCs w:val="20"/>
          <w:lang w:val="en-US"/>
        </w:rPr>
      </w:pPr>
    </w:p>
    <w:p w:rsidR="00E82FB2" w:rsidRDefault="00E82FB2" w:rsidP="00B12716">
      <w:pPr>
        <w:tabs>
          <w:tab w:val="left" w:pos="3910"/>
        </w:tabs>
        <w:spacing w:after="0" w:line="360" w:lineRule="auto"/>
        <w:rPr>
          <w:rFonts w:ascii="Times New Roman" w:hAnsi="Times New Roman" w:cs="Times New Roman"/>
          <w:b/>
          <w:bCs/>
          <w:sz w:val="20"/>
          <w:szCs w:val="20"/>
          <w:lang w:val="en-US"/>
        </w:rPr>
      </w:pPr>
    </w:p>
    <w:p w:rsidR="00E82FB2" w:rsidRDefault="00E82FB2" w:rsidP="00B12716">
      <w:pPr>
        <w:tabs>
          <w:tab w:val="left" w:pos="3910"/>
        </w:tabs>
        <w:spacing w:after="0" w:line="360" w:lineRule="auto"/>
        <w:rPr>
          <w:rFonts w:ascii="Times New Roman" w:hAnsi="Times New Roman" w:cs="Times New Roman"/>
          <w:b/>
          <w:bCs/>
          <w:sz w:val="20"/>
          <w:szCs w:val="20"/>
          <w:lang w:val="en-US"/>
        </w:rPr>
      </w:pPr>
    </w:p>
    <w:p w:rsidR="00E82FB2" w:rsidRDefault="00E82FB2" w:rsidP="00B12716">
      <w:pPr>
        <w:tabs>
          <w:tab w:val="left" w:pos="3910"/>
        </w:tabs>
        <w:spacing w:after="0" w:line="360" w:lineRule="auto"/>
        <w:rPr>
          <w:rFonts w:ascii="Times New Roman" w:hAnsi="Times New Roman" w:cs="Times New Roman"/>
          <w:b/>
          <w:bCs/>
          <w:sz w:val="20"/>
          <w:szCs w:val="20"/>
          <w:lang w:val="en-US"/>
        </w:rPr>
      </w:pPr>
    </w:p>
    <w:p w:rsidR="00E82FB2" w:rsidRDefault="00E82FB2" w:rsidP="00B12716">
      <w:pPr>
        <w:tabs>
          <w:tab w:val="left" w:pos="3910"/>
        </w:tabs>
        <w:spacing w:after="0" w:line="360" w:lineRule="auto"/>
        <w:rPr>
          <w:rFonts w:ascii="Times New Roman" w:hAnsi="Times New Roman" w:cs="Times New Roman"/>
          <w:b/>
          <w:bCs/>
          <w:sz w:val="20"/>
          <w:szCs w:val="20"/>
          <w:lang w:val="en-US"/>
        </w:rPr>
      </w:pPr>
    </w:p>
    <w:p w:rsidR="00EC1D37" w:rsidRPr="00B12716" w:rsidRDefault="00B12716" w:rsidP="00B12716">
      <w:pPr>
        <w:tabs>
          <w:tab w:val="left" w:pos="3910"/>
        </w:tabs>
        <w:spacing w:after="0" w:line="36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Table 6</w:t>
      </w:r>
      <w:r w:rsidR="00EC1D37" w:rsidRPr="00B12716">
        <w:rPr>
          <w:rFonts w:ascii="Times New Roman" w:hAnsi="Times New Roman" w:cs="Times New Roman"/>
          <w:b/>
          <w:bCs/>
          <w:sz w:val="20"/>
          <w:szCs w:val="20"/>
          <w:lang w:val="en-US"/>
        </w:rPr>
        <w:t>: Distribution of patients according to Side Effects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1"/>
        <w:gridCol w:w="960"/>
        <w:gridCol w:w="1368"/>
        <w:gridCol w:w="808"/>
        <w:gridCol w:w="989"/>
        <w:gridCol w:w="1130"/>
      </w:tblGrid>
      <w:tr w:rsidR="00EC1D37" w:rsidRPr="00B12716" w:rsidTr="00EC1D37">
        <w:trPr>
          <w:trHeight w:val="518"/>
        </w:trPr>
        <w:tc>
          <w:tcPr>
            <w:tcW w:w="2201" w:type="dxa"/>
            <w:vMerge w:val="restart"/>
            <w:shd w:val="clear" w:color="auto" w:fill="92D050"/>
          </w:tcPr>
          <w:p w:rsidR="00EC1D37" w:rsidRPr="00B12716" w:rsidRDefault="00EC1D37" w:rsidP="00B12716">
            <w:pPr>
              <w:widowControl w:val="0"/>
              <w:autoSpaceDE w:val="0"/>
              <w:autoSpaceDN w:val="0"/>
              <w:spacing w:after="0" w:line="360" w:lineRule="auto"/>
              <w:ind w:left="422"/>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Side</w:t>
            </w:r>
            <w:r w:rsidRPr="00B12716">
              <w:rPr>
                <w:rFonts w:ascii="Times New Roman" w:eastAsia="Times New Roman" w:hAnsi="Times New Roman" w:cs="Times New Roman"/>
                <w:b/>
                <w:spacing w:val="-5"/>
                <w:sz w:val="20"/>
                <w:szCs w:val="20"/>
                <w:lang w:val="en-US"/>
              </w:rPr>
              <w:t xml:space="preserve"> </w:t>
            </w:r>
            <w:r w:rsidRPr="00B12716">
              <w:rPr>
                <w:rFonts w:ascii="Times New Roman" w:eastAsia="Times New Roman" w:hAnsi="Times New Roman" w:cs="Times New Roman"/>
                <w:b/>
                <w:sz w:val="20"/>
                <w:szCs w:val="20"/>
                <w:lang w:val="en-US"/>
              </w:rPr>
              <w:t>Effects</w:t>
            </w:r>
          </w:p>
        </w:tc>
        <w:tc>
          <w:tcPr>
            <w:tcW w:w="2328" w:type="dxa"/>
            <w:gridSpan w:val="2"/>
            <w:shd w:val="clear" w:color="auto" w:fill="92D050"/>
          </w:tcPr>
          <w:p w:rsidR="00EC1D37" w:rsidRPr="00B12716" w:rsidRDefault="00EC1D37" w:rsidP="00B12716">
            <w:pPr>
              <w:widowControl w:val="0"/>
              <w:autoSpaceDE w:val="0"/>
              <w:autoSpaceDN w:val="0"/>
              <w:spacing w:after="0" w:line="360" w:lineRule="auto"/>
              <w:ind w:left="691"/>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Group A</w:t>
            </w:r>
          </w:p>
        </w:tc>
        <w:tc>
          <w:tcPr>
            <w:tcW w:w="1797" w:type="dxa"/>
            <w:gridSpan w:val="2"/>
            <w:shd w:val="clear" w:color="auto" w:fill="92D050"/>
          </w:tcPr>
          <w:p w:rsidR="00EC1D37" w:rsidRPr="00B12716" w:rsidRDefault="00EC1D37" w:rsidP="00B12716">
            <w:pPr>
              <w:widowControl w:val="0"/>
              <w:autoSpaceDE w:val="0"/>
              <w:autoSpaceDN w:val="0"/>
              <w:spacing w:after="0" w:line="360" w:lineRule="auto"/>
              <w:ind w:left="425"/>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Group B</w:t>
            </w:r>
          </w:p>
        </w:tc>
        <w:tc>
          <w:tcPr>
            <w:tcW w:w="1130" w:type="dxa"/>
            <w:vMerge w:val="restart"/>
            <w:shd w:val="clear" w:color="auto" w:fill="92D050"/>
          </w:tcPr>
          <w:p w:rsidR="00EC1D37" w:rsidRPr="00B12716" w:rsidRDefault="00EC1D37" w:rsidP="00B12716">
            <w:pPr>
              <w:widowControl w:val="0"/>
              <w:autoSpaceDE w:val="0"/>
              <w:autoSpaceDN w:val="0"/>
              <w:spacing w:after="0" w:line="360" w:lineRule="auto"/>
              <w:rPr>
                <w:rFonts w:ascii="Times New Roman" w:eastAsia="Times New Roman" w:hAnsi="Times New Roman" w:cs="Times New Roman"/>
                <w:b/>
                <w:sz w:val="20"/>
                <w:szCs w:val="20"/>
                <w:lang w:val="en-US"/>
              </w:rPr>
            </w:pPr>
          </w:p>
          <w:p w:rsidR="00EC1D37" w:rsidRPr="00B12716" w:rsidRDefault="00EC1D37" w:rsidP="00B12716">
            <w:pPr>
              <w:widowControl w:val="0"/>
              <w:autoSpaceDE w:val="0"/>
              <w:autoSpaceDN w:val="0"/>
              <w:spacing w:after="0" w:line="360" w:lineRule="auto"/>
              <w:ind w:left="148"/>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p</w:t>
            </w:r>
            <w:r w:rsidRPr="00B12716">
              <w:rPr>
                <w:rFonts w:ascii="Times New Roman" w:eastAsia="Times New Roman" w:hAnsi="Times New Roman" w:cs="Times New Roman"/>
                <w:b/>
                <w:spacing w:val="-1"/>
                <w:sz w:val="20"/>
                <w:szCs w:val="20"/>
                <w:lang w:val="en-US"/>
              </w:rPr>
              <w:t xml:space="preserve"> </w:t>
            </w:r>
            <w:r w:rsidRPr="00B12716">
              <w:rPr>
                <w:rFonts w:ascii="Times New Roman" w:eastAsia="Times New Roman" w:hAnsi="Times New Roman" w:cs="Times New Roman"/>
                <w:b/>
                <w:sz w:val="20"/>
                <w:szCs w:val="20"/>
                <w:lang w:val="en-US"/>
              </w:rPr>
              <w:t>Value</w:t>
            </w:r>
          </w:p>
        </w:tc>
      </w:tr>
      <w:tr w:rsidR="00EC1D37" w:rsidRPr="00B12716" w:rsidTr="00EC1D37">
        <w:trPr>
          <w:trHeight w:val="517"/>
        </w:trPr>
        <w:tc>
          <w:tcPr>
            <w:tcW w:w="2201" w:type="dxa"/>
            <w:vMerge/>
            <w:tcBorders>
              <w:top w:val="nil"/>
            </w:tcBorders>
            <w:shd w:val="clear" w:color="auto" w:fill="92D050"/>
          </w:tcPr>
          <w:p w:rsidR="00EC1D37" w:rsidRPr="00B12716" w:rsidRDefault="00EC1D37" w:rsidP="00B12716">
            <w:pPr>
              <w:widowControl w:val="0"/>
              <w:autoSpaceDE w:val="0"/>
              <w:autoSpaceDN w:val="0"/>
              <w:spacing w:after="0" w:line="360" w:lineRule="auto"/>
              <w:rPr>
                <w:rFonts w:ascii="Times New Roman" w:eastAsia="Times New Roman" w:hAnsi="Times New Roman" w:cs="Times New Roman"/>
                <w:sz w:val="20"/>
                <w:szCs w:val="20"/>
                <w:lang w:val="en-US"/>
              </w:rPr>
            </w:pPr>
          </w:p>
        </w:tc>
        <w:tc>
          <w:tcPr>
            <w:tcW w:w="960" w:type="dxa"/>
            <w:shd w:val="clear" w:color="auto" w:fill="92D050"/>
          </w:tcPr>
          <w:p w:rsidR="00EC1D37" w:rsidRPr="00B12716" w:rsidRDefault="00EC1D37" w:rsidP="00B12716">
            <w:pPr>
              <w:widowControl w:val="0"/>
              <w:autoSpaceDE w:val="0"/>
              <w:autoSpaceDN w:val="0"/>
              <w:spacing w:after="0" w:line="360" w:lineRule="auto"/>
              <w:ind w:left="22"/>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w w:val="95"/>
                <w:sz w:val="20"/>
                <w:szCs w:val="20"/>
                <w:lang w:val="en-US"/>
              </w:rPr>
              <w:t>N</w:t>
            </w:r>
          </w:p>
        </w:tc>
        <w:tc>
          <w:tcPr>
            <w:tcW w:w="1368" w:type="dxa"/>
            <w:shd w:val="clear" w:color="auto" w:fill="92D050"/>
          </w:tcPr>
          <w:p w:rsidR="00EC1D37" w:rsidRPr="00B12716" w:rsidRDefault="00EC1D37" w:rsidP="00B12716">
            <w:pPr>
              <w:widowControl w:val="0"/>
              <w:autoSpaceDE w:val="0"/>
              <w:autoSpaceDN w:val="0"/>
              <w:spacing w:after="0" w:line="360" w:lineRule="auto"/>
              <w:ind w:left="19"/>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w w:val="95"/>
                <w:sz w:val="20"/>
                <w:szCs w:val="20"/>
                <w:lang w:val="en-US"/>
              </w:rPr>
              <w:t>%</w:t>
            </w:r>
          </w:p>
        </w:tc>
        <w:tc>
          <w:tcPr>
            <w:tcW w:w="808" w:type="dxa"/>
            <w:shd w:val="clear" w:color="auto" w:fill="92D050"/>
          </w:tcPr>
          <w:p w:rsidR="00EC1D37" w:rsidRPr="00B12716" w:rsidRDefault="00EC1D37" w:rsidP="00B12716">
            <w:pPr>
              <w:widowControl w:val="0"/>
              <w:autoSpaceDE w:val="0"/>
              <w:autoSpaceDN w:val="0"/>
              <w:spacing w:after="0" w:line="360" w:lineRule="auto"/>
              <w:ind w:left="16"/>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w w:val="95"/>
                <w:sz w:val="20"/>
                <w:szCs w:val="20"/>
                <w:lang w:val="en-US"/>
              </w:rPr>
              <w:t>N</w:t>
            </w:r>
          </w:p>
        </w:tc>
        <w:tc>
          <w:tcPr>
            <w:tcW w:w="989" w:type="dxa"/>
            <w:shd w:val="clear" w:color="auto" w:fill="92D050"/>
          </w:tcPr>
          <w:p w:rsidR="00EC1D37" w:rsidRPr="00B12716" w:rsidRDefault="00EC1D37" w:rsidP="00B12716">
            <w:pPr>
              <w:widowControl w:val="0"/>
              <w:autoSpaceDE w:val="0"/>
              <w:autoSpaceDN w:val="0"/>
              <w:spacing w:after="0" w:line="360" w:lineRule="auto"/>
              <w:ind w:left="20"/>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w w:val="95"/>
                <w:sz w:val="20"/>
                <w:szCs w:val="20"/>
                <w:lang w:val="en-US"/>
              </w:rPr>
              <w:t>%</w:t>
            </w:r>
          </w:p>
        </w:tc>
        <w:tc>
          <w:tcPr>
            <w:tcW w:w="1130" w:type="dxa"/>
            <w:vMerge/>
            <w:tcBorders>
              <w:top w:val="nil"/>
            </w:tcBorders>
            <w:shd w:val="clear" w:color="auto" w:fill="92D050"/>
          </w:tcPr>
          <w:p w:rsidR="00EC1D37" w:rsidRPr="00B12716" w:rsidRDefault="00EC1D37" w:rsidP="00B12716">
            <w:pPr>
              <w:widowControl w:val="0"/>
              <w:autoSpaceDE w:val="0"/>
              <w:autoSpaceDN w:val="0"/>
              <w:spacing w:after="0" w:line="360" w:lineRule="auto"/>
              <w:rPr>
                <w:rFonts w:ascii="Times New Roman" w:eastAsia="Times New Roman" w:hAnsi="Times New Roman" w:cs="Times New Roman"/>
                <w:sz w:val="20"/>
                <w:szCs w:val="20"/>
                <w:lang w:val="en-US"/>
              </w:rPr>
            </w:pPr>
          </w:p>
        </w:tc>
      </w:tr>
      <w:tr w:rsidR="00EC1D37" w:rsidRPr="00B12716" w:rsidTr="00EC1D37">
        <w:trPr>
          <w:trHeight w:val="513"/>
        </w:trPr>
        <w:tc>
          <w:tcPr>
            <w:tcW w:w="2201" w:type="dxa"/>
            <w:shd w:val="clear" w:color="auto" w:fill="92D050"/>
          </w:tcPr>
          <w:p w:rsidR="00EC1D37" w:rsidRPr="00B12716" w:rsidRDefault="00EC1D37" w:rsidP="00B12716">
            <w:pPr>
              <w:widowControl w:val="0"/>
              <w:autoSpaceDE w:val="0"/>
              <w:autoSpaceDN w:val="0"/>
              <w:spacing w:after="0" w:line="360" w:lineRule="auto"/>
              <w:ind w:left="512" w:right="487"/>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Dry</w:t>
            </w:r>
            <w:r w:rsidRPr="00B12716">
              <w:rPr>
                <w:rFonts w:ascii="Times New Roman" w:eastAsia="Times New Roman" w:hAnsi="Times New Roman" w:cs="Times New Roman"/>
                <w:b/>
                <w:spacing w:val="-2"/>
                <w:sz w:val="20"/>
                <w:szCs w:val="20"/>
                <w:lang w:val="en-US"/>
              </w:rPr>
              <w:t xml:space="preserve"> </w:t>
            </w:r>
            <w:r w:rsidRPr="00B12716">
              <w:rPr>
                <w:rFonts w:ascii="Times New Roman" w:eastAsia="Times New Roman" w:hAnsi="Times New Roman" w:cs="Times New Roman"/>
                <w:b/>
                <w:sz w:val="20"/>
                <w:szCs w:val="20"/>
                <w:lang w:val="en-US"/>
              </w:rPr>
              <w:t>Mouth</w:t>
            </w:r>
          </w:p>
        </w:tc>
        <w:tc>
          <w:tcPr>
            <w:tcW w:w="960" w:type="dxa"/>
          </w:tcPr>
          <w:p w:rsidR="00EC1D37" w:rsidRPr="00B12716" w:rsidRDefault="00EC1D37" w:rsidP="00B12716">
            <w:pPr>
              <w:widowControl w:val="0"/>
              <w:autoSpaceDE w:val="0"/>
              <w:autoSpaceDN w:val="0"/>
              <w:spacing w:after="0" w:line="360" w:lineRule="auto"/>
              <w:ind w:left="23"/>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w w:val="95"/>
                <w:sz w:val="20"/>
                <w:szCs w:val="20"/>
                <w:lang w:val="en-US"/>
              </w:rPr>
              <w:t>2</w:t>
            </w:r>
          </w:p>
        </w:tc>
        <w:tc>
          <w:tcPr>
            <w:tcW w:w="1368" w:type="dxa"/>
          </w:tcPr>
          <w:p w:rsidR="00EC1D37" w:rsidRPr="00B12716" w:rsidRDefault="00EC1D37" w:rsidP="00B12716">
            <w:pPr>
              <w:widowControl w:val="0"/>
              <w:autoSpaceDE w:val="0"/>
              <w:autoSpaceDN w:val="0"/>
              <w:spacing w:after="0" w:line="360" w:lineRule="auto"/>
              <w:ind w:left="422" w:right="396"/>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6.7%</w:t>
            </w:r>
          </w:p>
        </w:tc>
        <w:tc>
          <w:tcPr>
            <w:tcW w:w="808" w:type="dxa"/>
          </w:tcPr>
          <w:p w:rsidR="00EC1D37" w:rsidRPr="00B12716" w:rsidRDefault="00EC1D37" w:rsidP="00B12716">
            <w:pPr>
              <w:widowControl w:val="0"/>
              <w:autoSpaceDE w:val="0"/>
              <w:autoSpaceDN w:val="0"/>
              <w:spacing w:after="0" w:line="360" w:lineRule="auto"/>
              <w:ind w:left="3"/>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w w:val="95"/>
                <w:sz w:val="20"/>
                <w:szCs w:val="20"/>
                <w:lang w:val="en-US"/>
              </w:rPr>
              <w:t>3</w:t>
            </w:r>
          </w:p>
        </w:tc>
        <w:tc>
          <w:tcPr>
            <w:tcW w:w="989" w:type="dxa"/>
          </w:tcPr>
          <w:p w:rsidR="00EC1D37" w:rsidRPr="00B12716" w:rsidRDefault="00EC1D37" w:rsidP="00B12716">
            <w:pPr>
              <w:widowControl w:val="0"/>
              <w:autoSpaceDE w:val="0"/>
              <w:autoSpaceDN w:val="0"/>
              <w:spacing w:after="0" w:line="360" w:lineRule="auto"/>
              <w:ind w:left="171" w:right="137"/>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10%</w:t>
            </w:r>
          </w:p>
        </w:tc>
        <w:tc>
          <w:tcPr>
            <w:tcW w:w="1130" w:type="dxa"/>
            <w:vMerge w:val="restart"/>
          </w:tcPr>
          <w:p w:rsidR="00EC1D37" w:rsidRPr="00B12716" w:rsidRDefault="00EC1D37" w:rsidP="00B12716">
            <w:pPr>
              <w:widowControl w:val="0"/>
              <w:autoSpaceDE w:val="0"/>
              <w:autoSpaceDN w:val="0"/>
              <w:spacing w:after="0" w:line="360" w:lineRule="auto"/>
              <w:rPr>
                <w:rFonts w:ascii="Times New Roman" w:eastAsia="Times New Roman" w:hAnsi="Times New Roman" w:cs="Times New Roman"/>
                <w:b/>
                <w:sz w:val="20"/>
                <w:szCs w:val="20"/>
                <w:lang w:val="en-US"/>
              </w:rPr>
            </w:pPr>
          </w:p>
          <w:p w:rsidR="00EC1D37" w:rsidRPr="00B12716" w:rsidRDefault="00EC1D37" w:rsidP="00B12716">
            <w:pPr>
              <w:widowControl w:val="0"/>
              <w:autoSpaceDE w:val="0"/>
              <w:autoSpaceDN w:val="0"/>
              <w:spacing w:after="0" w:line="360" w:lineRule="auto"/>
              <w:ind w:left="270"/>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&gt;0.05</w:t>
            </w:r>
          </w:p>
        </w:tc>
      </w:tr>
      <w:tr w:rsidR="00EC1D37" w:rsidRPr="00B12716" w:rsidTr="00EC1D37">
        <w:trPr>
          <w:trHeight w:val="518"/>
        </w:trPr>
        <w:tc>
          <w:tcPr>
            <w:tcW w:w="2201" w:type="dxa"/>
            <w:shd w:val="clear" w:color="auto" w:fill="92D050"/>
          </w:tcPr>
          <w:p w:rsidR="00EC1D37" w:rsidRPr="00B12716" w:rsidRDefault="00EC1D37" w:rsidP="00B12716">
            <w:pPr>
              <w:widowControl w:val="0"/>
              <w:autoSpaceDE w:val="0"/>
              <w:autoSpaceDN w:val="0"/>
              <w:spacing w:after="0" w:line="360" w:lineRule="auto"/>
              <w:ind w:left="510" w:right="487"/>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Nausea</w:t>
            </w:r>
          </w:p>
        </w:tc>
        <w:tc>
          <w:tcPr>
            <w:tcW w:w="960" w:type="dxa"/>
          </w:tcPr>
          <w:p w:rsidR="00EC1D37" w:rsidRPr="00B12716" w:rsidRDefault="00EC1D37" w:rsidP="00B12716">
            <w:pPr>
              <w:widowControl w:val="0"/>
              <w:autoSpaceDE w:val="0"/>
              <w:autoSpaceDN w:val="0"/>
              <w:spacing w:after="0" w:line="360" w:lineRule="auto"/>
              <w:ind w:left="23"/>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w w:val="95"/>
                <w:sz w:val="20"/>
                <w:szCs w:val="20"/>
                <w:lang w:val="en-US"/>
              </w:rPr>
              <w:t>1</w:t>
            </w:r>
          </w:p>
        </w:tc>
        <w:tc>
          <w:tcPr>
            <w:tcW w:w="1368" w:type="dxa"/>
          </w:tcPr>
          <w:p w:rsidR="00EC1D37" w:rsidRPr="00B12716" w:rsidRDefault="00EC1D37" w:rsidP="00B12716">
            <w:pPr>
              <w:widowControl w:val="0"/>
              <w:autoSpaceDE w:val="0"/>
              <w:autoSpaceDN w:val="0"/>
              <w:spacing w:after="0" w:line="360" w:lineRule="auto"/>
              <w:ind w:left="422" w:right="396"/>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3.3%</w:t>
            </w:r>
          </w:p>
        </w:tc>
        <w:tc>
          <w:tcPr>
            <w:tcW w:w="808" w:type="dxa"/>
          </w:tcPr>
          <w:p w:rsidR="00EC1D37" w:rsidRPr="00B12716" w:rsidRDefault="00EC1D37" w:rsidP="00B12716">
            <w:pPr>
              <w:widowControl w:val="0"/>
              <w:autoSpaceDE w:val="0"/>
              <w:autoSpaceDN w:val="0"/>
              <w:spacing w:after="0" w:line="360" w:lineRule="auto"/>
              <w:ind w:left="3"/>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w w:val="95"/>
                <w:sz w:val="20"/>
                <w:szCs w:val="20"/>
                <w:lang w:val="en-US"/>
              </w:rPr>
              <w:t>1</w:t>
            </w:r>
          </w:p>
        </w:tc>
        <w:tc>
          <w:tcPr>
            <w:tcW w:w="989" w:type="dxa"/>
          </w:tcPr>
          <w:p w:rsidR="00EC1D37" w:rsidRPr="00B12716" w:rsidRDefault="00EC1D37" w:rsidP="00B12716">
            <w:pPr>
              <w:widowControl w:val="0"/>
              <w:autoSpaceDE w:val="0"/>
              <w:autoSpaceDN w:val="0"/>
              <w:spacing w:after="0" w:line="360" w:lineRule="auto"/>
              <w:ind w:left="171" w:right="139"/>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3.3%</w:t>
            </w:r>
          </w:p>
        </w:tc>
        <w:tc>
          <w:tcPr>
            <w:tcW w:w="1130" w:type="dxa"/>
            <w:vMerge/>
            <w:tcBorders>
              <w:top w:val="nil"/>
            </w:tcBorders>
          </w:tcPr>
          <w:p w:rsidR="00EC1D37" w:rsidRPr="00B12716" w:rsidRDefault="00EC1D37" w:rsidP="00B12716">
            <w:pPr>
              <w:widowControl w:val="0"/>
              <w:autoSpaceDE w:val="0"/>
              <w:autoSpaceDN w:val="0"/>
              <w:spacing w:after="0" w:line="360" w:lineRule="auto"/>
              <w:rPr>
                <w:rFonts w:ascii="Times New Roman" w:eastAsia="Times New Roman" w:hAnsi="Times New Roman" w:cs="Times New Roman"/>
                <w:sz w:val="20"/>
                <w:szCs w:val="20"/>
                <w:lang w:val="en-US"/>
              </w:rPr>
            </w:pPr>
          </w:p>
        </w:tc>
      </w:tr>
      <w:tr w:rsidR="00EC1D37" w:rsidRPr="00B12716" w:rsidTr="00EC1D37">
        <w:trPr>
          <w:trHeight w:val="520"/>
        </w:trPr>
        <w:tc>
          <w:tcPr>
            <w:tcW w:w="2201" w:type="dxa"/>
            <w:shd w:val="clear" w:color="auto" w:fill="92D050"/>
          </w:tcPr>
          <w:p w:rsidR="00EC1D37" w:rsidRPr="00B12716" w:rsidRDefault="00EC1D37" w:rsidP="00B12716">
            <w:pPr>
              <w:widowControl w:val="0"/>
              <w:autoSpaceDE w:val="0"/>
              <w:autoSpaceDN w:val="0"/>
              <w:spacing w:after="0" w:line="360" w:lineRule="auto"/>
              <w:ind w:left="512" w:right="484"/>
              <w:jc w:val="center"/>
              <w:rPr>
                <w:rFonts w:ascii="Times New Roman" w:eastAsia="Times New Roman" w:hAnsi="Times New Roman" w:cs="Times New Roman"/>
                <w:b/>
                <w:sz w:val="20"/>
                <w:szCs w:val="20"/>
                <w:lang w:val="en-US"/>
              </w:rPr>
            </w:pPr>
            <w:r w:rsidRPr="00B12716">
              <w:rPr>
                <w:rFonts w:ascii="Times New Roman" w:eastAsia="Times New Roman" w:hAnsi="Times New Roman" w:cs="Times New Roman"/>
                <w:b/>
                <w:sz w:val="20"/>
                <w:szCs w:val="20"/>
                <w:lang w:val="en-US"/>
              </w:rPr>
              <w:t>Vomiting</w:t>
            </w:r>
          </w:p>
        </w:tc>
        <w:tc>
          <w:tcPr>
            <w:tcW w:w="960" w:type="dxa"/>
          </w:tcPr>
          <w:p w:rsidR="00EC1D37" w:rsidRPr="00B12716" w:rsidRDefault="00EC1D37" w:rsidP="00B12716">
            <w:pPr>
              <w:widowControl w:val="0"/>
              <w:autoSpaceDE w:val="0"/>
              <w:autoSpaceDN w:val="0"/>
              <w:spacing w:after="0" w:line="360" w:lineRule="auto"/>
              <w:ind w:left="23"/>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w w:val="95"/>
                <w:sz w:val="20"/>
                <w:szCs w:val="20"/>
                <w:lang w:val="en-US"/>
              </w:rPr>
              <w:t>1</w:t>
            </w:r>
          </w:p>
        </w:tc>
        <w:tc>
          <w:tcPr>
            <w:tcW w:w="1368" w:type="dxa"/>
          </w:tcPr>
          <w:p w:rsidR="00EC1D37" w:rsidRPr="00B12716" w:rsidRDefault="00EC1D37" w:rsidP="00B12716">
            <w:pPr>
              <w:widowControl w:val="0"/>
              <w:autoSpaceDE w:val="0"/>
              <w:autoSpaceDN w:val="0"/>
              <w:spacing w:after="0" w:line="360" w:lineRule="auto"/>
              <w:ind w:left="422" w:right="396"/>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sz w:val="20"/>
                <w:szCs w:val="20"/>
                <w:lang w:val="en-US"/>
              </w:rPr>
              <w:t>3.3%</w:t>
            </w:r>
          </w:p>
        </w:tc>
        <w:tc>
          <w:tcPr>
            <w:tcW w:w="808" w:type="dxa"/>
          </w:tcPr>
          <w:p w:rsidR="00EC1D37" w:rsidRPr="00B12716" w:rsidRDefault="00EC1D37" w:rsidP="00B12716">
            <w:pPr>
              <w:widowControl w:val="0"/>
              <w:autoSpaceDE w:val="0"/>
              <w:autoSpaceDN w:val="0"/>
              <w:spacing w:after="0" w:line="360" w:lineRule="auto"/>
              <w:ind w:left="3"/>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w w:val="95"/>
                <w:sz w:val="20"/>
                <w:szCs w:val="20"/>
                <w:lang w:val="en-US"/>
              </w:rPr>
              <w:t>0</w:t>
            </w:r>
          </w:p>
        </w:tc>
        <w:tc>
          <w:tcPr>
            <w:tcW w:w="989" w:type="dxa"/>
          </w:tcPr>
          <w:p w:rsidR="00EC1D37" w:rsidRPr="00B12716" w:rsidRDefault="00EC1D37" w:rsidP="00B12716">
            <w:pPr>
              <w:widowControl w:val="0"/>
              <w:autoSpaceDE w:val="0"/>
              <w:autoSpaceDN w:val="0"/>
              <w:spacing w:after="0" w:line="360" w:lineRule="auto"/>
              <w:ind w:left="27"/>
              <w:jc w:val="center"/>
              <w:rPr>
                <w:rFonts w:ascii="Times New Roman" w:eastAsia="Times New Roman" w:hAnsi="Times New Roman" w:cs="Times New Roman"/>
                <w:sz w:val="20"/>
                <w:szCs w:val="20"/>
                <w:lang w:val="en-US"/>
              </w:rPr>
            </w:pPr>
            <w:r w:rsidRPr="00B12716">
              <w:rPr>
                <w:rFonts w:ascii="Times New Roman" w:eastAsia="Times New Roman" w:hAnsi="Times New Roman" w:cs="Times New Roman"/>
                <w:w w:val="94"/>
                <w:sz w:val="20"/>
                <w:szCs w:val="20"/>
                <w:lang w:val="en-US"/>
              </w:rPr>
              <w:t>-</w:t>
            </w:r>
          </w:p>
        </w:tc>
        <w:tc>
          <w:tcPr>
            <w:tcW w:w="1130" w:type="dxa"/>
            <w:vMerge/>
            <w:tcBorders>
              <w:top w:val="nil"/>
            </w:tcBorders>
          </w:tcPr>
          <w:p w:rsidR="00EC1D37" w:rsidRPr="00B12716" w:rsidRDefault="00EC1D37" w:rsidP="00B12716">
            <w:pPr>
              <w:widowControl w:val="0"/>
              <w:autoSpaceDE w:val="0"/>
              <w:autoSpaceDN w:val="0"/>
              <w:spacing w:after="0" w:line="360" w:lineRule="auto"/>
              <w:rPr>
                <w:rFonts w:ascii="Times New Roman" w:eastAsia="Times New Roman" w:hAnsi="Times New Roman" w:cs="Times New Roman"/>
                <w:sz w:val="20"/>
                <w:szCs w:val="20"/>
                <w:lang w:val="en-US"/>
              </w:rPr>
            </w:pPr>
          </w:p>
        </w:tc>
      </w:tr>
    </w:tbl>
    <w:p w:rsidR="00EC1D37" w:rsidRPr="00B12716" w:rsidRDefault="00EC1D37" w:rsidP="00B12716">
      <w:pPr>
        <w:tabs>
          <w:tab w:val="left" w:pos="3910"/>
        </w:tabs>
        <w:spacing w:after="0" w:line="360" w:lineRule="auto"/>
        <w:rPr>
          <w:rFonts w:ascii="Times New Roman" w:hAnsi="Times New Roman" w:cs="Times New Roman"/>
          <w:sz w:val="20"/>
          <w:szCs w:val="20"/>
        </w:rPr>
      </w:pPr>
    </w:p>
    <w:p w:rsidR="00EC1D37" w:rsidRPr="00B12716" w:rsidRDefault="00EC1D37" w:rsidP="00B12716">
      <w:pPr>
        <w:tabs>
          <w:tab w:val="left" w:pos="3910"/>
        </w:tabs>
        <w:spacing w:after="0" w:line="360" w:lineRule="auto"/>
        <w:jc w:val="both"/>
        <w:rPr>
          <w:rFonts w:ascii="Times New Roman" w:hAnsi="Times New Roman" w:cs="Times New Roman"/>
          <w:b/>
          <w:sz w:val="20"/>
          <w:szCs w:val="20"/>
          <w:lang w:val="en-US"/>
        </w:rPr>
      </w:pPr>
      <w:r w:rsidRPr="00B12716">
        <w:rPr>
          <w:rFonts w:ascii="Times New Roman" w:hAnsi="Times New Roman" w:cs="Times New Roman"/>
          <w:b/>
          <w:sz w:val="20"/>
          <w:szCs w:val="20"/>
          <w:lang w:val="en-US"/>
        </w:rPr>
        <w:t>Discussion:</w:t>
      </w:r>
    </w:p>
    <w:p w:rsidR="00EC1D37" w:rsidRPr="00B12716" w:rsidRDefault="00EC1D37" w:rsidP="00B12716">
      <w:pPr>
        <w:tabs>
          <w:tab w:val="left" w:pos="3910"/>
        </w:tabs>
        <w:spacing w:after="0" w:line="360" w:lineRule="auto"/>
        <w:jc w:val="both"/>
        <w:rPr>
          <w:rFonts w:ascii="Times New Roman" w:hAnsi="Times New Roman" w:cs="Times New Roman"/>
          <w:sz w:val="20"/>
          <w:szCs w:val="20"/>
        </w:rPr>
      </w:pPr>
      <w:r w:rsidRPr="00B12716">
        <w:rPr>
          <w:rFonts w:ascii="Times New Roman" w:hAnsi="Times New Roman" w:cs="Times New Roman"/>
          <w:sz w:val="20"/>
          <w:szCs w:val="20"/>
        </w:rPr>
        <w:t>The results of the study indicate that there were minimal side effects reported in both Group A (patients administered with intravenous magnesium sulphate) and Group B (patients administered with intravenous dexmedetomidine) during the evaluation of the hemodynamic stress response during laryngoscopy and endotracheal intubation. The most commonly reported side effect in both groups was dry mouth, with 6.7% of patients in Group A and 10% in Group B experiencing this adverse event. However, the difference in the incidence of dry mouth between the two groups was not statistically significant, as indicated by the p-value (&gt;0.05).</w:t>
      </w:r>
    </w:p>
    <w:p w:rsidR="00EC1D37" w:rsidRPr="00B12716" w:rsidRDefault="00EC1D37" w:rsidP="00B12716">
      <w:pPr>
        <w:tabs>
          <w:tab w:val="left" w:pos="3910"/>
        </w:tabs>
        <w:spacing w:after="0" w:line="360" w:lineRule="auto"/>
        <w:jc w:val="both"/>
        <w:rPr>
          <w:rFonts w:ascii="Times New Roman" w:hAnsi="Times New Roman" w:cs="Times New Roman"/>
          <w:sz w:val="20"/>
          <w:szCs w:val="20"/>
        </w:rPr>
      </w:pPr>
      <w:r w:rsidRPr="00B12716">
        <w:rPr>
          <w:rFonts w:ascii="Times New Roman" w:hAnsi="Times New Roman" w:cs="Times New Roman"/>
          <w:sz w:val="20"/>
          <w:szCs w:val="20"/>
        </w:rPr>
        <w:t>Similarly, both groups had a low occurrence of nausea, with 3.3% of patients experiencing this side effect in each group. Furthermore, Group A had one patient (3.3%) reporting vomiting, while no patients in Group B experienced vomiting during the study period. However, since there were no cases of vomiting in Group B, statistical comparison between the groups was not possible for this particular side effect.</w:t>
      </w:r>
    </w:p>
    <w:p w:rsidR="00EC1D37" w:rsidRPr="00B12716" w:rsidRDefault="00EC1D37" w:rsidP="00B12716">
      <w:pPr>
        <w:tabs>
          <w:tab w:val="left" w:pos="3910"/>
        </w:tabs>
        <w:spacing w:after="0" w:line="360" w:lineRule="auto"/>
        <w:jc w:val="both"/>
        <w:rPr>
          <w:rFonts w:ascii="Times New Roman" w:hAnsi="Times New Roman" w:cs="Times New Roman"/>
          <w:sz w:val="20"/>
          <w:szCs w:val="20"/>
        </w:rPr>
      </w:pPr>
      <w:r w:rsidRPr="00B12716">
        <w:rPr>
          <w:rFonts w:ascii="Times New Roman" w:hAnsi="Times New Roman" w:cs="Times New Roman"/>
          <w:sz w:val="20"/>
          <w:szCs w:val="20"/>
        </w:rPr>
        <w:t>The absence of statistically significant differences in the occurrence of side effects between the two study groups suggests that both intravenous magnesium sulphate and dexmedetomidine were well-tolerated by patients undergoing laryngoscopy and endotracheal intubation. These findings are consistent with previous research that has demonstrated the safety and favorable side effect profiles of both medications in various clinical settings.</w:t>
      </w:r>
    </w:p>
    <w:p w:rsidR="00EC1D37" w:rsidRPr="00B12716" w:rsidRDefault="00EC1D37" w:rsidP="00B12716">
      <w:pPr>
        <w:tabs>
          <w:tab w:val="left" w:pos="3910"/>
        </w:tabs>
        <w:spacing w:after="0" w:line="360" w:lineRule="auto"/>
        <w:jc w:val="both"/>
        <w:rPr>
          <w:rFonts w:ascii="Times New Roman" w:hAnsi="Times New Roman" w:cs="Times New Roman"/>
          <w:sz w:val="20"/>
          <w:szCs w:val="20"/>
        </w:rPr>
      </w:pPr>
      <w:r w:rsidRPr="00B12716">
        <w:rPr>
          <w:rFonts w:ascii="Times New Roman" w:hAnsi="Times New Roman" w:cs="Times New Roman"/>
          <w:sz w:val="20"/>
          <w:szCs w:val="20"/>
        </w:rPr>
        <w:t>It is essential to note that the small sample size might have limited the detection of rare side effects, and a larger study cohort may provide further insights into the safety profiles of these drugs. Additionally, the study's short duration may not have captured delayed or longer-term adverse events that could occur with prolonged use of these medications.</w:t>
      </w:r>
    </w:p>
    <w:p w:rsidR="00EC1D37" w:rsidRPr="00B12716" w:rsidRDefault="00EC1D37" w:rsidP="00B12716">
      <w:pPr>
        <w:tabs>
          <w:tab w:val="left" w:pos="3910"/>
        </w:tabs>
        <w:spacing w:after="0" w:line="360" w:lineRule="auto"/>
        <w:jc w:val="both"/>
        <w:rPr>
          <w:rFonts w:ascii="Times New Roman" w:hAnsi="Times New Roman" w:cs="Times New Roman"/>
          <w:sz w:val="20"/>
          <w:szCs w:val="20"/>
        </w:rPr>
      </w:pPr>
      <w:r w:rsidRPr="00B12716">
        <w:rPr>
          <w:rFonts w:ascii="Times New Roman" w:hAnsi="Times New Roman" w:cs="Times New Roman"/>
          <w:sz w:val="20"/>
          <w:szCs w:val="20"/>
        </w:rPr>
        <w:t>In conclusion, this comparative study found no significant differences in the occurrence of side effects between intravenous magnesium sulphate and dexmedetomidine when used for attenuating the hemodynamic stress response during laryngoscopy and endotracheal intubation. Both medications demonstrated good tolerability, and the incidence of side effects was minimal in both groups. These results support the use of both intravenous magnesium sulphate and dexmedetomidine as safe and effective pharmacological agents in clinical practice for airway management during elective non-cardiac surgeries. However, further research with larger sample sizes and longer follow-up periods is warranted to validate these findings and provide a more comprehensive understanding of the safety profiles of these medications in this specific context.</w:t>
      </w:r>
    </w:p>
    <w:p w:rsidR="00EC1D37" w:rsidRPr="00B12716" w:rsidRDefault="00EC1D37" w:rsidP="00B12716">
      <w:pPr>
        <w:tabs>
          <w:tab w:val="left" w:pos="3910"/>
        </w:tabs>
        <w:spacing w:after="0" w:line="360" w:lineRule="auto"/>
        <w:jc w:val="both"/>
        <w:rPr>
          <w:rFonts w:ascii="Times New Roman" w:hAnsi="Times New Roman" w:cs="Times New Roman"/>
          <w:b/>
          <w:sz w:val="20"/>
          <w:szCs w:val="20"/>
          <w:lang w:val="en-US"/>
        </w:rPr>
      </w:pPr>
      <w:r w:rsidRPr="00B12716">
        <w:rPr>
          <w:rFonts w:ascii="Times New Roman" w:hAnsi="Times New Roman" w:cs="Times New Roman"/>
          <w:b/>
          <w:sz w:val="20"/>
          <w:szCs w:val="20"/>
          <w:lang w:val="en-US"/>
        </w:rPr>
        <w:t xml:space="preserve">Conclusion: </w:t>
      </w:r>
    </w:p>
    <w:p w:rsidR="00EC1D37" w:rsidRPr="00B12716" w:rsidRDefault="00EC1D37" w:rsidP="00B12716">
      <w:pPr>
        <w:tabs>
          <w:tab w:val="left" w:pos="3910"/>
        </w:tabs>
        <w:spacing w:after="0" w:line="360" w:lineRule="auto"/>
        <w:jc w:val="both"/>
        <w:rPr>
          <w:rFonts w:ascii="Times New Roman" w:hAnsi="Times New Roman" w:cs="Times New Roman"/>
          <w:sz w:val="20"/>
          <w:szCs w:val="20"/>
          <w:lang w:val="en-US"/>
        </w:rPr>
      </w:pPr>
      <w:r w:rsidRPr="00B12716">
        <w:rPr>
          <w:rFonts w:ascii="Times New Roman" w:hAnsi="Times New Roman" w:cs="Times New Roman"/>
          <w:sz w:val="20"/>
          <w:szCs w:val="20"/>
          <w:lang w:val="en-US"/>
        </w:rPr>
        <w:t>Intravenous 50% magnesium sulphate (MgSO4) and dexmedetomidine premedication for attenuation of haemodynamic stress response during laryngoscopy and endotracheal intubation are equally effective with no significant side effects. Hence Magnesium Sulphate (MgSO4) can be used for attenuation of haemodynamic stress response during endotracheal intubation. Also, both drugs have contributory antinociceptive effects that maybe beneficial for controlling postoperative pain and no significant difference in side effects.</w:t>
      </w:r>
    </w:p>
    <w:p w:rsidR="00B12716" w:rsidRDefault="00B12716" w:rsidP="00B12716">
      <w:pPr>
        <w:tabs>
          <w:tab w:val="left" w:pos="3910"/>
        </w:tabs>
        <w:spacing w:after="0" w:line="360" w:lineRule="auto"/>
        <w:rPr>
          <w:rFonts w:ascii="Times New Roman" w:hAnsi="Times New Roman" w:cs="Times New Roman"/>
          <w:b/>
          <w:sz w:val="20"/>
          <w:szCs w:val="20"/>
        </w:rPr>
      </w:pPr>
    </w:p>
    <w:p w:rsidR="00B12716" w:rsidRDefault="00B12716" w:rsidP="00B12716">
      <w:pPr>
        <w:tabs>
          <w:tab w:val="left" w:pos="3910"/>
        </w:tabs>
        <w:spacing w:after="0" w:line="360" w:lineRule="auto"/>
        <w:rPr>
          <w:rFonts w:ascii="Times New Roman" w:hAnsi="Times New Roman" w:cs="Times New Roman"/>
          <w:b/>
          <w:sz w:val="20"/>
          <w:szCs w:val="20"/>
        </w:rPr>
      </w:pPr>
    </w:p>
    <w:p w:rsidR="00EC1D37" w:rsidRPr="00B12716" w:rsidRDefault="00B12716" w:rsidP="00B12716">
      <w:pPr>
        <w:tabs>
          <w:tab w:val="left" w:pos="3910"/>
        </w:tabs>
        <w:spacing w:after="0" w:line="360" w:lineRule="auto"/>
        <w:rPr>
          <w:rFonts w:ascii="Times New Roman" w:hAnsi="Times New Roman" w:cs="Times New Roman"/>
          <w:b/>
          <w:sz w:val="20"/>
          <w:szCs w:val="20"/>
        </w:rPr>
      </w:pPr>
      <w:r w:rsidRPr="00B12716">
        <w:rPr>
          <w:rFonts w:ascii="Times New Roman" w:hAnsi="Times New Roman" w:cs="Times New Roman"/>
          <w:b/>
          <w:sz w:val="20"/>
          <w:szCs w:val="20"/>
        </w:rPr>
        <w:t>References:</w:t>
      </w:r>
      <w:r w:rsidR="00D8063C" w:rsidRPr="00B12716">
        <w:rPr>
          <w:rFonts w:ascii="Times New Roman" w:hAnsi="Times New Roman" w:cs="Times New Roman"/>
          <w:b/>
          <w:sz w:val="20"/>
          <w:szCs w:val="20"/>
        </w:rPr>
        <w:t xml:space="preserve"> </w:t>
      </w:r>
    </w:p>
    <w:p w:rsidR="00D8063C" w:rsidRPr="00B12716" w:rsidRDefault="00D8063C" w:rsidP="00B12716">
      <w:pPr>
        <w:tabs>
          <w:tab w:val="left" w:pos="3910"/>
        </w:tabs>
        <w:spacing w:after="0" w:line="360" w:lineRule="auto"/>
        <w:rPr>
          <w:rFonts w:ascii="Times New Roman" w:hAnsi="Times New Roman" w:cs="Times New Roman"/>
          <w:sz w:val="20"/>
          <w:szCs w:val="20"/>
        </w:rPr>
      </w:pPr>
      <w:r w:rsidRPr="00B12716">
        <w:rPr>
          <w:rFonts w:ascii="Times New Roman" w:hAnsi="Times New Roman" w:cs="Times New Roman"/>
          <w:sz w:val="20"/>
          <w:szCs w:val="20"/>
        </w:rPr>
        <w:t>1.Szmuk P, Ezri T, Evron S et al. A brief history of tracheostomy and tracheal intubation, from the Bronze Age to the Space Age. Intensive Care Med. 2008;34: 222-228</w:t>
      </w:r>
    </w:p>
    <w:p w:rsidR="00D8063C" w:rsidRPr="00B12716" w:rsidRDefault="00D8063C" w:rsidP="00B12716">
      <w:pPr>
        <w:tabs>
          <w:tab w:val="left" w:pos="3910"/>
        </w:tabs>
        <w:spacing w:after="0" w:line="360" w:lineRule="auto"/>
        <w:rPr>
          <w:rFonts w:ascii="Times New Roman" w:hAnsi="Times New Roman" w:cs="Times New Roman"/>
          <w:sz w:val="20"/>
          <w:szCs w:val="20"/>
        </w:rPr>
      </w:pPr>
      <w:r w:rsidRPr="00B12716">
        <w:rPr>
          <w:rFonts w:ascii="Times New Roman" w:hAnsi="Times New Roman" w:cs="Times New Roman"/>
          <w:sz w:val="20"/>
          <w:szCs w:val="20"/>
        </w:rPr>
        <w:t>2.Ramírez Y, Francisca L. Tripp B et al. Assessment of cuff pressure during general anesthesia in adult patients. Rev Med Hosp Gen Mex. 2014; 4(77):167- 172</w:t>
      </w:r>
    </w:p>
    <w:p w:rsidR="00D8063C" w:rsidRPr="00B12716" w:rsidRDefault="00D8063C" w:rsidP="00B12716">
      <w:pPr>
        <w:tabs>
          <w:tab w:val="left" w:pos="3910"/>
        </w:tabs>
        <w:spacing w:after="0" w:line="360" w:lineRule="auto"/>
        <w:rPr>
          <w:rFonts w:ascii="Times New Roman" w:hAnsi="Times New Roman" w:cs="Times New Roman"/>
          <w:sz w:val="20"/>
          <w:szCs w:val="20"/>
        </w:rPr>
      </w:pPr>
      <w:r w:rsidRPr="00B12716">
        <w:rPr>
          <w:rFonts w:ascii="Times New Roman" w:hAnsi="Times New Roman" w:cs="Times New Roman"/>
          <w:sz w:val="20"/>
          <w:szCs w:val="20"/>
        </w:rPr>
        <w:t>3.Stewart SL, Secrest JA, Norwood BR et al. A comparison of endotracheal tube cuff pressures using estimation techniques and direct intracuff measurement. AANA J. 2004;71(6):443-447.</w:t>
      </w:r>
    </w:p>
    <w:p w:rsidR="00D8063C" w:rsidRPr="00B12716" w:rsidRDefault="00D8063C" w:rsidP="00B12716">
      <w:pPr>
        <w:tabs>
          <w:tab w:val="left" w:pos="3910"/>
        </w:tabs>
        <w:spacing w:after="0" w:line="360" w:lineRule="auto"/>
        <w:rPr>
          <w:rFonts w:ascii="Times New Roman" w:hAnsi="Times New Roman" w:cs="Times New Roman"/>
          <w:sz w:val="20"/>
          <w:szCs w:val="20"/>
        </w:rPr>
      </w:pPr>
      <w:r w:rsidRPr="00B12716">
        <w:rPr>
          <w:rFonts w:ascii="Times New Roman" w:hAnsi="Times New Roman" w:cs="Times New Roman"/>
          <w:sz w:val="20"/>
          <w:szCs w:val="20"/>
        </w:rPr>
        <w:t>4.Sole ML, Penoyer DA, Su X et al. Assessment of endotrachael cuff pressures by continuous monitoring: a pilot study. Am J Crit Care. 2009;18(2):133-143.</w:t>
      </w:r>
    </w:p>
    <w:p w:rsidR="00D8063C" w:rsidRPr="00B12716" w:rsidRDefault="00D8063C" w:rsidP="00B12716">
      <w:pPr>
        <w:tabs>
          <w:tab w:val="left" w:pos="3910"/>
        </w:tabs>
        <w:spacing w:after="0" w:line="360" w:lineRule="auto"/>
        <w:rPr>
          <w:rFonts w:ascii="Times New Roman" w:hAnsi="Times New Roman" w:cs="Times New Roman"/>
          <w:sz w:val="20"/>
          <w:szCs w:val="20"/>
        </w:rPr>
      </w:pPr>
      <w:r w:rsidRPr="00B12716">
        <w:rPr>
          <w:rFonts w:ascii="Times New Roman" w:hAnsi="Times New Roman" w:cs="Times New Roman"/>
          <w:sz w:val="20"/>
          <w:szCs w:val="20"/>
        </w:rPr>
        <w:t>5.Sidharth Sraban Routray. A Comparative Study of Fentanyl – Clonidine and Fentanyl - Lidocaine on Attenuation of Haemodynamic Stress Response to Laryngoscopy and Tracheal Intubation in Hypertensive Patients. Journal of Anaesthesiology. 2014; 2(4):27-31.</w:t>
      </w:r>
    </w:p>
    <w:p w:rsidR="00D8063C" w:rsidRPr="00B12716" w:rsidRDefault="00D8063C" w:rsidP="00B12716">
      <w:pPr>
        <w:tabs>
          <w:tab w:val="left" w:pos="3910"/>
        </w:tabs>
        <w:spacing w:after="0" w:line="360" w:lineRule="auto"/>
        <w:rPr>
          <w:rFonts w:ascii="Times New Roman" w:hAnsi="Times New Roman" w:cs="Times New Roman"/>
          <w:sz w:val="20"/>
          <w:szCs w:val="20"/>
        </w:rPr>
      </w:pPr>
      <w:r w:rsidRPr="00B12716">
        <w:rPr>
          <w:rFonts w:ascii="Times New Roman" w:hAnsi="Times New Roman" w:cs="Times New Roman"/>
          <w:sz w:val="20"/>
          <w:szCs w:val="20"/>
        </w:rPr>
        <w:t>6.Stoelting RK, Stephan F Dierdorf. Anaesthesia and co-existing disease. 4th ed. 2002.</w:t>
      </w:r>
    </w:p>
    <w:p w:rsidR="00D8063C" w:rsidRPr="00B12716" w:rsidRDefault="00D8063C" w:rsidP="00B12716">
      <w:pPr>
        <w:tabs>
          <w:tab w:val="left" w:pos="3910"/>
        </w:tabs>
        <w:spacing w:after="0" w:line="360" w:lineRule="auto"/>
        <w:rPr>
          <w:rFonts w:ascii="Times New Roman" w:hAnsi="Times New Roman" w:cs="Times New Roman"/>
          <w:sz w:val="20"/>
          <w:szCs w:val="20"/>
        </w:rPr>
      </w:pPr>
      <w:r w:rsidRPr="00B12716">
        <w:rPr>
          <w:rFonts w:ascii="Times New Roman" w:hAnsi="Times New Roman" w:cs="Times New Roman"/>
          <w:sz w:val="20"/>
          <w:szCs w:val="20"/>
        </w:rPr>
        <w:t>7.Hagberg CA, Artime CA, Airway Management in Adult. In R. D. Miller, Miller's Anesthesia Eighth Edition. 2015:1647-1654.</w:t>
      </w:r>
    </w:p>
    <w:p w:rsidR="00D8063C" w:rsidRPr="00B12716" w:rsidRDefault="00D8063C" w:rsidP="00B12716">
      <w:pPr>
        <w:tabs>
          <w:tab w:val="left" w:pos="3910"/>
        </w:tabs>
        <w:spacing w:after="0" w:line="360" w:lineRule="auto"/>
        <w:rPr>
          <w:rFonts w:ascii="Times New Roman" w:hAnsi="Times New Roman" w:cs="Times New Roman"/>
          <w:sz w:val="20"/>
          <w:szCs w:val="20"/>
        </w:rPr>
      </w:pPr>
      <w:r w:rsidRPr="00B12716">
        <w:rPr>
          <w:rFonts w:ascii="Times New Roman" w:hAnsi="Times New Roman" w:cs="Times New Roman"/>
          <w:sz w:val="20"/>
          <w:szCs w:val="20"/>
        </w:rPr>
        <w:t>8.Gurulingappa. Attenuation of Cardiovascular Responses to Direct Laryngoscopy and Intubation-A Comparative Study Between iv Bolus Fentanyl, Lignocaine and Placebo (NS). J Clin Diagn. Res. 2012;6(10):1749- 1752.</w:t>
      </w:r>
    </w:p>
    <w:p w:rsidR="00D8063C" w:rsidRPr="00B12716" w:rsidRDefault="00D8063C" w:rsidP="00B12716">
      <w:pPr>
        <w:tabs>
          <w:tab w:val="left" w:pos="3910"/>
        </w:tabs>
        <w:spacing w:after="0" w:line="360" w:lineRule="auto"/>
        <w:jc w:val="both"/>
        <w:rPr>
          <w:rFonts w:ascii="Times New Roman" w:hAnsi="Times New Roman" w:cs="Times New Roman"/>
          <w:sz w:val="20"/>
          <w:szCs w:val="20"/>
          <w:lang w:val="en-US"/>
        </w:rPr>
      </w:pPr>
      <w:r w:rsidRPr="00B12716">
        <w:rPr>
          <w:rFonts w:ascii="Times New Roman" w:hAnsi="Times New Roman" w:cs="Times New Roman"/>
          <w:sz w:val="20"/>
          <w:szCs w:val="20"/>
          <w:lang w:val="en-US"/>
        </w:rPr>
        <w:t>9. Scheinin H, Aantaa R, Anttila M et al. Reversal of the sedative and sympatholytic effects of dexmedetomidine with a specific α2- adrenoceptor antagonist atipamezole: a pharmacodynamic and kinetic study in healthy volunteers. The Journal of the American Society of Anesthesiologists. 1998;89(3):574-584.</w:t>
      </w:r>
    </w:p>
    <w:p w:rsidR="00D8063C" w:rsidRPr="00B12716" w:rsidRDefault="00D8063C" w:rsidP="00B12716">
      <w:pPr>
        <w:tabs>
          <w:tab w:val="left" w:pos="3910"/>
        </w:tabs>
        <w:spacing w:after="0" w:line="360" w:lineRule="auto"/>
        <w:jc w:val="both"/>
        <w:rPr>
          <w:rFonts w:ascii="Times New Roman" w:hAnsi="Times New Roman" w:cs="Times New Roman"/>
          <w:sz w:val="20"/>
          <w:szCs w:val="20"/>
          <w:lang w:val="en-US"/>
        </w:rPr>
      </w:pPr>
      <w:r w:rsidRPr="00B12716">
        <w:rPr>
          <w:rFonts w:ascii="Times New Roman" w:hAnsi="Times New Roman" w:cs="Times New Roman"/>
          <w:sz w:val="20"/>
          <w:szCs w:val="20"/>
          <w:lang w:val="en-US"/>
        </w:rPr>
        <w:t>10.Alam MS, Kumar V, Hussain A et al. Variations in Circulatory Responses to Laryngoscopy-Dexmedetomidine vs. Magnesium Sulphate. Annals of International Medical and Dental Research. 2017;3(4):18.</w:t>
      </w:r>
    </w:p>
    <w:p w:rsidR="00D8063C" w:rsidRPr="00B12716" w:rsidRDefault="00D8063C" w:rsidP="00B12716">
      <w:pPr>
        <w:tabs>
          <w:tab w:val="left" w:pos="3910"/>
        </w:tabs>
        <w:spacing w:after="0" w:line="360" w:lineRule="auto"/>
        <w:rPr>
          <w:rFonts w:ascii="Times New Roman" w:hAnsi="Times New Roman" w:cs="Times New Roman"/>
          <w:sz w:val="20"/>
          <w:szCs w:val="20"/>
        </w:rPr>
      </w:pPr>
    </w:p>
    <w:sectPr w:rsidR="00D8063C" w:rsidRPr="00B12716" w:rsidSect="00E82FB2">
      <w:headerReference w:type="default" r:id="rId11"/>
      <w:footerReference w:type="default" r:id="rId12"/>
      <w:pgSz w:w="11906" w:h="16838"/>
      <w:pgMar w:top="1440" w:right="1440" w:bottom="1440" w:left="1440" w:header="708" w:footer="708" w:gutter="0"/>
      <w:pgNumType w:start="3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7B" w:rsidRDefault="00F3087B" w:rsidP="00B12716">
      <w:pPr>
        <w:spacing w:after="0" w:line="240" w:lineRule="auto"/>
      </w:pPr>
      <w:r>
        <w:separator/>
      </w:r>
    </w:p>
  </w:endnote>
  <w:endnote w:type="continuationSeparator" w:id="0">
    <w:p w:rsidR="00F3087B" w:rsidRDefault="00F3087B" w:rsidP="00B1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53811"/>
      <w:docPartObj>
        <w:docPartGallery w:val="Page Numbers (Bottom of Page)"/>
        <w:docPartUnique/>
      </w:docPartObj>
    </w:sdtPr>
    <w:sdtEndPr>
      <w:rPr>
        <w:noProof/>
      </w:rPr>
    </w:sdtEndPr>
    <w:sdtContent>
      <w:p w:rsidR="00E82FB2" w:rsidRDefault="00E82FB2">
        <w:pPr>
          <w:pStyle w:val="Footer"/>
          <w:jc w:val="right"/>
        </w:pPr>
        <w:r>
          <w:fldChar w:fldCharType="begin"/>
        </w:r>
        <w:r>
          <w:instrText xml:space="preserve"> PAGE   \* MERGEFORMAT </w:instrText>
        </w:r>
        <w:r>
          <w:fldChar w:fldCharType="separate"/>
        </w:r>
        <w:r w:rsidR="00F3087B">
          <w:rPr>
            <w:noProof/>
          </w:rPr>
          <w:t>339</w:t>
        </w:r>
        <w:r>
          <w:rPr>
            <w:noProof/>
          </w:rPr>
          <w:fldChar w:fldCharType="end"/>
        </w:r>
      </w:p>
    </w:sdtContent>
  </w:sdt>
  <w:p w:rsidR="00E82FB2" w:rsidRPr="00E82FB2" w:rsidRDefault="00E82FB2" w:rsidP="00E82FB2">
    <w:pPr>
      <w:pStyle w:val="Footer"/>
    </w:pPr>
    <w:r w:rsidRPr="00E82FB2">
      <w:rPr>
        <w:lang w:val="en-US"/>
      </w:rPr>
      <w:t>www.ijbamr.com   P ISSN: 2250-284X, E ISSN: 2250-2858</w:t>
    </w:r>
  </w:p>
  <w:p w:rsidR="00E82FB2" w:rsidRDefault="00E82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7B" w:rsidRDefault="00F3087B" w:rsidP="00B12716">
      <w:pPr>
        <w:spacing w:after="0" w:line="240" w:lineRule="auto"/>
      </w:pPr>
      <w:r>
        <w:separator/>
      </w:r>
    </w:p>
  </w:footnote>
  <w:footnote w:type="continuationSeparator" w:id="0">
    <w:p w:rsidR="00F3087B" w:rsidRDefault="00F3087B" w:rsidP="00B12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B2" w:rsidRPr="00967177" w:rsidRDefault="00E82FB2" w:rsidP="00E82FB2">
    <w:pPr>
      <w:widowControl w:val="0"/>
      <w:tabs>
        <w:tab w:val="center" w:pos="4513"/>
        <w:tab w:val="right" w:pos="9026"/>
      </w:tabs>
      <w:autoSpaceDE w:val="0"/>
      <w:autoSpaceDN w:val="0"/>
      <w:spacing w:after="0" w:line="240" w:lineRule="auto"/>
      <w:ind w:left="-113"/>
      <w:rPr>
        <w:rFonts w:ascii="Cambria" w:eastAsia="Calibri" w:hAnsi="Cambria" w:cs="Times New Roman"/>
        <w:lang w:val="en-US"/>
      </w:rPr>
    </w:pPr>
    <w:r w:rsidRPr="00967177">
      <w:rPr>
        <w:rFonts w:ascii="Cambria" w:eastAsia="Calibri" w:hAnsi="Cambria" w:cs="Times New Roman"/>
        <w:lang w:val="en-US"/>
      </w:rPr>
      <w:t xml:space="preserve">Indian Journal of Basic and Applied Medical Research; March 2023: Vol.-12, Issue- 2 , P. </w:t>
    </w:r>
    <w:r>
      <w:rPr>
        <w:rFonts w:ascii="Cambria" w:eastAsia="Calibri" w:hAnsi="Cambria" w:cs="Times New Roman"/>
        <w:lang w:val="en-US"/>
      </w:rPr>
      <w:t>339 - 345</w:t>
    </w:r>
  </w:p>
  <w:p w:rsidR="00E82FB2" w:rsidRPr="00967177" w:rsidRDefault="00E82FB2" w:rsidP="00E82FB2">
    <w:pPr>
      <w:widowControl w:val="0"/>
      <w:tabs>
        <w:tab w:val="center" w:pos="4513"/>
        <w:tab w:val="right" w:pos="9026"/>
      </w:tabs>
      <w:autoSpaceDE w:val="0"/>
      <w:autoSpaceDN w:val="0"/>
      <w:spacing w:after="0" w:line="240" w:lineRule="auto"/>
      <w:ind w:left="-113"/>
      <w:rPr>
        <w:rFonts w:ascii="Cambria" w:eastAsia="Calibri" w:hAnsi="Cambria" w:cs="Times New Roman"/>
        <w:bCs/>
        <w:lang w:val="en-US"/>
      </w:rPr>
    </w:pPr>
    <w:r w:rsidRPr="00967177">
      <w:rPr>
        <w:rFonts w:ascii="Cambria" w:eastAsia="Calibri" w:hAnsi="Cambria" w:cs="Times New Roman"/>
        <w:bCs/>
        <w:lang w:val="en-US"/>
      </w:rPr>
      <w:t>DOI:</w:t>
    </w:r>
    <w:r>
      <w:rPr>
        <w:rFonts w:ascii="Cambria" w:eastAsia="Calibri" w:hAnsi="Cambria" w:cs="Times New Roman"/>
        <w:bCs/>
        <w:lang w:val="en-US"/>
      </w:rPr>
      <w:t xml:space="preserve"> 10.36855/IJBAMR/2022/90215.5757</w:t>
    </w:r>
  </w:p>
  <w:p w:rsidR="00E82FB2" w:rsidRDefault="00E82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13F0"/>
    <w:multiLevelType w:val="hybridMultilevel"/>
    <w:tmpl w:val="2D4060C2"/>
    <w:lvl w:ilvl="0" w:tplc="8954C320">
      <w:start w:val="1"/>
      <w:numFmt w:val="decimal"/>
      <w:lvlText w:val="%1."/>
      <w:lvlJc w:val="left"/>
      <w:pPr>
        <w:ind w:left="2500" w:hanging="360"/>
        <w:jc w:val="left"/>
      </w:pPr>
      <w:rPr>
        <w:rFonts w:ascii="Arial MT" w:eastAsia="Arial MT" w:hAnsi="Arial MT" w:cs="Arial MT" w:hint="default"/>
        <w:w w:val="100"/>
        <w:sz w:val="24"/>
        <w:szCs w:val="24"/>
        <w:lang w:val="en-US" w:eastAsia="en-US" w:bidi="ar-SA"/>
      </w:rPr>
    </w:lvl>
    <w:lvl w:ilvl="1" w:tplc="30CEAB3A">
      <w:numFmt w:val="bullet"/>
      <w:lvlText w:val="•"/>
      <w:lvlJc w:val="left"/>
      <w:pPr>
        <w:ind w:left="3436" w:hanging="360"/>
      </w:pPr>
      <w:rPr>
        <w:rFonts w:hint="default"/>
        <w:lang w:val="en-US" w:eastAsia="en-US" w:bidi="ar-SA"/>
      </w:rPr>
    </w:lvl>
    <w:lvl w:ilvl="2" w:tplc="534AC29C">
      <w:numFmt w:val="bullet"/>
      <w:lvlText w:val="•"/>
      <w:lvlJc w:val="left"/>
      <w:pPr>
        <w:ind w:left="4372" w:hanging="360"/>
      </w:pPr>
      <w:rPr>
        <w:rFonts w:hint="default"/>
        <w:lang w:val="en-US" w:eastAsia="en-US" w:bidi="ar-SA"/>
      </w:rPr>
    </w:lvl>
    <w:lvl w:ilvl="3" w:tplc="7DA80568">
      <w:numFmt w:val="bullet"/>
      <w:lvlText w:val="•"/>
      <w:lvlJc w:val="left"/>
      <w:pPr>
        <w:ind w:left="5308" w:hanging="360"/>
      </w:pPr>
      <w:rPr>
        <w:rFonts w:hint="default"/>
        <w:lang w:val="en-US" w:eastAsia="en-US" w:bidi="ar-SA"/>
      </w:rPr>
    </w:lvl>
    <w:lvl w:ilvl="4" w:tplc="D69E2B00">
      <w:numFmt w:val="bullet"/>
      <w:lvlText w:val="•"/>
      <w:lvlJc w:val="left"/>
      <w:pPr>
        <w:ind w:left="6244" w:hanging="360"/>
      </w:pPr>
      <w:rPr>
        <w:rFonts w:hint="default"/>
        <w:lang w:val="en-US" w:eastAsia="en-US" w:bidi="ar-SA"/>
      </w:rPr>
    </w:lvl>
    <w:lvl w:ilvl="5" w:tplc="11A8A8E6">
      <w:numFmt w:val="bullet"/>
      <w:lvlText w:val="•"/>
      <w:lvlJc w:val="left"/>
      <w:pPr>
        <w:ind w:left="7180" w:hanging="360"/>
      </w:pPr>
      <w:rPr>
        <w:rFonts w:hint="default"/>
        <w:lang w:val="en-US" w:eastAsia="en-US" w:bidi="ar-SA"/>
      </w:rPr>
    </w:lvl>
    <w:lvl w:ilvl="6" w:tplc="31A03A22">
      <w:numFmt w:val="bullet"/>
      <w:lvlText w:val="•"/>
      <w:lvlJc w:val="left"/>
      <w:pPr>
        <w:ind w:left="8116" w:hanging="360"/>
      </w:pPr>
      <w:rPr>
        <w:rFonts w:hint="default"/>
        <w:lang w:val="en-US" w:eastAsia="en-US" w:bidi="ar-SA"/>
      </w:rPr>
    </w:lvl>
    <w:lvl w:ilvl="7" w:tplc="923EC4CC">
      <w:numFmt w:val="bullet"/>
      <w:lvlText w:val="•"/>
      <w:lvlJc w:val="left"/>
      <w:pPr>
        <w:ind w:left="9052" w:hanging="360"/>
      </w:pPr>
      <w:rPr>
        <w:rFonts w:hint="default"/>
        <w:lang w:val="en-US" w:eastAsia="en-US" w:bidi="ar-SA"/>
      </w:rPr>
    </w:lvl>
    <w:lvl w:ilvl="8" w:tplc="38847272">
      <w:numFmt w:val="bullet"/>
      <w:lvlText w:val="•"/>
      <w:lvlJc w:val="left"/>
      <w:pPr>
        <w:ind w:left="998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63"/>
    <w:rsid w:val="00100D75"/>
    <w:rsid w:val="00811A65"/>
    <w:rsid w:val="00B12716"/>
    <w:rsid w:val="00C07863"/>
    <w:rsid w:val="00D8063C"/>
    <w:rsid w:val="00E82FB2"/>
    <w:rsid w:val="00EC1D37"/>
    <w:rsid w:val="00F3087B"/>
    <w:rsid w:val="00F35705"/>
    <w:rsid w:val="00F550CA"/>
    <w:rsid w:val="00FD03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C1D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1D37"/>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EC1D37"/>
    <w:pPr>
      <w:widowControl w:val="0"/>
      <w:autoSpaceDE w:val="0"/>
      <w:autoSpaceDN w:val="0"/>
      <w:spacing w:after="0" w:line="240" w:lineRule="auto"/>
      <w:jc w:val="center"/>
    </w:pPr>
    <w:rPr>
      <w:rFonts w:ascii="Times New Roman" w:eastAsia="Times New Roman" w:hAnsi="Times New Roman" w:cs="Times New Roman"/>
      <w:lang w:val="en-US"/>
    </w:rPr>
  </w:style>
  <w:style w:type="paragraph" w:styleId="ListParagraph">
    <w:name w:val="List Paragraph"/>
    <w:basedOn w:val="Normal"/>
    <w:uiPriority w:val="34"/>
    <w:qFormat/>
    <w:rsid w:val="00D8063C"/>
    <w:pPr>
      <w:ind w:left="720"/>
      <w:contextualSpacing/>
    </w:pPr>
  </w:style>
  <w:style w:type="paragraph" w:styleId="Header">
    <w:name w:val="header"/>
    <w:basedOn w:val="Normal"/>
    <w:link w:val="HeaderChar"/>
    <w:uiPriority w:val="99"/>
    <w:unhideWhenUsed/>
    <w:rsid w:val="00B12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716"/>
  </w:style>
  <w:style w:type="paragraph" w:styleId="Footer">
    <w:name w:val="footer"/>
    <w:basedOn w:val="Normal"/>
    <w:link w:val="FooterChar"/>
    <w:uiPriority w:val="99"/>
    <w:unhideWhenUsed/>
    <w:rsid w:val="00B1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16"/>
  </w:style>
  <w:style w:type="paragraph" w:styleId="BalloonText">
    <w:name w:val="Balloon Text"/>
    <w:basedOn w:val="Normal"/>
    <w:link w:val="BalloonTextChar"/>
    <w:uiPriority w:val="99"/>
    <w:semiHidden/>
    <w:unhideWhenUsed/>
    <w:rsid w:val="00E82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C1D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1D37"/>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EC1D37"/>
    <w:pPr>
      <w:widowControl w:val="0"/>
      <w:autoSpaceDE w:val="0"/>
      <w:autoSpaceDN w:val="0"/>
      <w:spacing w:after="0" w:line="240" w:lineRule="auto"/>
      <w:jc w:val="center"/>
    </w:pPr>
    <w:rPr>
      <w:rFonts w:ascii="Times New Roman" w:eastAsia="Times New Roman" w:hAnsi="Times New Roman" w:cs="Times New Roman"/>
      <w:lang w:val="en-US"/>
    </w:rPr>
  </w:style>
  <w:style w:type="paragraph" w:styleId="ListParagraph">
    <w:name w:val="List Paragraph"/>
    <w:basedOn w:val="Normal"/>
    <w:uiPriority w:val="34"/>
    <w:qFormat/>
    <w:rsid w:val="00D8063C"/>
    <w:pPr>
      <w:ind w:left="720"/>
      <w:contextualSpacing/>
    </w:pPr>
  </w:style>
  <w:style w:type="paragraph" w:styleId="Header">
    <w:name w:val="header"/>
    <w:basedOn w:val="Normal"/>
    <w:link w:val="HeaderChar"/>
    <w:uiPriority w:val="99"/>
    <w:unhideWhenUsed/>
    <w:rsid w:val="00B12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716"/>
  </w:style>
  <w:style w:type="paragraph" w:styleId="Footer">
    <w:name w:val="footer"/>
    <w:basedOn w:val="Normal"/>
    <w:link w:val="FooterChar"/>
    <w:uiPriority w:val="99"/>
    <w:unhideWhenUsed/>
    <w:rsid w:val="00B1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716"/>
  </w:style>
  <w:style w:type="paragraph" w:styleId="BalloonText">
    <w:name w:val="Balloon Text"/>
    <w:basedOn w:val="Normal"/>
    <w:link w:val="BalloonTextChar"/>
    <w:uiPriority w:val="99"/>
    <w:semiHidden/>
    <w:unhideWhenUsed/>
    <w:rsid w:val="00E82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1864">
      <w:bodyDiv w:val="1"/>
      <w:marLeft w:val="0"/>
      <w:marRight w:val="0"/>
      <w:marTop w:val="0"/>
      <w:marBottom w:val="0"/>
      <w:divBdr>
        <w:top w:val="none" w:sz="0" w:space="0" w:color="auto"/>
        <w:left w:val="none" w:sz="0" w:space="0" w:color="auto"/>
        <w:bottom w:val="none" w:sz="0" w:space="0" w:color="auto"/>
        <w:right w:val="none" w:sz="0" w:space="0" w:color="auto"/>
      </w:divBdr>
    </w:div>
    <w:div w:id="1166048983">
      <w:bodyDiv w:val="1"/>
      <w:marLeft w:val="0"/>
      <w:marRight w:val="0"/>
      <w:marTop w:val="0"/>
      <w:marBottom w:val="0"/>
      <w:divBdr>
        <w:top w:val="none" w:sz="0" w:space="0" w:color="auto"/>
        <w:left w:val="none" w:sz="0" w:space="0" w:color="auto"/>
        <w:bottom w:val="none" w:sz="0" w:space="0" w:color="auto"/>
        <w:right w:val="none" w:sz="0" w:space="0" w:color="auto"/>
      </w:divBdr>
    </w:div>
    <w:div w:id="1740441772">
      <w:bodyDiv w:val="1"/>
      <w:marLeft w:val="0"/>
      <w:marRight w:val="0"/>
      <w:marTop w:val="0"/>
      <w:marBottom w:val="0"/>
      <w:divBdr>
        <w:top w:val="none" w:sz="0" w:space="0" w:color="auto"/>
        <w:left w:val="none" w:sz="0" w:space="0" w:color="auto"/>
        <w:bottom w:val="none" w:sz="0" w:space="0" w:color="auto"/>
        <w:right w:val="none" w:sz="0" w:space="0" w:color="auto"/>
      </w:divBdr>
    </w:div>
    <w:div w:id="1745102527">
      <w:bodyDiv w:val="1"/>
      <w:marLeft w:val="0"/>
      <w:marRight w:val="0"/>
      <w:marTop w:val="0"/>
      <w:marBottom w:val="0"/>
      <w:divBdr>
        <w:top w:val="none" w:sz="0" w:space="0" w:color="auto"/>
        <w:left w:val="none" w:sz="0" w:space="0" w:color="auto"/>
        <w:bottom w:val="none" w:sz="0" w:space="0" w:color="auto"/>
        <w:right w:val="none" w:sz="0" w:space="0" w:color="auto"/>
      </w:divBdr>
    </w:div>
    <w:div w:id="18618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6</cp:revision>
  <cp:lastPrinted>2023-08-03T05:12:00Z</cp:lastPrinted>
  <dcterms:created xsi:type="dcterms:W3CDTF">2023-08-02T05:40:00Z</dcterms:created>
  <dcterms:modified xsi:type="dcterms:W3CDTF">2023-08-03T05:14:00Z</dcterms:modified>
</cp:coreProperties>
</file>