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82" w:rsidRPr="00486545" w:rsidRDefault="00C34982" w:rsidP="00C34982">
      <w:pPr>
        <w:pStyle w:val="NormalWeb"/>
        <w:shd w:val="clear" w:color="auto" w:fill="FFFFFF"/>
        <w:spacing w:before="0" w:beforeAutospacing="0" w:after="0" w:afterAutospacing="0" w:line="360" w:lineRule="auto"/>
        <w:rPr>
          <w:rFonts w:asciiTheme="majorHAnsi" w:hAnsiTheme="majorHAnsi" w:cs="Times-Bold"/>
          <w:b/>
          <w:bCs/>
          <w:szCs w:val="28"/>
        </w:rPr>
      </w:pPr>
      <w:r w:rsidRPr="00486545">
        <w:rPr>
          <w:rFonts w:asciiTheme="majorHAnsi" w:hAnsiTheme="majorHAnsi" w:cs="Times-Bold"/>
          <w:b/>
          <w:bCs/>
          <w:szCs w:val="28"/>
          <w:highlight w:val="lightGray"/>
        </w:rPr>
        <w:t>Original article</w:t>
      </w:r>
      <w:r w:rsidRPr="00486545">
        <w:rPr>
          <w:rFonts w:asciiTheme="majorHAnsi" w:hAnsiTheme="majorHAnsi" w:cs="Times-Bold"/>
          <w:b/>
          <w:bCs/>
          <w:szCs w:val="28"/>
        </w:rPr>
        <w:t xml:space="preserve"> </w:t>
      </w:r>
    </w:p>
    <w:p w:rsidR="00C34982" w:rsidRPr="00486545" w:rsidRDefault="00C34982" w:rsidP="00C34982">
      <w:pPr>
        <w:pStyle w:val="NormalWeb"/>
        <w:shd w:val="clear" w:color="auto" w:fill="FFFFFF"/>
        <w:spacing w:before="0" w:beforeAutospacing="0" w:after="0" w:afterAutospacing="0" w:line="360" w:lineRule="auto"/>
        <w:rPr>
          <w:rFonts w:asciiTheme="majorHAnsi" w:hAnsiTheme="majorHAnsi"/>
          <w:color w:val="0070C0"/>
          <w:sz w:val="28"/>
          <w:szCs w:val="28"/>
        </w:rPr>
      </w:pPr>
      <w:r w:rsidRPr="00486545">
        <w:rPr>
          <w:rFonts w:asciiTheme="majorHAnsi" w:hAnsiTheme="majorHAnsi" w:cs="Times-Bold"/>
          <w:b/>
          <w:bCs/>
          <w:color w:val="0070C0"/>
          <w:sz w:val="28"/>
          <w:szCs w:val="28"/>
        </w:rPr>
        <w:t xml:space="preserve">A study of </w:t>
      </w:r>
      <w:proofErr w:type="spellStart"/>
      <w:r w:rsidRPr="00486545">
        <w:rPr>
          <w:rFonts w:asciiTheme="majorHAnsi" w:hAnsiTheme="majorHAnsi" w:cs="Times-Bold"/>
          <w:b/>
          <w:bCs/>
          <w:color w:val="0070C0"/>
          <w:sz w:val="28"/>
          <w:szCs w:val="28"/>
        </w:rPr>
        <w:t>supratentorial</w:t>
      </w:r>
      <w:proofErr w:type="spellEnd"/>
      <w:r w:rsidRPr="00486545">
        <w:rPr>
          <w:rFonts w:asciiTheme="majorHAnsi" w:hAnsiTheme="majorHAnsi" w:cs="Times-Bold"/>
          <w:b/>
          <w:bCs/>
          <w:color w:val="0070C0"/>
          <w:sz w:val="28"/>
          <w:szCs w:val="28"/>
        </w:rPr>
        <w:t xml:space="preserve"> </w:t>
      </w:r>
      <w:proofErr w:type="spellStart"/>
      <w:r w:rsidRPr="00486545">
        <w:rPr>
          <w:rFonts w:asciiTheme="majorHAnsi" w:hAnsiTheme="majorHAnsi" w:cs="Times-Bold"/>
          <w:b/>
          <w:bCs/>
          <w:color w:val="0070C0"/>
          <w:sz w:val="28"/>
          <w:szCs w:val="28"/>
        </w:rPr>
        <w:t>glioma</w:t>
      </w:r>
      <w:proofErr w:type="spellEnd"/>
      <w:r w:rsidR="00452D35">
        <w:rPr>
          <w:rFonts w:asciiTheme="majorHAnsi" w:hAnsiTheme="majorHAnsi" w:cs="Times-Bold"/>
          <w:b/>
          <w:bCs/>
          <w:color w:val="0070C0"/>
          <w:sz w:val="28"/>
          <w:szCs w:val="28"/>
        </w:rPr>
        <w:t xml:space="preserve"> </w:t>
      </w:r>
    </w:p>
    <w:p w:rsidR="00C34982" w:rsidRPr="00486545" w:rsidRDefault="00C34982" w:rsidP="00C34982">
      <w:pPr>
        <w:pStyle w:val="NormalWeb"/>
        <w:shd w:val="clear" w:color="auto" w:fill="FFFFFF"/>
        <w:spacing w:before="0" w:beforeAutospacing="0" w:after="0" w:afterAutospacing="0" w:line="360" w:lineRule="auto"/>
        <w:rPr>
          <w:rFonts w:asciiTheme="majorHAnsi" w:hAnsiTheme="majorHAnsi"/>
          <w:b/>
          <w:color w:val="222222"/>
          <w:sz w:val="18"/>
          <w:szCs w:val="18"/>
        </w:rPr>
      </w:pPr>
      <w:r w:rsidRPr="00C34982">
        <w:rPr>
          <w:rFonts w:asciiTheme="majorHAnsi" w:hAnsiTheme="majorHAnsi"/>
          <w:b/>
          <w:color w:val="222222"/>
          <w:sz w:val="18"/>
          <w:szCs w:val="18"/>
          <w:vertAlign w:val="superscript"/>
        </w:rPr>
        <w:t>1</w:t>
      </w:r>
      <w:r w:rsidRPr="00486545">
        <w:rPr>
          <w:rFonts w:asciiTheme="majorHAnsi" w:hAnsiTheme="majorHAnsi"/>
          <w:b/>
          <w:color w:val="222222"/>
          <w:sz w:val="18"/>
          <w:szCs w:val="18"/>
        </w:rPr>
        <w:t xml:space="preserve">DR TUSHAR V. </w:t>
      </w:r>
      <w:proofErr w:type="gramStart"/>
      <w:r w:rsidRPr="00486545">
        <w:rPr>
          <w:rFonts w:asciiTheme="majorHAnsi" w:hAnsiTheme="majorHAnsi"/>
          <w:b/>
          <w:color w:val="222222"/>
          <w:sz w:val="18"/>
          <w:szCs w:val="18"/>
        </w:rPr>
        <w:t>SONI ,</w:t>
      </w:r>
      <w:proofErr w:type="gramEnd"/>
      <w:r w:rsidRPr="00486545">
        <w:rPr>
          <w:rFonts w:asciiTheme="majorHAnsi" w:hAnsiTheme="majorHAnsi"/>
          <w:b/>
          <w:color w:val="222222"/>
          <w:sz w:val="18"/>
          <w:szCs w:val="18"/>
        </w:rPr>
        <w:t xml:space="preserve"> </w:t>
      </w:r>
      <w:r w:rsidRPr="00C34982">
        <w:rPr>
          <w:rFonts w:asciiTheme="majorHAnsi" w:hAnsiTheme="majorHAnsi"/>
          <w:b/>
          <w:color w:val="222222"/>
          <w:sz w:val="18"/>
          <w:szCs w:val="18"/>
          <w:vertAlign w:val="superscript"/>
        </w:rPr>
        <w:t>2</w:t>
      </w:r>
      <w:r w:rsidRPr="00486545">
        <w:rPr>
          <w:rFonts w:asciiTheme="majorHAnsi" w:hAnsiTheme="majorHAnsi"/>
          <w:b/>
          <w:color w:val="222222"/>
          <w:sz w:val="18"/>
          <w:szCs w:val="18"/>
        </w:rPr>
        <w:t xml:space="preserve">DR VINAY M. ROHRA, </w:t>
      </w:r>
      <w:r w:rsidRPr="00C34982">
        <w:rPr>
          <w:rFonts w:asciiTheme="majorHAnsi" w:hAnsiTheme="majorHAnsi"/>
          <w:b/>
          <w:color w:val="222222"/>
          <w:sz w:val="18"/>
          <w:szCs w:val="18"/>
          <w:vertAlign w:val="superscript"/>
        </w:rPr>
        <w:t>3</w:t>
      </w:r>
      <w:r w:rsidRPr="00486545">
        <w:rPr>
          <w:rFonts w:asciiTheme="majorHAnsi" w:hAnsiTheme="majorHAnsi"/>
          <w:b/>
          <w:color w:val="222222"/>
          <w:sz w:val="18"/>
          <w:szCs w:val="18"/>
        </w:rPr>
        <w:t>DR DIVYANG PATEL</w:t>
      </w:r>
    </w:p>
    <w:p w:rsidR="00C34982" w:rsidRPr="00486545" w:rsidRDefault="00C34982" w:rsidP="00C34982">
      <w:pPr>
        <w:pStyle w:val="NormalWeb"/>
        <w:shd w:val="clear" w:color="auto" w:fill="FFFFFF"/>
        <w:spacing w:before="0" w:beforeAutospacing="0" w:after="0" w:afterAutospacing="0" w:line="360" w:lineRule="auto"/>
        <w:rPr>
          <w:rFonts w:asciiTheme="majorHAnsi" w:hAnsiTheme="majorHAnsi"/>
          <w:b/>
          <w:color w:val="222222"/>
          <w:sz w:val="18"/>
          <w:szCs w:val="18"/>
        </w:rPr>
      </w:pPr>
    </w:p>
    <w:p w:rsidR="00C34982" w:rsidRPr="00C34982" w:rsidRDefault="00C34982" w:rsidP="00C34982">
      <w:pPr>
        <w:pBdr>
          <w:top w:val="nil"/>
          <w:left w:val="nil"/>
          <w:bottom w:val="nil"/>
          <w:right w:val="nil"/>
          <w:between w:val="nil"/>
        </w:pBdr>
        <w:spacing w:after="0" w:line="360" w:lineRule="auto"/>
        <w:ind w:left="102" w:right="125"/>
        <w:rPr>
          <w:rFonts w:asciiTheme="majorHAnsi" w:hAnsiTheme="majorHAnsi"/>
          <w:color w:val="000000"/>
          <w:sz w:val="18"/>
          <w:szCs w:val="18"/>
        </w:rPr>
      </w:pPr>
      <w:r w:rsidRPr="00C34982">
        <w:rPr>
          <w:rFonts w:asciiTheme="majorHAnsi" w:hAnsiTheme="majorHAnsi"/>
          <w:color w:val="202020"/>
          <w:sz w:val="18"/>
          <w:szCs w:val="18"/>
          <w:vertAlign w:val="superscript"/>
        </w:rPr>
        <w:t>1</w:t>
      </w:r>
      <w:r w:rsidRPr="00C34982">
        <w:rPr>
          <w:rFonts w:asciiTheme="majorHAnsi" w:hAnsiTheme="majorHAnsi"/>
          <w:color w:val="202020"/>
          <w:sz w:val="18"/>
          <w:szCs w:val="18"/>
        </w:rPr>
        <w:t xml:space="preserve">Neurosurgery Professor and Head of unit at Department of Neurosurgery, SMT. </w:t>
      </w:r>
      <w:proofErr w:type="spellStart"/>
      <w:r w:rsidRPr="00C34982">
        <w:rPr>
          <w:rFonts w:asciiTheme="majorHAnsi" w:hAnsiTheme="majorHAnsi"/>
          <w:color w:val="202020"/>
          <w:sz w:val="18"/>
          <w:szCs w:val="18"/>
        </w:rPr>
        <w:t>NHLMunicipal</w:t>
      </w:r>
      <w:proofErr w:type="spellEnd"/>
      <w:r w:rsidRPr="00C34982">
        <w:rPr>
          <w:rFonts w:asciiTheme="majorHAnsi" w:hAnsiTheme="majorHAnsi"/>
          <w:color w:val="202020"/>
          <w:sz w:val="18"/>
          <w:szCs w:val="18"/>
        </w:rPr>
        <w:t xml:space="preserve"> Medical College &amp; S.V.P. </w:t>
      </w:r>
      <w:proofErr w:type="spellStart"/>
      <w:r w:rsidRPr="00C34982">
        <w:rPr>
          <w:rFonts w:asciiTheme="majorHAnsi" w:hAnsiTheme="majorHAnsi"/>
          <w:color w:val="202020"/>
          <w:sz w:val="18"/>
          <w:szCs w:val="18"/>
        </w:rPr>
        <w:t>Hospital</w:t>
      </w:r>
      <w:proofErr w:type="gramStart"/>
      <w:r w:rsidRPr="00C34982">
        <w:rPr>
          <w:rFonts w:asciiTheme="majorHAnsi" w:hAnsiTheme="majorHAnsi"/>
          <w:color w:val="202020"/>
          <w:sz w:val="18"/>
          <w:szCs w:val="18"/>
        </w:rPr>
        <w:t>,Ahmedabad,Gujarat</w:t>
      </w:r>
      <w:proofErr w:type="spellEnd"/>
      <w:proofErr w:type="gramEnd"/>
      <w:r w:rsidRPr="00C34982">
        <w:rPr>
          <w:rFonts w:asciiTheme="majorHAnsi" w:hAnsiTheme="majorHAnsi"/>
          <w:color w:val="000000"/>
          <w:sz w:val="18"/>
          <w:szCs w:val="18"/>
        </w:rPr>
        <w:t>.</w:t>
      </w:r>
    </w:p>
    <w:p w:rsidR="00C34982" w:rsidRPr="00C34982" w:rsidRDefault="00C34982" w:rsidP="00C34982">
      <w:pPr>
        <w:widowControl w:val="0"/>
        <w:spacing w:after="0" w:line="360" w:lineRule="auto"/>
        <w:ind w:left="102"/>
        <w:outlineLvl w:val="0"/>
        <w:rPr>
          <w:rFonts w:asciiTheme="majorHAnsi" w:eastAsia="Times New Roman" w:hAnsiTheme="majorHAnsi"/>
          <w:color w:val="000000"/>
          <w:sz w:val="18"/>
          <w:szCs w:val="18"/>
        </w:rPr>
      </w:pPr>
      <w:r w:rsidRPr="00C34982">
        <w:rPr>
          <w:rFonts w:asciiTheme="majorHAnsi" w:eastAsia="Times New Roman" w:hAnsiTheme="majorHAnsi"/>
          <w:color w:val="000000"/>
          <w:sz w:val="18"/>
          <w:szCs w:val="18"/>
          <w:vertAlign w:val="superscript"/>
        </w:rPr>
        <w:t>2</w:t>
      </w:r>
      <w:r w:rsidRPr="00C34982">
        <w:rPr>
          <w:rFonts w:asciiTheme="majorHAnsi" w:eastAsia="Times New Roman" w:hAnsiTheme="majorHAnsi"/>
          <w:color w:val="000000"/>
          <w:sz w:val="18"/>
          <w:szCs w:val="18"/>
        </w:rPr>
        <w:t>M.Ch. Neurosurgery as a 3</w:t>
      </w:r>
      <w:r w:rsidRPr="00C34982">
        <w:rPr>
          <w:rFonts w:asciiTheme="majorHAnsi" w:eastAsia="Times New Roman" w:hAnsiTheme="majorHAnsi"/>
          <w:color w:val="000000"/>
          <w:sz w:val="18"/>
          <w:szCs w:val="18"/>
          <w:vertAlign w:val="superscript"/>
        </w:rPr>
        <w:t>rd</w:t>
      </w:r>
      <w:r w:rsidRPr="00C34982">
        <w:rPr>
          <w:rFonts w:asciiTheme="majorHAnsi" w:eastAsia="Times New Roman" w:hAnsiTheme="majorHAnsi"/>
          <w:color w:val="000000"/>
          <w:sz w:val="18"/>
          <w:szCs w:val="18"/>
        </w:rPr>
        <w:t xml:space="preserve"> YEAR RESIDENT </w:t>
      </w:r>
      <w:proofErr w:type="gramStart"/>
      <w:r w:rsidRPr="00C34982">
        <w:rPr>
          <w:rFonts w:asciiTheme="majorHAnsi" w:eastAsia="Times New Roman" w:hAnsiTheme="majorHAnsi"/>
          <w:color w:val="000000"/>
          <w:sz w:val="18"/>
          <w:szCs w:val="18"/>
        </w:rPr>
        <w:t>at ,</w:t>
      </w:r>
      <w:proofErr w:type="gramEnd"/>
      <w:r w:rsidRPr="00C34982">
        <w:rPr>
          <w:rFonts w:asciiTheme="majorHAnsi" w:eastAsia="Times New Roman" w:hAnsiTheme="majorHAnsi"/>
          <w:color w:val="000000"/>
          <w:sz w:val="18"/>
          <w:szCs w:val="18"/>
        </w:rPr>
        <w:t xml:space="preserve"> SMT. NHL Municipal Med</w:t>
      </w:r>
      <w:r w:rsidR="00452D35">
        <w:rPr>
          <w:rFonts w:asciiTheme="majorHAnsi" w:eastAsia="Times New Roman" w:hAnsiTheme="majorHAnsi"/>
          <w:color w:val="000000"/>
          <w:sz w:val="18"/>
          <w:szCs w:val="18"/>
        </w:rPr>
        <w:t xml:space="preserve">ical College &amp; S.V.P. Hospital, </w:t>
      </w:r>
      <w:proofErr w:type="spellStart"/>
      <w:r w:rsidRPr="00C34982">
        <w:rPr>
          <w:rFonts w:asciiTheme="majorHAnsi" w:eastAsia="Times New Roman" w:hAnsiTheme="majorHAnsi"/>
          <w:color w:val="000000"/>
          <w:sz w:val="18"/>
          <w:szCs w:val="18"/>
        </w:rPr>
        <w:t>Ahmedabad,Gujarat</w:t>
      </w:r>
      <w:proofErr w:type="spellEnd"/>
      <w:r w:rsidRPr="00C34982">
        <w:rPr>
          <w:rFonts w:asciiTheme="majorHAnsi" w:eastAsia="Times New Roman" w:hAnsiTheme="majorHAnsi"/>
          <w:color w:val="000000"/>
          <w:sz w:val="18"/>
          <w:szCs w:val="18"/>
        </w:rPr>
        <w:t>.</w:t>
      </w:r>
    </w:p>
    <w:p w:rsidR="00C34982" w:rsidRPr="00C34982" w:rsidRDefault="00C34982" w:rsidP="00C34982">
      <w:pPr>
        <w:pBdr>
          <w:top w:val="nil"/>
          <w:left w:val="nil"/>
          <w:bottom w:val="nil"/>
          <w:right w:val="nil"/>
          <w:between w:val="nil"/>
        </w:pBdr>
        <w:spacing w:after="0" w:line="360" w:lineRule="auto"/>
        <w:ind w:left="102" w:right="628"/>
        <w:rPr>
          <w:rFonts w:asciiTheme="majorHAnsi" w:hAnsiTheme="majorHAnsi"/>
          <w:color w:val="202020"/>
          <w:sz w:val="18"/>
          <w:szCs w:val="18"/>
        </w:rPr>
      </w:pPr>
      <w:r w:rsidRPr="00C34982">
        <w:rPr>
          <w:rFonts w:asciiTheme="majorHAnsi" w:hAnsiTheme="majorHAnsi"/>
          <w:color w:val="000000"/>
          <w:sz w:val="18"/>
          <w:szCs w:val="18"/>
          <w:vertAlign w:val="superscript"/>
        </w:rPr>
        <w:t>3</w:t>
      </w:r>
      <w:r w:rsidRPr="00C34982">
        <w:rPr>
          <w:rFonts w:asciiTheme="majorHAnsi" w:hAnsiTheme="majorHAnsi"/>
          <w:color w:val="000000"/>
          <w:sz w:val="18"/>
          <w:szCs w:val="18"/>
        </w:rPr>
        <w:t>M.Ch. Neurosurgery as a 2</w:t>
      </w:r>
      <w:r w:rsidRPr="00C34982">
        <w:rPr>
          <w:rFonts w:asciiTheme="majorHAnsi" w:hAnsiTheme="majorHAnsi"/>
          <w:color w:val="000000"/>
          <w:sz w:val="18"/>
          <w:szCs w:val="18"/>
          <w:vertAlign w:val="superscript"/>
        </w:rPr>
        <w:t>nd</w:t>
      </w:r>
      <w:r w:rsidRPr="00C34982">
        <w:rPr>
          <w:rFonts w:asciiTheme="majorHAnsi" w:hAnsiTheme="majorHAnsi"/>
          <w:color w:val="000000"/>
          <w:sz w:val="18"/>
          <w:szCs w:val="18"/>
        </w:rPr>
        <w:t xml:space="preserve"> YEAR RESIDENT </w:t>
      </w:r>
      <w:proofErr w:type="gramStart"/>
      <w:r w:rsidRPr="00C34982">
        <w:rPr>
          <w:rFonts w:asciiTheme="majorHAnsi" w:hAnsiTheme="majorHAnsi"/>
          <w:color w:val="000000"/>
          <w:sz w:val="18"/>
          <w:szCs w:val="18"/>
        </w:rPr>
        <w:t>at ,</w:t>
      </w:r>
      <w:proofErr w:type="gramEnd"/>
      <w:r w:rsidRPr="00C34982">
        <w:rPr>
          <w:rFonts w:asciiTheme="majorHAnsi" w:hAnsiTheme="majorHAnsi"/>
          <w:color w:val="000000"/>
          <w:sz w:val="18"/>
          <w:szCs w:val="18"/>
        </w:rPr>
        <w:t xml:space="preserve"> SMT. NHL Municipal Medical College &amp; S.V.P. Hospital, Ahmedabad,</w:t>
      </w:r>
      <w:r w:rsidR="00452D35">
        <w:rPr>
          <w:rFonts w:asciiTheme="majorHAnsi" w:hAnsiTheme="majorHAnsi"/>
          <w:color w:val="000000"/>
          <w:sz w:val="18"/>
          <w:szCs w:val="18"/>
        </w:rPr>
        <w:t xml:space="preserve"> </w:t>
      </w:r>
      <w:r w:rsidRPr="00C34982">
        <w:rPr>
          <w:rFonts w:asciiTheme="majorHAnsi" w:hAnsiTheme="majorHAnsi"/>
          <w:color w:val="000000"/>
          <w:sz w:val="18"/>
          <w:szCs w:val="18"/>
        </w:rPr>
        <w:t>Gujarat.</w:t>
      </w:r>
      <w:r w:rsidRPr="00C34982">
        <w:rPr>
          <w:rFonts w:asciiTheme="majorHAnsi" w:hAnsiTheme="majorHAnsi"/>
          <w:color w:val="202020"/>
          <w:sz w:val="18"/>
          <w:szCs w:val="18"/>
        </w:rPr>
        <w:t xml:space="preserve"> </w:t>
      </w:r>
    </w:p>
    <w:p w:rsidR="00C34982" w:rsidRPr="00C34982" w:rsidRDefault="00C34982" w:rsidP="00C34982">
      <w:pPr>
        <w:pBdr>
          <w:top w:val="nil"/>
          <w:left w:val="nil"/>
          <w:bottom w:val="nil"/>
          <w:right w:val="nil"/>
          <w:between w:val="nil"/>
        </w:pBdr>
        <w:spacing w:after="0" w:line="360" w:lineRule="auto"/>
        <w:ind w:left="102" w:right="628"/>
        <w:rPr>
          <w:rFonts w:asciiTheme="majorHAnsi" w:hAnsiTheme="majorHAnsi"/>
          <w:color w:val="202020"/>
          <w:sz w:val="18"/>
          <w:szCs w:val="18"/>
        </w:rPr>
      </w:pPr>
      <w:r w:rsidRPr="00C34982">
        <w:rPr>
          <w:rFonts w:asciiTheme="majorHAnsi" w:hAnsiTheme="majorHAnsi"/>
          <w:color w:val="222222"/>
          <w:sz w:val="18"/>
          <w:szCs w:val="18"/>
        </w:rPr>
        <w:t>Corresponding author: DR VINAY M. ROHRA</w:t>
      </w:r>
    </w:p>
    <w:p w:rsidR="00C34982" w:rsidRPr="00486545" w:rsidRDefault="00C34982" w:rsidP="00C34982">
      <w:pPr>
        <w:pStyle w:val="NormalWeb"/>
        <w:shd w:val="clear" w:color="auto" w:fill="FFFFFF"/>
        <w:spacing w:before="0" w:beforeAutospacing="0" w:after="150" w:afterAutospacing="0" w:line="450" w:lineRule="atLeast"/>
        <w:rPr>
          <w:rFonts w:ascii="Lato" w:hAnsi="Lato"/>
          <w:color w:val="222222"/>
          <w:sz w:val="18"/>
          <w:szCs w:val="18"/>
        </w:rPr>
      </w:pPr>
      <w:bookmarkStart w:id="0" w:name="_GoBack"/>
      <w:bookmarkEnd w:id="0"/>
    </w:p>
    <w:p w:rsidR="00423F3C" w:rsidRPr="00C34982" w:rsidRDefault="00423F3C" w:rsidP="00C34982">
      <w:pPr>
        <w:spacing w:after="0" w:line="360" w:lineRule="auto"/>
        <w:ind w:right="851"/>
        <w:jc w:val="both"/>
        <w:rPr>
          <w:b/>
          <w:bCs/>
          <w:sz w:val="20"/>
          <w:szCs w:val="20"/>
        </w:rPr>
      </w:pPr>
      <w:r w:rsidRPr="00C34982">
        <w:rPr>
          <w:b/>
          <w:bCs/>
          <w:sz w:val="20"/>
          <w:szCs w:val="20"/>
        </w:rPr>
        <w:t>Abstract</w:t>
      </w:r>
    </w:p>
    <w:p w:rsidR="00F666FE" w:rsidRPr="00452D35" w:rsidRDefault="00F666FE" w:rsidP="00C34982">
      <w:pPr>
        <w:autoSpaceDE w:val="0"/>
        <w:autoSpaceDN w:val="0"/>
        <w:adjustRightInd w:val="0"/>
        <w:spacing w:after="0" w:line="360" w:lineRule="auto"/>
        <w:jc w:val="both"/>
        <w:rPr>
          <w:sz w:val="18"/>
          <w:szCs w:val="18"/>
        </w:rPr>
      </w:pPr>
      <w:r w:rsidRPr="00452D35">
        <w:rPr>
          <w:b/>
          <w:sz w:val="18"/>
          <w:szCs w:val="18"/>
        </w:rPr>
        <w:t>Introduction</w:t>
      </w:r>
      <w:r w:rsidRPr="00452D35">
        <w:rPr>
          <w:sz w:val="18"/>
          <w:szCs w:val="18"/>
        </w:rPr>
        <w:t>:-</w:t>
      </w:r>
      <w:proofErr w:type="spellStart"/>
      <w:r w:rsidR="001F354B" w:rsidRPr="00452D35">
        <w:rPr>
          <w:sz w:val="18"/>
          <w:szCs w:val="18"/>
        </w:rPr>
        <w:t>Gliomas</w:t>
      </w:r>
      <w:proofErr w:type="spellEnd"/>
      <w:r w:rsidR="001F354B" w:rsidRPr="00452D35">
        <w:rPr>
          <w:sz w:val="18"/>
          <w:szCs w:val="18"/>
        </w:rPr>
        <w:t xml:space="preserve"> account for the great majority of prima</w:t>
      </w:r>
      <w:r w:rsidRPr="00452D35">
        <w:rPr>
          <w:sz w:val="18"/>
          <w:szCs w:val="18"/>
        </w:rPr>
        <w:t xml:space="preserve">ry tumors that arise within </w:t>
      </w:r>
      <w:proofErr w:type="spellStart"/>
      <w:r w:rsidRPr="00452D35">
        <w:rPr>
          <w:sz w:val="18"/>
          <w:szCs w:val="18"/>
        </w:rPr>
        <w:t>the</w:t>
      </w:r>
      <w:r w:rsidR="001F354B" w:rsidRPr="00452D35">
        <w:rPr>
          <w:sz w:val="18"/>
          <w:szCs w:val="18"/>
        </w:rPr>
        <w:t>brain</w:t>
      </w:r>
      <w:proofErr w:type="spellEnd"/>
      <w:r w:rsidR="001F354B" w:rsidRPr="00452D35">
        <w:rPr>
          <w:sz w:val="18"/>
          <w:szCs w:val="18"/>
        </w:rPr>
        <w:t xml:space="preserve"> parenchyma. The term "</w:t>
      </w:r>
      <w:proofErr w:type="spellStart"/>
      <w:r w:rsidR="001F354B" w:rsidRPr="00452D35">
        <w:rPr>
          <w:sz w:val="18"/>
          <w:szCs w:val="18"/>
        </w:rPr>
        <w:t>glioma</w:t>
      </w:r>
      <w:proofErr w:type="spellEnd"/>
      <w:r w:rsidR="001F354B" w:rsidRPr="00452D35">
        <w:rPr>
          <w:sz w:val="18"/>
          <w:szCs w:val="18"/>
        </w:rPr>
        <w:t>" refers to tumors that have histologic features</w:t>
      </w:r>
      <w:r w:rsidRPr="00452D35">
        <w:rPr>
          <w:sz w:val="18"/>
          <w:szCs w:val="18"/>
        </w:rPr>
        <w:t xml:space="preserve"> </w:t>
      </w:r>
      <w:r w:rsidR="001F354B" w:rsidRPr="00452D35">
        <w:rPr>
          <w:sz w:val="18"/>
          <w:szCs w:val="18"/>
        </w:rPr>
        <w:t>similar to normal glial cells (</w:t>
      </w:r>
      <w:proofErr w:type="spellStart"/>
      <w:r w:rsidR="001F354B" w:rsidRPr="00452D35">
        <w:rPr>
          <w:sz w:val="18"/>
          <w:szCs w:val="18"/>
        </w:rPr>
        <w:t>ie</w:t>
      </w:r>
      <w:proofErr w:type="spellEnd"/>
      <w:r w:rsidR="001F354B" w:rsidRPr="00452D35">
        <w:rPr>
          <w:sz w:val="18"/>
          <w:szCs w:val="18"/>
        </w:rPr>
        <w:t xml:space="preserve">, astrocytes, </w:t>
      </w:r>
      <w:proofErr w:type="spellStart"/>
      <w:r w:rsidR="001F354B" w:rsidRPr="00452D35">
        <w:rPr>
          <w:sz w:val="18"/>
          <w:szCs w:val="18"/>
        </w:rPr>
        <w:t>oligodendrocytes</w:t>
      </w:r>
      <w:proofErr w:type="spellEnd"/>
      <w:r w:rsidR="001F354B" w:rsidRPr="00452D35">
        <w:rPr>
          <w:sz w:val="18"/>
          <w:szCs w:val="18"/>
        </w:rPr>
        <w:t>, and ependymal cells).</w:t>
      </w:r>
    </w:p>
    <w:p w:rsidR="00F666FE" w:rsidRPr="00452D35" w:rsidRDefault="00F666FE" w:rsidP="00C34982">
      <w:pPr>
        <w:autoSpaceDE w:val="0"/>
        <w:autoSpaceDN w:val="0"/>
        <w:adjustRightInd w:val="0"/>
        <w:spacing w:after="0" w:line="360" w:lineRule="auto"/>
        <w:jc w:val="both"/>
        <w:rPr>
          <w:sz w:val="18"/>
          <w:szCs w:val="18"/>
        </w:rPr>
      </w:pPr>
      <w:r w:rsidRPr="00452D35">
        <w:rPr>
          <w:b/>
          <w:sz w:val="18"/>
          <w:szCs w:val="18"/>
        </w:rPr>
        <w:t>Material and Methods</w:t>
      </w:r>
      <w:r w:rsidRPr="00452D35">
        <w:rPr>
          <w:sz w:val="18"/>
          <w:szCs w:val="18"/>
        </w:rPr>
        <w:t xml:space="preserve">: This study consists of analysis of 100 cases of </w:t>
      </w:r>
      <w:proofErr w:type="spellStart"/>
      <w:r w:rsidRPr="00452D35">
        <w:rPr>
          <w:sz w:val="18"/>
          <w:szCs w:val="18"/>
        </w:rPr>
        <w:t>Supratentorial</w:t>
      </w:r>
      <w:proofErr w:type="spellEnd"/>
      <w:r w:rsidRPr="00452D35">
        <w:rPr>
          <w:sz w:val="18"/>
          <w:szCs w:val="18"/>
        </w:rPr>
        <w:t xml:space="preserve"> </w:t>
      </w:r>
      <w:proofErr w:type="spellStart"/>
      <w:r w:rsidRPr="00452D35">
        <w:rPr>
          <w:sz w:val="18"/>
          <w:szCs w:val="18"/>
        </w:rPr>
        <w:t>Glioma</w:t>
      </w:r>
      <w:proofErr w:type="spellEnd"/>
      <w:r w:rsidRPr="00452D35">
        <w:rPr>
          <w:sz w:val="18"/>
          <w:szCs w:val="18"/>
        </w:rPr>
        <w:t xml:space="preserve"> treated at Department of Neurosurgery, VS and SVP Hospital, Ahmedabad from January 2017 to December 2021. All the patients studied were operated at the institute itself.</w:t>
      </w:r>
    </w:p>
    <w:p w:rsidR="00F666FE" w:rsidRPr="00452D35" w:rsidRDefault="00F666FE" w:rsidP="00C34982">
      <w:pPr>
        <w:autoSpaceDE w:val="0"/>
        <w:autoSpaceDN w:val="0"/>
        <w:adjustRightInd w:val="0"/>
        <w:spacing w:after="0" w:line="360" w:lineRule="auto"/>
        <w:jc w:val="both"/>
        <w:rPr>
          <w:sz w:val="18"/>
          <w:szCs w:val="18"/>
        </w:rPr>
      </w:pPr>
      <w:r w:rsidRPr="00452D35">
        <w:rPr>
          <w:b/>
          <w:sz w:val="18"/>
          <w:szCs w:val="18"/>
        </w:rPr>
        <w:t>Results</w:t>
      </w:r>
      <w:r w:rsidRPr="00452D35">
        <w:rPr>
          <w:sz w:val="18"/>
          <w:szCs w:val="18"/>
        </w:rPr>
        <w:t xml:space="preserve">: </w:t>
      </w:r>
      <w:proofErr w:type="spellStart"/>
      <w:r w:rsidRPr="00452D35">
        <w:rPr>
          <w:sz w:val="18"/>
          <w:szCs w:val="18"/>
        </w:rPr>
        <w:t>Supratentorial</w:t>
      </w:r>
      <w:proofErr w:type="spellEnd"/>
      <w:r w:rsidRPr="00452D35">
        <w:rPr>
          <w:sz w:val="18"/>
          <w:szCs w:val="18"/>
        </w:rPr>
        <w:t xml:space="preserve"> </w:t>
      </w:r>
      <w:proofErr w:type="spellStart"/>
      <w:r w:rsidRPr="00452D35">
        <w:rPr>
          <w:sz w:val="18"/>
          <w:szCs w:val="18"/>
        </w:rPr>
        <w:t>Gliomas</w:t>
      </w:r>
      <w:proofErr w:type="spellEnd"/>
      <w:r w:rsidRPr="00452D35">
        <w:rPr>
          <w:sz w:val="18"/>
          <w:szCs w:val="18"/>
        </w:rPr>
        <w:t xml:space="preserve"> are more common in middle aged individuals in </w:t>
      </w:r>
      <w:proofErr w:type="spellStart"/>
      <w:r w:rsidRPr="00452D35">
        <w:rPr>
          <w:sz w:val="18"/>
          <w:szCs w:val="18"/>
        </w:rPr>
        <w:t>ourstudy</w:t>
      </w:r>
      <w:proofErr w:type="spellEnd"/>
      <w:r w:rsidRPr="00452D35">
        <w:rPr>
          <w:sz w:val="18"/>
          <w:szCs w:val="18"/>
        </w:rPr>
        <w:t xml:space="preserve"> with median age being 44 years and this data has been compared with</w:t>
      </w:r>
    </w:p>
    <w:p w:rsidR="00F666FE" w:rsidRPr="00452D35" w:rsidRDefault="00F666FE" w:rsidP="00C34982">
      <w:pPr>
        <w:autoSpaceDE w:val="0"/>
        <w:autoSpaceDN w:val="0"/>
        <w:adjustRightInd w:val="0"/>
        <w:spacing w:after="0" w:line="360" w:lineRule="auto"/>
        <w:jc w:val="both"/>
        <w:rPr>
          <w:sz w:val="18"/>
          <w:szCs w:val="18"/>
        </w:rPr>
      </w:pPr>
      <w:proofErr w:type="gramStart"/>
      <w:r w:rsidRPr="00452D35">
        <w:rPr>
          <w:sz w:val="18"/>
          <w:szCs w:val="18"/>
        </w:rPr>
        <w:t>other</w:t>
      </w:r>
      <w:proofErr w:type="gramEnd"/>
      <w:r w:rsidRPr="00452D35">
        <w:rPr>
          <w:sz w:val="18"/>
          <w:szCs w:val="18"/>
        </w:rPr>
        <w:t xml:space="preserve"> western studies. New onset convulsions followed by headache are most common presenting symptoms. In our study most of the lesions were localized to frontal </w:t>
      </w:r>
      <w:proofErr w:type="gramStart"/>
      <w:r w:rsidRPr="00452D35">
        <w:rPr>
          <w:sz w:val="18"/>
          <w:szCs w:val="18"/>
        </w:rPr>
        <w:t>lobe(</w:t>
      </w:r>
      <w:proofErr w:type="gramEnd"/>
      <w:r w:rsidRPr="00452D35">
        <w:rPr>
          <w:sz w:val="18"/>
          <w:szCs w:val="18"/>
        </w:rPr>
        <w:t xml:space="preserve"> 36%) followed by temporal lobe (31%), parietal lobe (24%) and 9% included other sites such as </w:t>
      </w:r>
      <w:proofErr w:type="spellStart"/>
      <w:r w:rsidRPr="00452D35">
        <w:rPr>
          <w:sz w:val="18"/>
          <w:szCs w:val="18"/>
        </w:rPr>
        <w:t>perislyvian</w:t>
      </w:r>
      <w:proofErr w:type="spellEnd"/>
      <w:r w:rsidRPr="00452D35">
        <w:rPr>
          <w:sz w:val="18"/>
          <w:szCs w:val="18"/>
        </w:rPr>
        <w:t>, occipital cortex or insular lobe. Other study also comprised of frontal lobe as predominant site of presentation.</w:t>
      </w:r>
    </w:p>
    <w:p w:rsidR="00F666FE" w:rsidRPr="00452D35" w:rsidRDefault="00F666FE" w:rsidP="00C34982">
      <w:pPr>
        <w:autoSpaceDE w:val="0"/>
        <w:autoSpaceDN w:val="0"/>
        <w:adjustRightInd w:val="0"/>
        <w:spacing w:after="0" w:line="360" w:lineRule="auto"/>
        <w:jc w:val="both"/>
        <w:rPr>
          <w:sz w:val="18"/>
          <w:szCs w:val="18"/>
        </w:rPr>
      </w:pPr>
      <w:r w:rsidRPr="00452D35">
        <w:rPr>
          <w:b/>
          <w:sz w:val="18"/>
          <w:szCs w:val="18"/>
        </w:rPr>
        <w:t>Conclusion</w:t>
      </w:r>
      <w:proofErr w:type="gramStart"/>
      <w:r w:rsidRPr="00452D35">
        <w:rPr>
          <w:sz w:val="18"/>
          <w:szCs w:val="18"/>
        </w:rPr>
        <w:t>:-</w:t>
      </w:r>
      <w:proofErr w:type="gramEnd"/>
      <w:r w:rsidRPr="00452D35">
        <w:rPr>
          <w:sz w:val="18"/>
          <w:szCs w:val="18"/>
        </w:rPr>
        <w:t xml:space="preserve"> The management of a patient with </w:t>
      </w:r>
      <w:proofErr w:type="spellStart"/>
      <w:r w:rsidRPr="00452D35">
        <w:rPr>
          <w:sz w:val="18"/>
          <w:szCs w:val="18"/>
        </w:rPr>
        <w:t>glioma</w:t>
      </w:r>
      <w:proofErr w:type="spellEnd"/>
      <w:r w:rsidRPr="00452D35">
        <w:rPr>
          <w:sz w:val="18"/>
          <w:szCs w:val="18"/>
        </w:rPr>
        <w:t xml:space="preserve"> begins with careful evaluation of the history and clinical findings. The physician needs to have a clear understanding of the symptoms and how they are affecting the patient's life. The potential impact of other medical problems is also assessed.</w:t>
      </w:r>
    </w:p>
    <w:p w:rsidR="00423F3C" w:rsidRPr="00452D35" w:rsidRDefault="00423F3C" w:rsidP="00C34982">
      <w:pPr>
        <w:spacing w:after="0" w:line="360" w:lineRule="auto"/>
        <w:ind w:right="851"/>
        <w:jc w:val="both"/>
        <w:rPr>
          <w:sz w:val="18"/>
          <w:szCs w:val="18"/>
        </w:rPr>
      </w:pPr>
      <w:proofErr w:type="gramStart"/>
      <w:r w:rsidRPr="00452D35">
        <w:rPr>
          <w:b/>
          <w:sz w:val="18"/>
          <w:szCs w:val="18"/>
        </w:rPr>
        <w:t>Keywords</w:t>
      </w:r>
      <w:r w:rsidR="00DA766A" w:rsidRPr="00452D35">
        <w:rPr>
          <w:b/>
          <w:sz w:val="18"/>
          <w:szCs w:val="18"/>
        </w:rPr>
        <w:t xml:space="preserve"> :</w:t>
      </w:r>
      <w:proofErr w:type="gramEnd"/>
      <w:r w:rsidR="00DA766A" w:rsidRPr="00452D35">
        <w:rPr>
          <w:b/>
          <w:sz w:val="18"/>
          <w:szCs w:val="18"/>
        </w:rPr>
        <w:t xml:space="preserve"> </w:t>
      </w:r>
      <w:proofErr w:type="spellStart"/>
      <w:r w:rsidR="00DA766A" w:rsidRPr="00452D35">
        <w:rPr>
          <w:sz w:val="18"/>
          <w:szCs w:val="18"/>
        </w:rPr>
        <w:t>Gliomas,Classification,Percival</w:t>
      </w:r>
      <w:proofErr w:type="spellEnd"/>
      <w:r w:rsidR="00DA766A" w:rsidRPr="00452D35">
        <w:rPr>
          <w:sz w:val="18"/>
          <w:szCs w:val="18"/>
        </w:rPr>
        <w:t xml:space="preserve"> </w:t>
      </w:r>
      <w:proofErr w:type="spellStart"/>
      <w:r w:rsidR="00DA766A" w:rsidRPr="00452D35">
        <w:rPr>
          <w:sz w:val="18"/>
          <w:szCs w:val="18"/>
        </w:rPr>
        <w:t>Bailey,Etiology</w:t>
      </w:r>
      <w:proofErr w:type="spellEnd"/>
      <w:r w:rsidR="00DA766A" w:rsidRPr="00452D35">
        <w:rPr>
          <w:sz w:val="18"/>
          <w:szCs w:val="18"/>
        </w:rPr>
        <w:t>.</w:t>
      </w:r>
    </w:p>
    <w:p w:rsidR="00C34982" w:rsidRPr="00C34982" w:rsidRDefault="00C34982" w:rsidP="00C34982">
      <w:pPr>
        <w:spacing w:after="0" w:line="360" w:lineRule="auto"/>
        <w:ind w:right="851"/>
        <w:jc w:val="both"/>
        <w:rPr>
          <w:b/>
          <w:sz w:val="20"/>
          <w:szCs w:val="20"/>
        </w:rPr>
      </w:pPr>
    </w:p>
    <w:p w:rsidR="00423F3C" w:rsidRPr="00C34982" w:rsidRDefault="00423F3C" w:rsidP="00C34982">
      <w:pPr>
        <w:pStyle w:val="Default"/>
        <w:spacing w:line="360" w:lineRule="auto"/>
        <w:ind w:right="851"/>
        <w:jc w:val="both"/>
        <w:rPr>
          <w:b/>
          <w:color w:val="auto"/>
          <w:sz w:val="20"/>
          <w:szCs w:val="20"/>
        </w:rPr>
      </w:pPr>
      <w:r w:rsidRPr="00C34982">
        <w:rPr>
          <w:b/>
          <w:color w:val="auto"/>
          <w:sz w:val="20"/>
          <w:szCs w:val="20"/>
        </w:rPr>
        <w:t>Introduction</w:t>
      </w:r>
      <w:r w:rsidR="00C34982">
        <w:rPr>
          <w:b/>
          <w:color w:val="auto"/>
          <w:sz w:val="20"/>
          <w:szCs w:val="20"/>
        </w:rPr>
        <w:t xml:space="preserve">: </w:t>
      </w:r>
    </w:p>
    <w:p w:rsidR="00CC31F9" w:rsidRPr="00C34982" w:rsidRDefault="00A75E87" w:rsidP="00C34982">
      <w:pPr>
        <w:autoSpaceDE w:val="0"/>
        <w:autoSpaceDN w:val="0"/>
        <w:adjustRightInd w:val="0"/>
        <w:spacing w:after="0" w:line="360" w:lineRule="auto"/>
        <w:jc w:val="both"/>
        <w:rPr>
          <w:sz w:val="20"/>
          <w:szCs w:val="20"/>
        </w:rPr>
      </w:pPr>
      <w:r w:rsidRPr="00C34982">
        <w:rPr>
          <w:sz w:val="20"/>
          <w:szCs w:val="20"/>
        </w:rPr>
        <w:t xml:space="preserve">For each of these types of </w:t>
      </w:r>
      <w:proofErr w:type="spellStart"/>
      <w:r w:rsidRPr="00C34982">
        <w:rPr>
          <w:sz w:val="20"/>
          <w:szCs w:val="20"/>
        </w:rPr>
        <w:t>gliomas</w:t>
      </w:r>
      <w:proofErr w:type="spellEnd"/>
      <w:r w:rsidRPr="00C34982">
        <w:rPr>
          <w:sz w:val="20"/>
          <w:szCs w:val="20"/>
        </w:rPr>
        <w:t>, there are neoplasms that span a broad spectrum of biologic aggressiveness. The strategy and tactics used to remove them may change from one to another, but the aim is to remove tumor radically without mortality and with minimal morbidity. The surgeon should be familiar with the microsurgical anatomy of the area involved and this helps him to plan the surgery and foresee the problems likely to encounter. The uses of microsurgical technique have, without doubt improves the result of surgery of these lesions. The treatment options of surgery, radiation therapy or a combination of two, or</w:t>
      </w:r>
      <w:r w:rsidR="00C34982">
        <w:rPr>
          <w:sz w:val="20"/>
          <w:szCs w:val="20"/>
        </w:rPr>
        <w:t xml:space="preserve"> </w:t>
      </w:r>
      <w:r w:rsidRPr="00C34982">
        <w:rPr>
          <w:sz w:val="20"/>
          <w:szCs w:val="20"/>
        </w:rPr>
        <w:t xml:space="preserve">observation with periodic clinical and MRI evaluation is </w:t>
      </w:r>
      <w:r w:rsidRPr="00C34982">
        <w:rPr>
          <w:sz w:val="20"/>
          <w:szCs w:val="20"/>
        </w:rPr>
        <w:lastRenderedPageBreak/>
        <w:t>considered. The surgeon</w:t>
      </w:r>
      <w:r w:rsidR="00C34982">
        <w:rPr>
          <w:sz w:val="20"/>
          <w:szCs w:val="20"/>
        </w:rPr>
        <w:t xml:space="preserve"> </w:t>
      </w:r>
      <w:r w:rsidRPr="00C34982">
        <w:rPr>
          <w:sz w:val="20"/>
          <w:szCs w:val="20"/>
        </w:rPr>
        <w:t xml:space="preserve">must understand what the patient’s expectations are from the treatment program and to consider carefully the short and long term benefits and risks. However in some patients the management decision can be difficult because of minimal or </w:t>
      </w:r>
      <w:proofErr w:type="spellStart"/>
      <w:r w:rsidRPr="00C34982">
        <w:rPr>
          <w:sz w:val="20"/>
          <w:szCs w:val="20"/>
        </w:rPr>
        <w:t>non progressive</w:t>
      </w:r>
      <w:proofErr w:type="spellEnd"/>
      <w:r w:rsidRPr="00C34982">
        <w:rPr>
          <w:sz w:val="20"/>
          <w:szCs w:val="20"/>
        </w:rPr>
        <w:t xml:space="preserve"> symptoms, risk involved with treatment or an incidental asymptomatic tumor. </w:t>
      </w:r>
      <w:proofErr w:type="spellStart"/>
      <w:r w:rsidRPr="00C34982">
        <w:rPr>
          <w:sz w:val="20"/>
          <w:szCs w:val="20"/>
        </w:rPr>
        <w:t>Gliomas</w:t>
      </w:r>
      <w:proofErr w:type="spellEnd"/>
      <w:r w:rsidRPr="00C34982">
        <w:rPr>
          <w:sz w:val="20"/>
          <w:szCs w:val="20"/>
        </w:rPr>
        <w:t xml:space="preserve"> accounted for 42% of the 2,000 brain </w:t>
      </w:r>
      <w:proofErr w:type="spellStart"/>
      <w:r w:rsidRPr="00C34982">
        <w:rPr>
          <w:sz w:val="20"/>
          <w:szCs w:val="20"/>
        </w:rPr>
        <w:t>tumours</w:t>
      </w:r>
      <w:proofErr w:type="spellEnd"/>
      <w:r w:rsidRPr="00C34982">
        <w:rPr>
          <w:sz w:val="20"/>
          <w:szCs w:val="20"/>
        </w:rPr>
        <w:t xml:space="preserve"> operated upon by Harvey Cushing and the proportion remains the same today. The difference since Cushing’s times is the 20-fold drop in the </w:t>
      </w:r>
      <w:proofErr w:type="spellStart"/>
      <w:r w:rsidRPr="00C34982">
        <w:rPr>
          <w:sz w:val="20"/>
          <w:szCs w:val="20"/>
        </w:rPr>
        <w:t>peri</w:t>
      </w:r>
      <w:proofErr w:type="spellEnd"/>
      <w:r w:rsidRPr="00C34982">
        <w:rPr>
          <w:sz w:val="20"/>
          <w:szCs w:val="20"/>
        </w:rPr>
        <w:t xml:space="preserve">-operative mortality of </w:t>
      </w:r>
      <w:proofErr w:type="spellStart"/>
      <w:r w:rsidRPr="00C34982">
        <w:rPr>
          <w:sz w:val="20"/>
          <w:szCs w:val="20"/>
        </w:rPr>
        <w:t>gliomas</w:t>
      </w:r>
      <w:proofErr w:type="spellEnd"/>
      <w:proofErr w:type="gramStart"/>
      <w:r w:rsidRPr="00C34982">
        <w:rPr>
          <w:sz w:val="20"/>
          <w:szCs w:val="20"/>
          <w:vertAlign w:val="superscript"/>
        </w:rPr>
        <w:t>.[</w:t>
      </w:r>
      <w:proofErr w:type="gramEnd"/>
      <w:r w:rsidRPr="00C34982">
        <w:rPr>
          <w:sz w:val="20"/>
          <w:szCs w:val="20"/>
          <w:vertAlign w:val="superscript"/>
        </w:rPr>
        <w:t>2]</w:t>
      </w:r>
      <w:r w:rsidRPr="00C34982">
        <w:rPr>
          <w:sz w:val="20"/>
          <w:szCs w:val="20"/>
        </w:rPr>
        <w:t xml:space="preserve"> </w:t>
      </w:r>
      <w:proofErr w:type="spellStart"/>
      <w:r w:rsidRPr="00C34982">
        <w:rPr>
          <w:sz w:val="20"/>
          <w:szCs w:val="20"/>
        </w:rPr>
        <w:t>Gliomas</w:t>
      </w:r>
      <w:proofErr w:type="spellEnd"/>
      <w:r w:rsidRPr="00C34982">
        <w:rPr>
          <w:sz w:val="20"/>
          <w:szCs w:val="20"/>
        </w:rPr>
        <w:t xml:space="preserve"> constitute 35–50% of all intracranial neoplasms. The incidence of central nervous system (CNS) tumors in India ranges from 5</w:t>
      </w:r>
      <w:r w:rsidR="00C34982">
        <w:rPr>
          <w:sz w:val="20"/>
          <w:szCs w:val="20"/>
        </w:rPr>
        <w:t xml:space="preserve"> </w:t>
      </w:r>
      <w:r w:rsidRPr="00C34982">
        <w:rPr>
          <w:sz w:val="20"/>
          <w:szCs w:val="20"/>
        </w:rPr>
        <w:t xml:space="preserve">to 10 per 100,000 </w:t>
      </w:r>
      <w:proofErr w:type="gramStart"/>
      <w:r w:rsidRPr="00C34982">
        <w:rPr>
          <w:sz w:val="20"/>
          <w:szCs w:val="20"/>
        </w:rPr>
        <w:t>population</w:t>
      </w:r>
      <w:proofErr w:type="gramEnd"/>
      <w:r w:rsidRPr="00C34982">
        <w:rPr>
          <w:sz w:val="20"/>
          <w:szCs w:val="20"/>
        </w:rPr>
        <w:t xml:space="preserve"> with an increasing trend and accounts for 2% of</w:t>
      </w:r>
      <w:r w:rsidR="00C34982">
        <w:rPr>
          <w:sz w:val="20"/>
          <w:szCs w:val="20"/>
        </w:rPr>
        <w:t xml:space="preserve"> </w:t>
      </w:r>
      <w:r w:rsidRPr="00C34982">
        <w:rPr>
          <w:sz w:val="20"/>
          <w:szCs w:val="20"/>
        </w:rPr>
        <w:t xml:space="preserve">malignancies. Nearly two-thirds of all cases of </w:t>
      </w:r>
      <w:proofErr w:type="spellStart"/>
      <w:r w:rsidRPr="00C34982">
        <w:rPr>
          <w:sz w:val="20"/>
          <w:szCs w:val="20"/>
        </w:rPr>
        <w:t>supratentorial</w:t>
      </w:r>
      <w:proofErr w:type="spellEnd"/>
      <w:r w:rsidRPr="00C34982">
        <w:rPr>
          <w:sz w:val="20"/>
          <w:szCs w:val="20"/>
        </w:rPr>
        <w:t xml:space="preserve"> </w:t>
      </w:r>
      <w:proofErr w:type="spellStart"/>
      <w:r w:rsidRPr="00C34982">
        <w:rPr>
          <w:sz w:val="20"/>
          <w:szCs w:val="20"/>
        </w:rPr>
        <w:t>gliomas</w:t>
      </w:r>
      <w:proofErr w:type="spellEnd"/>
      <w:r w:rsidRPr="00C34982">
        <w:rPr>
          <w:sz w:val="20"/>
          <w:szCs w:val="20"/>
        </w:rPr>
        <w:t xml:space="preserve"> occur in the third </w:t>
      </w:r>
      <w:proofErr w:type="spellStart"/>
      <w:r w:rsidRPr="00C34982">
        <w:rPr>
          <w:sz w:val="20"/>
          <w:szCs w:val="20"/>
        </w:rPr>
        <w:t>tofifth</w:t>
      </w:r>
      <w:proofErr w:type="spellEnd"/>
      <w:r w:rsidRPr="00C34982">
        <w:rPr>
          <w:sz w:val="20"/>
          <w:szCs w:val="20"/>
        </w:rPr>
        <w:t xml:space="preserve"> decade</w:t>
      </w:r>
      <w:r w:rsidRPr="00C34982">
        <w:rPr>
          <w:sz w:val="20"/>
          <w:szCs w:val="20"/>
        </w:rPr>
        <w:t></w:t>
      </w:r>
      <w:r w:rsidRPr="00C34982">
        <w:rPr>
          <w:sz w:val="20"/>
          <w:szCs w:val="20"/>
        </w:rPr>
        <w:t>The relative risk of brain cancer is 3.18 for elderly persons as compared with young adult.</w:t>
      </w:r>
    </w:p>
    <w:p w:rsidR="00423F3C" w:rsidRPr="00C34982" w:rsidRDefault="00CC31F9" w:rsidP="00C34982">
      <w:pPr>
        <w:pStyle w:val="Default"/>
        <w:spacing w:line="360" w:lineRule="auto"/>
        <w:ind w:right="851"/>
        <w:jc w:val="both"/>
        <w:rPr>
          <w:sz w:val="20"/>
          <w:szCs w:val="20"/>
        </w:rPr>
      </w:pPr>
      <w:r w:rsidRPr="00C34982">
        <w:rPr>
          <w:b/>
          <w:sz w:val="20"/>
          <w:szCs w:val="20"/>
        </w:rPr>
        <w:t>Material and methods</w:t>
      </w:r>
      <w:r w:rsidR="00C34982">
        <w:rPr>
          <w:sz w:val="20"/>
          <w:szCs w:val="20"/>
        </w:rPr>
        <w:t xml:space="preserve">: </w:t>
      </w:r>
    </w:p>
    <w:p w:rsidR="00A75E87" w:rsidRPr="00C34982" w:rsidRDefault="00A75E87" w:rsidP="00C34982">
      <w:pPr>
        <w:autoSpaceDE w:val="0"/>
        <w:autoSpaceDN w:val="0"/>
        <w:adjustRightInd w:val="0"/>
        <w:spacing w:after="0" w:line="360" w:lineRule="auto"/>
        <w:jc w:val="both"/>
        <w:rPr>
          <w:sz w:val="20"/>
          <w:szCs w:val="20"/>
        </w:rPr>
      </w:pPr>
      <w:r w:rsidRPr="00C34982">
        <w:rPr>
          <w:sz w:val="20"/>
          <w:szCs w:val="20"/>
        </w:rPr>
        <w:t xml:space="preserve">This study consists of </w:t>
      </w:r>
      <w:proofErr w:type="spellStart"/>
      <w:proofErr w:type="gramStart"/>
      <w:r w:rsidRPr="00C34982">
        <w:rPr>
          <w:sz w:val="20"/>
          <w:szCs w:val="20"/>
        </w:rPr>
        <w:t>a</w:t>
      </w:r>
      <w:proofErr w:type="spellEnd"/>
      <w:proofErr w:type="gramEnd"/>
      <w:r w:rsidRPr="00C34982">
        <w:rPr>
          <w:sz w:val="20"/>
          <w:szCs w:val="20"/>
        </w:rPr>
        <w:t xml:space="preserve"> analysis of 100 cases of </w:t>
      </w:r>
      <w:proofErr w:type="spellStart"/>
      <w:r w:rsidRPr="00C34982">
        <w:rPr>
          <w:sz w:val="20"/>
          <w:szCs w:val="20"/>
        </w:rPr>
        <w:t>Supratentorial</w:t>
      </w:r>
      <w:proofErr w:type="spellEnd"/>
      <w:r w:rsidRPr="00C34982">
        <w:rPr>
          <w:sz w:val="20"/>
          <w:szCs w:val="20"/>
        </w:rPr>
        <w:t xml:space="preserve"> </w:t>
      </w:r>
      <w:proofErr w:type="spellStart"/>
      <w:r w:rsidRPr="00C34982">
        <w:rPr>
          <w:sz w:val="20"/>
          <w:szCs w:val="20"/>
        </w:rPr>
        <w:t>Glioma</w:t>
      </w:r>
      <w:proofErr w:type="spellEnd"/>
      <w:r w:rsidRPr="00C34982">
        <w:rPr>
          <w:sz w:val="20"/>
          <w:szCs w:val="20"/>
        </w:rPr>
        <w:t xml:space="preserve"> treated</w:t>
      </w:r>
      <w:r w:rsidR="00C34982">
        <w:rPr>
          <w:sz w:val="20"/>
          <w:szCs w:val="20"/>
        </w:rPr>
        <w:t xml:space="preserve"> </w:t>
      </w:r>
      <w:r w:rsidRPr="00C34982">
        <w:rPr>
          <w:sz w:val="20"/>
          <w:szCs w:val="20"/>
        </w:rPr>
        <w:t>at Department of Neurosurgery, VS &amp; SVP Hospital, Ahmedabad from January 2017 to December 2021. All the patients studied were operated at the institute itself. Patient data were documented in case record form and were followed up till the end of the study. A retrospective observational study was planned.</w:t>
      </w:r>
    </w:p>
    <w:p w:rsidR="00CC31F9" w:rsidRPr="00C34982" w:rsidRDefault="00A75E87" w:rsidP="00C34982">
      <w:pPr>
        <w:autoSpaceDE w:val="0"/>
        <w:autoSpaceDN w:val="0"/>
        <w:adjustRightInd w:val="0"/>
        <w:spacing w:after="0" w:line="360" w:lineRule="auto"/>
        <w:jc w:val="both"/>
        <w:rPr>
          <w:sz w:val="20"/>
          <w:szCs w:val="20"/>
        </w:rPr>
      </w:pPr>
      <w:r w:rsidRPr="00C34982">
        <w:rPr>
          <w:sz w:val="20"/>
          <w:szCs w:val="20"/>
        </w:rPr>
        <w:t>The results observed in the study are discussed and compared with few similar studies done elsewhere.</w:t>
      </w:r>
    </w:p>
    <w:p w:rsidR="00CC31F9" w:rsidRPr="00C34982" w:rsidRDefault="00CC31F9" w:rsidP="00C34982">
      <w:pPr>
        <w:pStyle w:val="Default"/>
        <w:spacing w:line="360" w:lineRule="auto"/>
        <w:ind w:right="851"/>
        <w:jc w:val="both"/>
        <w:rPr>
          <w:sz w:val="20"/>
          <w:szCs w:val="20"/>
        </w:rPr>
      </w:pPr>
      <w:r w:rsidRPr="00C34982">
        <w:rPr>
          <w:b/>
          <w:sz w:val="20"/>
          <w:szCs w:val="20"/>
        </w:rPr>
        <w:t>Results</w:t>
      </w:r>
      <w:r w:rsidRPr="00C34982">
        <w:rPr>
          <w:sz w:val="20"/>
          <w:szCs w:val="20"/>
        </w:rPr>
        <w:t>:-</w:t>
      </w:r>
    </w:p>
    <w:p w:rsidR="00A36EFE" w:rsidRPr="00C34982" w:rsidRDefault="00A75E87" w:rsidP="00C34982">
      <w:pPr>
        <w:autoSpaceDE w:val="0"/>
        <w:autoSpaceDN w:val="0"/>
        <w:adjustRightInd w:val="0"/>
        <w:spacing w:after="0" w:line="360" w:lineRule="auto"/>
        <w:jc w:val="both"/>
        <w:rPr>
          <w:sz w:val="20"/>
          <w:szCs w:val="20"/>
        </w:rPr>
      </w:pPr>
      <w:proofErr w:type="spellStart"/>
      <w:r w:rsidRPr="00C34982">
        <w:rPr>
          <w:sz w:val="20"/>
          <w:szCs w:val="20"/>
        </w:rPr>
        <w:t>Supratentorial</w:t>
      </w:r>
      <w:proofErr w:type="spellEnd"/>
      <w:r w:rsidRPr="00C34982">
        <w:rPr>
          <w:sz w:val="20"/>
          <w:szCs w:val="20"/>
        </w:rPr>
        <w:t xml:space="preserve"> </w:t>
      </w:r>
      <w:proofErr w:type="spellStart"/>
      <w:r w:rsidRPr="00C34982">
        <w:rPr>
          <w:sz w:val="20"/>
          <w:szCs w:val="20"/>
        </w:rPr>
        <w:t>Gliomas</w:t>
      </w:r>
      <w:proofErr w:type="spellEnd"/>
      <w:r w:rsidRPr="00C34982">
        <w:rPr>
          <w:sz w:val="20"/>
          <w:szCs w:val="20"/>
        </w:rPr>
        <w:t xml:space="preserve"> are more common in middle aged individuals in our</w:t>
      </w:r>
      <w:r w:rsidR="00C34982">
        <w:rPr>
          <w:sz w:val="20"/>
          <w:szCs w:val="20"/>
        </w:rPr>
        <w:t xml:space="preserve"> </w:t>
      </w:r>
      <w:r w:rsidRPr="00C34982">
        <w:rPr>
          <w:sz w:val="20"/>
          <w:szCs w:val="20"/>
        </w:rPr>
        <w:t>study with median age being 44 years and this data has been compared with</w:t>
      </w:r>
      <w:r w:rsidR="00C34982">
        <w:rPr>
          <w:sz w:val="20"/>
          <w:szCs w:val="20"/>
        </w:rPr>
        <w:t xml:space="preserve"> </w:t>
      </w:r>
      <w:r w:rsidRPr="00C34982">
        <w:rPr>
          <w:sz w:val="20"/>
          <w:szCs w:val="20"/>
        </w:rPr>
        <w:t xml:space="preserve">other western studies. New onset convulsions followed by headache are most common presenting symptoms with which patient presented to out tertiary care center which further lead to imaging and diagnosis of space occupying lesions. In our study most of the lesions were localized to frontal </w:t>
      </w:r>
      <w:proofErr w:type="gramStart"/>
      <w:r w:rsidRPr="00C34982">
        <w:rPr>
          <w:sz w:val="20"/>
          <w:szCs w:val="20"/>
        </w:rPr>
        <w:t>lobe(</w:t>
      </w:r>
      <w:proofErr w:type="gramEnd"/>
      <w:r w:rsidRPr="00C34982">
        <w:rPr>
          <w:sz w:val="20"/>
          <w:szCs w:val="20"/>
        </w:rPr>
        <w:t xml:space="preserve"> 36%) followed</w:t>
      </w:r>
      <w:r w:rsidR="00C34982">
        <w:rPr>
          <w:sz w:val="20"/>
          <w:szCs w:val="20"/>
        </w:rPr>
        <w:t xml:space="preserve"> </w:t>
      </w:r>
      <w:r w:rsidRPr="00C34982">
        <w:rPr>
          <w:sz w:val="20"/>
          <w:szCs w:val="20"/>
        </w:rPr>
        <w:t>by temporal lobe (31%), parietal lobe (24%) and 9% included other sites such</w:t>
      </w:r>
      <w:r w:rsidR="00C34982">
        <w:rPr>
          <w:sz w:val="20"/>
          <w:szCs w:val="20"/>
        </w:rPr>
        <w:t xml:space="preserve"> </w:t>
      </w:r>
      <w:r w:rsidRPr="00C34982">
        <w:rPr>
          <w:sz w:val="20"/>
          <w:szCs w:val="20"/>
        </w:rPr>
        <w:t xml:space="preserve">as </w:t>
      </w:r>
      <w:proofErr w:type="spellStart"/>
      <w:r w:rsidRPr="00C34982">
        <w:rPr>
          <w:sz w:val="20"/>
          <w:szCs w:val="20"/>
        </w:rPr>
        <w:t>perislyvian</w:t>
      </w:r>
      <w:proofErr w:type="spellEnd"/>
      <w:r w:rsidRPr="00C34982">
        <w:rPr>
          <w:sz w:val="20"/>
          <w:szCs w:val="20"/>
        </w:rPr>
        <w:t>, occipital cortex or insular lobe. Other study also comprised of</w:t>
      </w:r>
      <w:r w:rsidR="00C34982">
        <w:rPr>
          <w:sz w:val="20"/>
          <w:szCs w:val="20"/>
        </w:rPr>
        <w:t xml:space="preserve"> </w:t>
      </w:r>
      <w:r w:rsidRPr="00C34982">
        <w:rPr>
          <w:sz w:val="20"/>
          <w:szCs w:val="20"/>
        </w:rPr>
        <w:t xml:space="preserve">frontal lobe as predominant site of presentation. </w:t>
      </w:r>
    </w:p>
    <w:p w:rsidR="00A36EFE" w:rsidRPr="00C34982" w:rsidRDefault="00A36EFE" w:rsidP="00C34982">
      <w:pPr>
        <w:autoSpaceDE w:val="0"/>
        <w:autoSpaceDN w:val="0"/>
        <w:adjustRightInd w:val="0"/>
        <w:spacing w:after="0" w:line="360" w:lineRule="auto"/>
        <w:jc w:val="both"/>
        <w:rPr>
          <w:sz w:val="20"/>
          <w:szCs w:val="20"/>
        </w:rPr>
      </w:pPr>
    </w:p>
    <w:p w:rsidR="00A36EFE" w:rsidRPr="00C34982" w:rsidRDefault="00A36EFE" w:rsidP="00C34982">
      <w:pPr>
        <w:autoSpaceDE w:val="0"/>
        <w:autoSpaceDN w:val="0"/>
        <w:adjustRightInd w:val="0"/>
        <w:spacing w:after="0" w:line="360" w:lineRule="auto"/>
        <w:jc w:val="both"/>
        <w:rPr>
          <w:b/>
          <w:bCs/>
          <w:sz w:val="20"/>
          <w:szCs w:val="20"/>
        </w:rPr>
      </w:pPr>
      <w:r w:rsidRPr="00C34982">
        <w:rPr>
          <w:b/>
          <w:bCs/>
          <w:sz w:val="20"/>
          <w:szCs w:val="20"/>
        </w:rPr>
        <w:t xml:space="preserve">Table 1: Age Incidence </w:t>
      </w:r>
      <w:proofErr w:type="gramStart"/>
      <w:r w:rsidRPr="00C34982">
        <w:rPr>
          <w:b/>
          <w:bCs/>
          <w:sz w:val="20"/>
          <w:szCs w:val="20"/>
        </w:rPr>
        <w:t>( Age</w:t>
      </w:r>
      <w:proofErr w:type="gramEnd"/>
      <w:r w:rsidRPr="00C34982">
        <w:rPr>
          <w:b/>
          <w:bCs/>
          <w:sz w:val="20"/>
          <w:szCs w:val="20"/>
        </w:rPr>
        <w:t xml:space="preserve"> of Presentation)</w:t>
      </w:r>
    </w:p>
    <w:tbl>
      <w:tblPr>
        <w:tblStyle w:val="TableGrid"/>
        <w:tblW w:w="0" w:type="auto"/>
        <w:tblLook w:val="04A0" w:firstRow="1" w:lastRow="0" w:firstColumn="1" w:lastColumn="0" w:noHBand="0" w:noVBand="1"/>
      </w:tblPr>
      <w:tblGrid>
        <w:gridCol w:w="1915"/>
        <w:gridCol w:w="1915"/>
        <w:gridCol w:w="1915"/>
        <w:gridCol w:w="1915"/>
        <w:gridCol w:w="1916"/>
      </w:tblGrid>
      <w:tr w:rsidR="00A36EFE" w:rsidRPr="00C34982" w:rsidTr="00E86785">
        <w:tc>
          <w:tcPr>
            <w:tcW w:w="1915" w:type="dxa"/>
          </w:tcPr>
          <w:p w:rsidR="00A36EFE" w:rsidRPr="00C34982" w:rsidRDefault="00A36EFE" w:rsidP="00C34982">
            <w:pPr>
              <w:spacing w:line="360" w:lineRule="auto"/>
              <w:jc w:val="both"/>
              <w:rPr>
                <w:sz w:val="20"/>
                <w:szCs w:val="20"/>
              </w:rPr>
            </w:pPr>
          </w:p>
        </w:tc>
        <w:tc>
          <w:tcPr>
            <w:tcW w:w="1915" w:type="dxa"/>
          </w:tcPr>
          <w:p w:rsidR="00A36EFE" w:rsidRPr="00C34982" w:rsidRDefault="00A36EFE" w:rsidP="00452D35">
            <w:pPr>
              <w:spacing w:line="360" w:lineRule="auto"/>
              <w:jc w:val="center"/>
              <w:rPr>
                <w:sz w:val="20"/>
                <w:szCs w:val="20"/>
              </w:rPr>
            </w:pPr>
            <w:r w:rsidRPr="00C34982">
              <w:rPr>
                <w:sz w:val="20"/>
                <w:szCs w:val="20"/>
              </w:rPr>
              <w:t>Our Study</w:t>
            </w:r>
          </w:p>
        </w:tc>
        <w:tc>
          <w:tcPr>
            <w:tcW w:w="1915" w:type="dxa"/>
          </w:tcPr>
          <w:p w:rsidR="00A36EFE" w:rsidRPr="00C34982" w:rsidRDefault="00A36EFE" w:rsidP="00452D35">
            <w:pPr>
              <w:spacing w:line="360" w:lineRule="auto"/>
              <w:jc w:val="center"/>
              <w:rPr>
                <w:sz w:val="20"/>
                <w:szCs w:val="20"/>
              </w:rPr>
            </w:pPr>
            <w:r w:rsidRPr="00C34982">
              <w:rPr>
                <w:sz w:val="20"/>
                <w:szCs w:val="20"/>
              </w:rPr>
              <w:t>Ian R. Whittle et.al</w:t>
            </w:r>
          </w:p>
        </w:tc>
        <w:tc>
          <w:tcPr>
            <w:tcW w:w="1915" w:type="dxa"/>
          </w:tcPr>
          <w:p w:rsidR="00A36EFE" w:rsidRPr="00C34982" w:rsidRDefault="00A36EFE" w:rsidP="00452D35">
            <w:pPr>
              <w:spacing w:line="360" w:lineRule="auto"/>
              <w:jc w:val="center"/>
              <w:rPr>
                <w:sz w:val="20"/>
                <w:szCs w:val="20"/>
              </w:rPr>
            </w:pPr>
            <w:proofErr w:type="spellStart"/>
            <w:r w:rsidRPr="00C34982">
              <w:rPr>
                <w:sz w:val="20"/>
                <w:szCs w:val="20"/>
              </w:rPr>
              <w:t>Haihui</w:t>
            </w:r>
            <w:proofErr w:type="spellEnd"/>
            <w:r w:rsidRPr="00C34982">
              <w:rPr>
                <w:sz w:val="20"/>
                <w:szCs w:val="20"/>
              </w:rPr>
              <w:t>. Jiang et. al</w:t>
            </w:r>
          </w:p>
        </w:tc>
        <w:tc>
          <w:tcPr>
            <w:tcW w:w="1916" w:type="dxa"/>
          </w:tcPr>
          <w:p w:rsidR="00A36EFE" w:rsidRPr="00C34982" w:rsidRDefault="00A36EFE" w:rsidP="00452D35">
            <w:pPr>
              <w:spacing w:line="360" w:lineRule="auto"/>
              <w:jc w:val="center"/>
              <w:rPr>
                <w:sz w:val="20"/>
                <w:szCs w:val="20"/>
              </w:rPr>
            </w:pPr>
            <w:proofErr w:type="spellStart"/>
            <w:r w:rsidRPr="00C34982">
              <w:rPr>
                <w:sz w:val="20"/>
                <w:szCs w:val="20"/>
              </w:rPr>
              <w:t>Julien</w:t>
            </w:r>
            <w:proofErr w:type="spellEnd"/>
            <w:r w:rsidRPr="00C34982">
              <w:rPr>
                <w:sz w:val="20"/>
                <w:szCs w:val="20"/>
              </w:rPr>
              <w:t xml:space="preserve"> </w:t>
            </w:r>
            <w:proofErr w:type="spellStart"/>
            <w:r w:rsidRPr="00C34982">
              <w:rPr>
                <w:sz w:val="20"/>
                <w:szCs w:val="20"/>
              </w:rPr>
              <w:t>Spitaels</w:t>
            </w:r>
            <w:proofErr w:type="spellEnd"/>
            <w:r w:rsidRPr="00C34982">
              <w:rPr>
                <w:sz w:val="20"/>
                <w:szCs w:val="20"/>
              </w:rPr>
              <w:t xml:space="preserve"> et. al</w:t>
            </w:r>
          </w:p>
        </w:tc>
      </w:tr>
      <w:tr w:rsidR="00A36EFE" w:rsidRPr="00C34982" w:rsidTr="00E86785">
        <w:tc>
          <w:tcPr>
            <w:tcW w:w="1915" w:type="dxa"/>
          </w:tcPr>
          <w:p w:rsidR="00A36EFE" w:rsidRPr="00C34982" w:rsidRDefault="00A36EFE" w:rsidP="00C34982">
            <w:pPr>
              <w:spacing w:line="360" w:lineRule="auto"/>
              <w:jc w:val="both"/>
              <w:rPr>
                <w:sz w:val="20"/>
                <w:szCs w:val="20"/>
              </w:rPr>
            </w:pPr>
            <w:r w:rsidRPr="00C34982">
              <w:rPr>
                <w:sz w:val="20"/>
                <w:szCs w:val="20"/>
              </w:rPr>
              <w:t>Median Age</w:t>
            </w:r>
          </w:p>
        </w:tc>
        <w:tc>
          <w:tcPr>
            <w:tcW w:w="1915" w:type="dxa"/>
          </w:tcPr>
          <w:p w:rsidR="00A36EFE" w:rsidRPr="00C34982" w:rsidRDefault="00A36EFE" w:rsidP="00452D35">
            <w:pPr>
              <w:spacing w:line="360" w:lineRule="auto"/>
              <w:jc w:val="center"/>
              <w:rPr>
                <w:sz w:val="20"/>
                <w:szCs w:val="20"/>
              </w:rPr>
            </w:pPr>
            <w:r w:rsidRPr="00C34982">
              <w:rPr>
                <w:sz w:val="20"/>
                <w:szCs w:val="20"/>
              </w:rPr>
              <w:t>44 Years</w:t>
            </w:r>
          </w:p>
        </w:tc>
        <w:tc>
          <w:tcPr>
            <w:tcW w:w="1915" w:type="dxa"/>
          </w:tcPr>
          <w:p w:rsidR="00A36EFE" w:rsidRPr="00C34982" w:rsidRDefault="00A36EFE" w:rsidP="00452D35">
            <w:pPr>
              <w:spacing w:line="360" w:lineRule="auto"/>
              <w:jc w:val="center"/>
              <w:rPr>
                <w:sz w:val="20"/>
                <w:szCs w:val="20"/>
              </w:rPr>
            </w:pPr>
            <w:r w:rsidRPr="00C34982">
              <w:rPr>
                <w:sz w:val="20"/>
                <w:szCs w:val="20"/>
              </w:rPr>
              <w:t>63 Years</w:t>
            </w:r>
          </w:p>
        </w:tc>
        <w:tc>
          <w:tcPr>
            <w:tcW w:w="1915" w:type="dxa"/>
          </w:tcPr>
          <w:p w:rsidR="00A36EFE" w:rsidRPr="00C34982" w:rsidRDefault="00A36EFE" w:rsidP="00452D35">
            <w:pPr>
              <w:spacing w:line="360" w:lineRule="auto"/>
              <w:jc w:val="center"/>
              <w:rPr>
                <w:sz w:val="20"/>
                <w:szCs w:val="20"/>
              </w:rPr>
            </w:pPr>
            <w:r w:rsidRPr="00C34982">
              <w:rPr>
                <w:sz w:val="20"/>
                <w:szCs w:val="20"/>
              </w:rPr>
              <w:t>37 Years</w:t>
            </w:r>
          </w:p>
        </w:tc>
        <w:tc>
          <w:tcPr>
            <w:tcW w:w="1916" w:type="dxa"/>
          </w:tcPr>
          <w:p w:rsidR="00A36EFE" w:rsidRPr="00C34982" w:rsidRDefault="00A36EFE" w:rsidP="00452D35">
            <w:pPr>
              <w:spacing w:line="360" w:lineRule="auto"/>
              <w:jc w:val="center"/>
              <w:rPr>
                <w:sz w:val="20"/>
                <w:szCs w:val="20"/>
              </w:rPr>
            </w:pPr>
            <w:r w:rsidRPr="00C34982">
              <w:rPr>
                <w:sz w:val="20"/>
                <w:szCs w:val="20"/>
              </w:rPr>
              <w:t>50 Years</w:t>
            </w:r>
          </w:p>
        </w:tc>
      </w:tr>
    </w:tbl>
    <w:p w:rsidR="00A36EFE" w:rsidRPr="00C34982" w:rsidRDefault="00A36EFE" w:rsidP="00C34982">
      <w:pPr>
        <w:autoSpaceDE w:val="0"/>
        <w:autoSpaceDN w:val="0"/>
        <w:adjustRightInd w:val="0"/>
        <w:spacing w:after="0" w:line="360" w:lineRule="auto"/>
        <w:jc w:val="both"/>
        <w:rPr>
          <w:b/>
          <w:bCs/>
          <w:sz w:val="20"/>
          <w:szCs w:val="20"/>
        </w:rPr>
      </w:pPr>
    </w:p>
    <w:p w:rsidR="00A36EFE" w:rsidRPr="00C34982" w:rsidRDefault="00C34982" w:rsidP="00C34982">
      <w:pPr>
        <w:spacing w:after="0" w:line="360" w:lineRule="auto"/>
        <w:jc w:val="both"/>
        <w:rPr>
          <w:b/>
          <w:sz w:val="20"/>
          <w:szCs w:val="20"/>
        </w:rPr>
      </w:pPr>
      <w:proofErr w:type="gramStart"/>
      <w:r>
        <w:rPr>
          <w:b/>
          <w:sz w:val="20"/>
          <w:szCs w:val="20"/>
        </w:rPr>
        <w:t xml:space="preserve">Table </w:t>
      </w:r>
      <w:r w:rsidR="00A36EFE" w:rsidRPr="00C34982">
        <w:rPr>
          <w:b/>
          <w:sz w:val="20"/>
          <w:szCs w:val="20"/>
        </w:rPr>
        <w:t xml:space="preserve"> 2</w:t>
      </w:r>
      <w:proofErr w:type="gramEnd"/>
      <w:r w:rsidR="00A36EFE" w:rsidRPr="00C34982">
        <w:rPr>
          <w:b/>
          <w:sz w:val="20"/>
          <w:szCs w:val="20"/>
        </w:rPr>
        <w:t>:- Sex Incidence</w:t>
      </w:r>
    </w:p>
    <w:tbl>
      <w:tblPr>
        <w:tblStyle w:val="TableGrid"/>
        <w:tblW w:w="0" w:type="auto"/>
        <w:tblLook w:val="04A0" w:firstRow="1" w:lastRow="0" w:firstColumn="1" w:lastColumn="0" w:noHBand="0" w:noVBand="1"/>
      </w:tblPr>
      <w:tblGrid>
        <w:gridCol w:w="1502"/>
        <w:gridCol w:w="1592"/>
        <w:gridCol w:w="1876"/>
        <w:gridCol w:w="1436"/>
        <w:gridCol w:w="1316"/>
        <w:gridCol w:w="950"/>
        <w:gridCol w:w="904"/>
      </w:tblGrid>
      <w:tr w:rsidR="00A36EFE" w:rsidRPr="00C34982" w:rsidTr="00E86785">
        <w:tc>
          <w:tcPr>
            <w:tcW w:w="1511" w:type="dxa"/>
          </w:tcPr>
          <w:p w:rsidR="00A36EFE" w:rsidRPr="00C34982" w:rsidRDefault="00A36EFE" w:rsidP="00C34982">
            <w:pPr>
              <w:pStyle w:val="Normal1"/>
              <w:spacing w:line="360" w:lineRule="auto"/>
              <w:jc w:val="both"/>
              <w:rPr>
                <w:rFonts w:ascii="Times New Roman" w:hAnsi="Times New Roman" w:cs="Times New Roman"/>
                <w:b/>
                <w:sz w:val="20"/>
                <w:szCs w:val="20"/>
              </w:rPr>
            </w:pPr>
            <w:r w:rsidRPr="00C34982">
              <w:rPr>
                <w:rFonts w:ascii="Times New Roman" w:hAnsi="Times New Roman" w:cs="Times New Roman"/>
                <w:b/>
                <w:sz w:val="20"/>
                <w:szCs w:val="20"/>
              </w:rPr>
              <w:t>Sex</w:t>
            </w:r>
          </w:p>
        </w:tc>
        <w:tc>
          <w:tcPr>
            <w:tcW w:w="1602" w:type="dxa"/>
          </w:tcPr>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No. of patients</w:t>
            </w:r>
          </w:p>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(N=100)</w:t>
            </w:r>
          </w:p>
        </w:tc>
        <w:tc>
          <w:tcPr>
            <w:tcW w:w="1886" w:type="dxa"/>
          </w:tcPr>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Percentage (%)</w:t>
            </w:r>
          </w:p>
        </w:tc>
        <w:tc>
          <w:tcPr>
            <w:tcW w:w="1443" w:type="dxa"/>
          </w:tcPr>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Edward G. Shaw et.al (%)</w:t>
            </w:r>
          </w:p>
        </w:tc>
        <w:tc>
          <w:tcPr>
            <w:tcW w:w="1322" w:type="dxa"/>
          </w:tcPr>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 xml:space="preserve">Ian R. Whittle. Et. </w:t>
            </w:r>
            <w:proofErr w:type="gramStart"/>
            <w:r w:rsidRPr="00C34982">
              <w:rPr>
                <w:rFonts w:ascii="Times New Roman" w:hAnsi="Times New Roman" w:cs="Times New Roman"/>
                <w:b/>
                <w:sz w:val="20"/>
                <w:szCs w:val="20"/>
              </w:rPr>
              <w:t>al</w:t>
            </w:r>
            <w:proofErr w:type="gramEnd"/>
            <w:r w:rsidRPr="00C34982">
              <w:rPr>
                <w:rFonts w:ascii="Times New Roman" w:hAnsi="Times New Roman" w:cs="Times New Roman"/>
                <w:b/>
                <w:sz w:val="20"/>
                <w:szCs w:val="20"/>
              </w:rPr>
              <w:t xml:space="preserve"> (%)</w:t>
            </w:r>
          </w:p>
        </w:tc>
        <w:tc>
          <w:tcPr>
            <w:tcW w:w="906" w:type="dxa"/>
          </w:tcPr>
          <w:p w:rsidR="00A36EFE" w:rsidRPr="00C34982" w:rsidRDefault="00A36EFE" w:rsidP="00452D35">
            <w:pPr>
              <w:pStyle w:val="Normal1"/>
              <w:spacing w:line="360" w:lineRule="auto"/>
              <w:jc w:val="center"/>
              <w:rPr>
                <w:rFonts w:ascii="Times New Roman" w:hAnsi="Times New Roman" w:cs="Times New Roman"/>
                <w:b/>
                <w:sz w:val="20"/>
                <w:szCs w:val="20"/>
              </w:rPr>
            </w:pPr>
            <w:proofErr w:type="spellStart"/>
            <w:r w:rsidRPr="00C34982">
              <w:rPr>
                <w:rFonts w:ascii="Times New Roman" w:hAnsi="Times New Roman" w:cs="Times New Roman"/>
                <w:b/>
                <w:sz w:val="20"/>
                <w:szCs w:val="20"/>
              </w:rPr>
              <w:t>Jianfeng</w:t>
            </w:r>
            <w:proofErr w:type="spellEnd"/>
            <w:r w:rsidRPr="00C34982">
              <w:rPr>
                <w:rFonts w:ascii="Times New Roman" w:hAnsi="Times New Roman" w:cs="Times New Roman"/>
                <w:b/>
                <w:sz w:val="20"/>
                <w:szCs w:val="20"/>
              </w:rPr>
              <w:t xml:space="preserve"> Liang et. </w:t>
            </w:r>
            <w:proofErr w:type="gramStart"/>
            <w:r w:rsidRPr="00C34982">
              <w:rPr>
                <w:rFonts w:ascii="Times New Roman" w:hAnsi="Times New Roman" w:cs="Times New Roman"/>
                <w:b/>
                <w:sz w:val="20"/>
                <w:szCs w:val="20"/>
              </w:rPr>
              <w:t>al</w:t>
            </w:r>
            <w:proofErr w:type="gramEnd"/>
            <w:r w:rsidRPr="00C34982">
              <w:rPr>
                <w:rFonts w:ascii="Times New Roman" w:hAnsi="Times New Roman" w:cs="Times New Roman"/>
                <w:b/>
                <w:sz w:val="20"/>
                <w:szCs w:val="20"/>
              </w:rPr>
              <w:t xml:space="preserve"> (%)</w:t>
            </w:r>
          </w:p>
        </w:tc>
        <w:tc>
          <w:tcPr>
            <w:tcW w:w="906" w:type="dxa"/>
          </w:tcPr>
          <w:p w:rsidR="00A36EFE" w:rsidRPr="00C34982" w:rsidRDefault="00A36EFE" w:rsidP="00452D35">
            <w:pPr>
              <w:pStyle w:val="Normal1"/>
              <w:spacing w:line="360" w:lineRule="auto"/>
              <w:jc w:val="center"/>
              <w:rPr>
                <w:rFonts w:ascii="Times New Roman" w:hAnsi="Times New Roman" w:cs="Times New Roman"/>
                <w:b/>
                <w:sz w:val="20"/>
                <w:szCs w:val="20"/>
              </w:rPr>
            </w:pPr>
            <w:proofErr w:type="spellStart"/>
            <w:r w:rsidRPr="00C34982">
              <w:rPr>
                <w:rFonts w:ascii="Times New Roman" w:hAnsi="Times New Roman" w:cs="Times New Roman"/>
                <w:b/>
                <w:sz w:val="20"/>
                <w:szCs w:val="20"/>
              </w:rPr>
              <w:t>Julien</w:t>
            </w:r>
            <w:proofErr w:type="spellEnd"/>
            <w:r w:rsidRPr="00C34982">
              <w:rPr>
                <w:rFonts w:ascii="Times New Roman" w:hAnsi="Times New Roman" w:cs="Times New Roman"/>
                <w:b/>
                <w:sz w:val="20"/>
                <w:szCs w:val="20"/>
              </w:rPr>
              <w:t xml:space="preserve"> </w:t>
            </w:r>
            <w:proofErr w:type="spellStart"/>
            <w:r w:rsidRPr="00C34982">
              <w:rPr>
                <w:rFonts w:ascii="Times New Roman" w:hAnsi="Times New Roman" w:cs="Times New Roman"/>
                <w:b/>
                <w:sz w:val="20"/>
                <w:szCs w:val="20"/>
              </w:rPr>
              <w:t>Spitels</w:t>
            </w:r>
            <w:proofErr w:type="spellEnd"/>
            <w:r w:rsidRPr="00C34982">
              <w:rPr>
                <w:rFonts w:ascii="Times New Roman" w:hAnsi="Times New Roman" w:cs="Times New Roman"/>
                <w:b/>
                <w:sz w:val="20"/>
                <w:szCs w:val="20"/>
              </w:rPr>
              <w:t xml:space="preserve"> et. </w:t>
            </w:r>
            <w:proofErr w:type="gramStart"/>
            <w:r w:rsidRPr="00C34982">
              <w:rPr>
                <w:rFonts w:ascii="Times New Roman" w:hAnsi="Times New Roman" w:cs="Times New Roman"/>
                <w:b/>
                <w:sz w:val="20"/>
                <w:szCs w:val="20"/>
              </w:rPr>
              <w:t>al</w:t>
            </w:r>
            <w:proofErr w:type="gramEnd"/>
            <w:r w:rsidRPr="00C34982">
              <w:rPr>
                <w:rFonts w:ascii="Times New Roman" w:hAnsi="Times New Roman" w:cs="Times New Roman"/>
                <w:b/>
                <w:sz w:val="20"/>
                <w:szCs w:val="20"/>
              </w:rPr>
              <w:t xml:space="preserve"> (%)</w:t>
            </w:r>
          </w:p>
        </w:tc>
      </w:tr>
      <w:tr w:rsidR="00A36EFE" w:rsidRPr="00C34982" w:rsidTr="00E86785">
        <w:tc>
          <w:tcPr>
            <w:tcW w:w="1511"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Male</w:t>
            </w:r>
          </w:p>
        </w:tc>
        <w:tc>
          <w:tcPr>
            <w:tcW w:w="1602"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56</w:t>
            </w:r>
          </w:p>
        </w:tc>
        <w:tc>
          <w:tcPr>
            <w:tcW w:w="1886"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56</w:t>
            </w:r>
          </w:p>
        </w:tc>
        <w:tc>
          <w:tcPr>
            <w:tcW w:w="1443"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63</w:t>
            </w:r>
          </w:p>
        </w:tc>
        <w:tc>
          <w:tcPr>
            <w:tcW w:w="1322"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66</w:t>
            </w:r>
          </w:p>
        </w:tc>
        <w:tc>
          <w:tcPr>
            <w:tcW w:w="906"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56</w:t>
            </w:r>
          </w:p>
        </w:tc>
        <w:tc>
          <w:tcPr>
            <w:tcW w:w="906"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57</w:t>
            </w:r>
          </w:p>
        </w:tc>
      </w:tr>
      <w:tr w:rsidR="00A36EFE" w:rsidRPr="00C34982" w:rsidTr="00E86785">
        <w:tc>
          <w:tcPr>
            <w:tcW w:w="1511"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Female</w:t>
            </w:r>
          </w:p>
        </w:tc>
        <w:tc>
          <w:tcPr>
            <w:tcW w:w="1602"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44</w:t>
            </w:r>
          </w:p>
        </w:tc>
        <w:tc>
          <w:tcPr>
            <w:tcW w:w="1886"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44</w:t>
            </w:r>
          </w:p>
        </w:tc>
        <w:tc>
          <w:tcPr>
            <w:tcW w:w="1443"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37</w:t>
            </w:r>
          </w:p>
        </w:tc>
        <w:tc>
          <w:tcPr>
            <w:tcW w:w="1322"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34</w:t>
            </w:r>
          </w:p>
        </w:tc>
        <w:tc>
          <w:tcPr>
            <w:tcW w:w="906"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44</w:t>
            </w:r>
          </w:p>
        </w:tc>
        <w:tc>
          <w:tcPr>
            <w:tcW w:w="906"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43</w:t>
            </w:r>
          </w:p>
        </w:tc>
      </w:tr>
    </w:tbl>
    <w:p w:rsidR="00A36EFE" w:rsidRPr="00C34982" w:rsidRDefault="00A36EFE" w:rsidP="00C34982">
      <w:pPr>
        <w:autoSpaceDE w:val="0"/>
        <w:autoSpaceDN w:val="0"/>
        <w:adjustRightInd w:val="0"/>
        <w:spacing w:after="0" w:line="360" w:lineRule="auto"/>
        <w:jc w:val="both"/>
        <w:rPr>
          <w:b/>
          <w:bCs/>
          <w:sz w:val="20"/>
          <w:szCs w:val="20"/>
        </w:rPr>
      </w:pPr>
    </w:p>
    <w:p w:rsidR="00452D35" w:rsidRDefault="00452D35" w:rsidP="00C34982">
      <w:pPr>
        <w:autoSpaceDE w:val="0"/>
        <w:autoSpaceDN w:val="0"/>
        <w:adjustRightInd w:val="0"/>
        <w:spacing w:after="0" w:line="360" w:lineRule="auto"/>
        <w:jc w:val="both"/>
        <w:rPr>
          <w:b/>
          <w:bCs/>
          <w:sz w:val="20"/>
          <w:szCs w:val="20"/>
        </w:rPr>
      </w:pPr>
    </w:p>
    <w:p w:rsidR="00452D35" w:rsidRDefault="00452D35" w:rsidP="00C34982">
      <w:pPr>
        <w:autoSpaceDE w:val="0"/>
        <w:autoSpaceDN w:val="0"/>
        <w:adjustRightInd w:val="0"/>
        <w:spacing w:after="0" w:line="360" w:lineRule="auto"/>
        <w:jc w:val="both"/>
        <w:rPr>
          <w:b/>
          <w:bCs/>
          <w:sz w:val="20"/>
          <w:szCs w:val="20"/>
        </w:rPr>
      </w:pPr>
    </w:p>
    <w:p w:rsidR="00A36EFE" w:rsidRPr="00C34982" w:rsidRDefault="00A36EFE" w:rsidP="00C34982">
      <w:pPr>
        <w:autoSpaceDE w:val="0"/>
        <w:autoSpaceDN w:val="0"/>
        <w:adjustRightInd w:val="0"/>
        <w:spacing w:after="0" w:line="360" w:lineRule="auto"/>
        <w:jc w:val="both"/>
        <w:rPr>
          <w:b/>
          <w:sz w:val="20"/>
          <w:szCs w:val="20"/>
        </w:rPr>
      </w:pPr>
      <w:r w:rsidRPr="00C34982">
        <w:rPr>
          <w:b/>
          <w:bCs/>
          <w:sz w:val="20"/>
          <w:szCs w:val="20"/>
        </w:rPr>
        <w:t>Table 3:-</w:t>
      </w:r>
      <w:r w:rsidRPr="00C34982">
        <w:rPr>
          <w:b/>
          <w:sz w:val="20"/>
          <w:szCs w:val="20"/>
        </w:rPr>
        <w:t xml:space="preserve"> Symptoms </w:t>
      </w:r>
      <w:proofErr w:type="gramStart"/>
      <w:r w:rsidRPr="00C34982">
        <w:rPr>
          <w:b/>
          <w:sz w:val="20"/>
          <w:szCs w:val="20"/>
        </w:rPr>
        <w:t>( At</w:t>
      </w:r>
      <w:proofErr w:type="gramEnd"/>
      <w:r w:rsidRPr="00C34982">
        <w:rPr>
          <w:b/>
          <w:sz w:val="20"/>
          <w:szCs w:val="20"/>
        </w:rPr>
        <w:t xml:space="preserve"> time of Presentation)</w:t>
      </w:r>
    </w:p>
    <w:tbl>
      <w:tblPr>
        <w:tblStyle w:val="TableGrid"/>
        <w:tblW w:w="0" w:type="auto"/>
        <w:tblLook w:val="04A0" w:firstRow="1" w:lastRow="0" w:firstColumn="1" w:lastColumn="0" w:noHBand="0" w:noVBand="1"/>
      </w:tblPr>
      <w:tblGrid>
        <w:gridCol w:w="1886"/>
        <w:gridCol w:w="1150"/>
        <w:gridCol w:w="1510"/>
        <w:gridCol w:w="1120"/>
        <w:gridCol w:w="1068"/>
        <w:gridCol w:w="915"/>
        <w:gridCol w:w="1927"/>
      </w:tblGrid>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b/>
                <w:sz w:val="20"/>
                <w:szCs w:val="20"/>
              </w:rPr>
            </w:pPr>
            <w:r w:rsidRPr="00C34982">
              <w:rPr>
                <w:rFonts w:ascii="Times New Roman" w:hAnsi="Times New Roman" w:cs="Times New Roman"/>
                <w:b/>
                <w:sz w:val="20"/>
                <w:szCs w:val="20"/>
              </w:rPr>
              <w:t>Symptoms</w:t>
            </w:r>
          </w:p>
        </w:tc>
        <w:tc>
          <w:tcPr>
            <w:tcW w:w="1150" w:type="dxa"/>
          </w:tcPr>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No. of Patients</w:t>
            </w:r>
          </w:p>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(N=100)</w:t>
            </w:r>
          </w:p>
        </w:tc>
        <w:tc>
          <w:tcPr>
            <w:tcW w:w="1510" w:type="dxa"/>
          </w:tcPr>
          <w:p w:rsidR="00A36EFE" w:rsidRPr="00C34982" w:rsidRDefault="00A36EFE" w:rsidP="00452D35">
            <w:pPr>
              <w:pStyle w:val="Normal1"/>
              <w:spacing w:line="360" w:lineRule="auto"/>
              <w:jc w:val="center"/>
              <w:rPr>
                <w:rFonts w:ascii="Times New Roman" w:hAnsi="Times New Roman" w:cs="Times New Roman"/>
                <w:b/>
                <w:sz w:val="20"/>
                <w:szCs w:val="20"/>
              </w:rPr>
            </w:pPr>
            <w:r w:rsidRPr="00C34982">
              <w:rPr>
                <w:rFonts w:ascii="Times New Roman" w:hAnsi="Times New Roman" w:cs="Times New Roman"/>
                <w:b/>
                <w:sz w:val="20"/>
                <w:szCs w:val="20"/>
              </w:rPr>
              <w:t>Percentage (%)</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proofErr w:type="spellStart"/>
            <w:r w:rsidRPr="00C34982">
              <w:rPr>
                <w:rFonts w:ascii="Times New Roman" w:hAnsi="Times New Roman" w:cs="Times New Roman"/>
                <w:sz w:val="20"/>
                <w:szCs w:val="20"/>
              </w:rPr>
              <w:t>Julien</w:t>
            </w:r>
            <w:proofErr w:type="spellEnd"/>
            <w:r w:rsidRPr="00C34982">
              <w:rPr>
                <w:rFonts w:ascii="Times New Roman" w:hAnsi="Times New Roman" w:cs="Times New Roman"/>
                <w:sz w:val="20"/>
                <w:szCs w:val="20"/>
              </w:rPr>
              <w:t xml:space="preserve"> </w:t>
            </w:r>
            <w:proofErr w:type="spellStart"/>
            <w:proofErr w:type="gramStart"/>
            <w:r w:rsidRPr="00C34982">
              <w:rPr>
                <w:rFonts w:ascii="Times New Roman" w:hAnsi="Times New Roman" w:cs="Times New Roman"/>
                <w:sz w:val="20"/>
                <w:szCs w:val="20"/>
              </w:rPr>
              <w:t>Spitaels</w:t>
            </w:r>
            <w:proofErr w:type="spellEnd"/>
            <w:r w:rsidRPr="00C34982">
              <w:rPr>
                <w:rFonts w:ascii="Times New Roman" w:hAnsi="Times New Roman" w:cs="Times New Roman"/>
                <w:sz w:val="20"/>
                <w:szCs w:val="20"/>
              </w:rPr>
              <w:t xml:space="preserve">  (</w:t>
            </w:r>
            <w:proofErr w:type="gramEnd"/>
            <w:r w:rsidRPr="00C34982">
              <w:rPr>
                <w:rFonts w:ascii="Times New Roman" w:hAnsi="Times New Roman" w:cs="Times New Roman"/>
                <w:sz w:val="20"/>
                <w:szCs w:val="20"/>
              </w:rPr>
              <w:t>%)</w:t>
            </w:r>
          </w:p>
        </w:tc>
        <w:tc>
          <w:tcPr>
            <w:tcW w:w="1068" w:type="dxa"/>
          </w:tcPr>
          <w:p w:rsidR="00A36EFE" w:rsidRPr="00C34982" w:rsidRDefault="00A36EFE" w:rsidP="00452D35">
            <w:pPr>
              <w:spacing w:line="360" w:lineRule="auto"/>
              <w:jc w:val="center"/>
              <w:rPr>
                <w:sz w:val="20"/>
                <w:szCs w:val="20"/>
              </w:rPr>
            </w:pPr>
            <w:r w:rsidRPr="00C34982">
              <w:rPr>
                <w:b/>
                <w:sz w:val="20"/>
                <w:szCs w:val="20"/>
              </w:rPr>
              <w:t xml:space="preserve">Ian R. Whittle et. </w:t>
            </w:r>
            <w:proofErr w:type="gramStart"/>
            <w:r w:rsidRPr="00C34982">
              <w:rPr>
                <w:b/>
                <w:sz w:val="20"/>
                <w:szCs w:val="20"/>
              </w:rPr>
              <w:t>al</w:t>
            </w:r>
            <w:proofErr w:type="gramEnd"/>
            <w:r w:rsidRPr="00C34982">
              <w:rPr>
                <w:b/>
                <w:sz w:val="20"/>
                <w:szCs w:val="20"/>
              </w:rPr>
              <w:t xml:space="preserve"> </w:t>
            </w:r>
            <w:r w:rsidRPr="00C34982">
              <w:rPr>
                <w:sz w:val="20"/>
                <w:szCs w:val="20"/>
              </w:rPr>
              <w:t>(%)</w:t>
            </w:r>
          </w:p>
          <w:p w:rsidR="00A36EFE" w:rsidRPr="00C34982" w:rsidRDefault="00A36EFE" w:rsidP="00452D35">
            <w:pPr>
              <w:pStyle w:val="Normal1"/>
              <w:spacing w:line="360" w:lineRule="auto"/>
              <w:jc w:val="center"/>
              <w:rPr>
                <w:rFonts w:ascii="Times New Roman" w:hAnsi="Times New Roman" w:cs="Times New Roman"/>
                <w:sz w:val="20"/>
                <w:szCs w:val="20"/>
              </w:rPr>
            </w:pPr>
          </w:p>
        </w:tc>
        <w:tc>
          <w:tcPr>
            <w:tcW w:w="915" w:type="dxa"/>
          </w:tcPr>
          <w:p w:rsidR="00A36EFE" w:rsidRPr="00C34982" w:rsidRDefault="00A36EFE" w:rsidP="00452D35">
            <w:pPr>
              <w:spacing w:line="360" w:lineRule="auto"/>
              <w:jc w:val="center"/>
              <w:rPr>
                <w:sz w:val="20"/>
                <w:szCs w:val="20"/>
              </w:rPr>
            </w:pPr>
            <w:r w:rsidRPr="00C34982">
              <w:rPr>
                <w:b/>
                <w:sz w:val="20"/>
                <w:szCs w:val="20"/>
              </w:rPr>
              <w:t xml:space="preserve">J.P. </w:t>
            </w:r>
            <w:proofErr w:type="spellStart"/>
            <w:r w:rsidRPr="00C34982">
              <w:rPr>
                <w:b/>
                <w:sz w:val="20"/>
                <w:szCs w:val="20"/>
              </w:rPr>
              <w:t>Posti</w:t>
            </w:r>
            <w:proofErr w:type="spellEnd"/>
            <w:r w:rsidRPr="00C34982">
              <w:rPr>
                <w:b/>
                <w:sz w:val="20"/>
                <w:szCs w:val="20"/>
              </w:rPr>
              <w:t xml:space="preserve"> et. </w:t>
            </w:r>
            <w:proofErr w:type="gramStart"/>
            <w:r w:rsidRPr="00C34982">
              <w:rPr>
                <w:b/>
                <w:sz w:val="20"/>
                <w:szCs w:val="20"/>
              </w:rPr>
              <w:t>al</w:t>
            </w:r>
            <w:proofErr w:type="gramEnd"/>
            <w:r w:rsidRPr="00C34982">
              <w:rPr>
                <w:b/>
                <w:sz w:val="20"/>
                <w:szCs w:val="20"/>
              </w:rPr>
              <w:t xml:space="preserve"> </w:t>
            </w:r>
            <w:r w:rsidRPr="00C34982">
              <w:rPr>
                <w:sz w:val="20"/>
                <w:szCs w:val="20"/>
              </w:rPr>
              <w:t>(%)</w:t>
            </w:r>
          </w:p>
          <w:p w:rsidR="00A36EFE" w:rsidRPr="00C34982" w:rsidRDefault="00A36EFE" w:rsidP="00452D35">
            <w:pPr>
              <w:pStyle w:val="Normal1"/>
              <w:spacing w:line="360" w:lineRule="auto"/>
              <w:jc w:val="center"/>
              <w:rPr>
                <w:rFonts w:ascii="Times New Roman" w:hAnsi="Times New Roman" w:cs="Times New Roman"/>
                <w:sz w:val="20"/>
                <w:szCs w:val="20"/>
              </w:rPr>
            </w:pPr>
          </w:p>
        </w:tc>
        <w:tc>
          <w:tcPr>
            <w:tcW w:w="1927" w:type="dxa"/>
          </w:tcPr>
          <w:p w:rsidR="00A36EFE" w:rsidRPr="00C34982" w:rsidRDefault="00A36EFE" w:rsidP="00452D35">
            <w:pPr>
              <w:spacing w:line="360" w:lineRule="auto"/>
              <w:jc w:val="center"/>
              <w:rPr>
                <w:sz w:val="20"/>
                <w:szCs w:val="20"/>
              </w:rPr>
            </w:pPr>
            <w:proofErr w:type="spellStart"/>
            <w:r w:rsidRPr="00C34982">
              <w:rPr>
                <w:b/>
                <w:sz w:val="20"/>
                <w:szCs w:val="20"/>
              </w:rPr>
              <w:t>Margriet</w:t>
            </w:r>
            <w:proofErr w:type="spellEnd"/>
            <w:r w:rsidRPr="00C34982">
              <w:rPr>
                <w:b/>
                <w:sz w:val="20"/>
                <w:szCs w:val="20"/>
              </w:rPr>
              <w:t xml:space="preserve"> </w:t>
            </w:r>
            <w:proofErr w:type="spellStart"/>
            <w:r w:rsidRPr="00C34982">
              <w:rPr>
                <w:b/>
                <w:sz w:val="20"/>
                <w:szCs w:val="20"/>
              </w:rPr>
              <w:t>IJzerman‑Korevaar</w:t>
            </w:r>
            <w:proofErr w:type="spellEnd"/>
            <w:r w:rsidRPr="00C34982">
              <w:rPr>
                <w:b/>
                <w:sz w:val="20"/>
                <w:szCs w:val="20"/>
              </w:rPr>
              <w:t xml:space="preserve"> et. </w:t>
            </w:r>
            <w:proofErr w:type="gramStart"/>
            <w:r w:rsidRPr="00C34982">
              <w:rPr>
                <w:b/>
                <w:sz w:val="20"/>
                <w:szCs w:val="20"/>
              </w:rPr>
              <w:t>al</w:t>
            </w:r>
            <w:r w:rsidRPr="00C34982">
              <w:rPr>
                <w:sz w:val="20"/>
                <w:szCs w:val="20"/>
              </w:rPr>
              <w:t>(</w:t>
            </w:r>
            <w:proofErr w:type="gramEnd"/>
            <w:r w:rsidRPr="00C34982">
              <w:rPr>
                <w:sz w:val="20"/>
                <w:szCs w:val="20"/>
              </w:rPr>
              <w:t>%)</w:t>
            </w:r>
          </w:p>
          <w:p w:rsidR="00A36EFE" w:rsidRPr="00C34982" w:rsidRDefault="00A36EFE" w:rsidP="00452D35">
            <w:pPr>
              <w:pStyle w:val="Normal1"/>
              <w:spacing w:line="360" w:lineRule="auto"/>
              <w:jc w:val="center"/>
              <w:rPr>
                <w:rFonts w:ascii="Times New Roman" w:hAnsi="Times New Roman" w:cs="Times New Roman"/>
                <w:sz w:val="20"/>
                <w:szCs w:val="20"/>
              </w:rPr>
            </w:pP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Headache</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32</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32</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8.5</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59</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19.7</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35</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 xml:space="preserve">      Confusion </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33</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33</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2.8</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62</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N/A</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27</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Seizures</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68</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68</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85</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14</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52</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37</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Dysphagia</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32.6</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44</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28</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30</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Neurocognitive Impairment</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10</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10</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4.6</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23</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57</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36</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Hemiparesis</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4</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2.8</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84</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22</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21</w:t>
            </w:r>
          </w:p>
        </w:tc>
      </w:tr>
      <w:tr w:rsidR="00A36EFE" w:rsidRPr="00C34982" w:rsidTr="00E86785">
        <w:trPr>
          <w:trHeight w:val="656"/>
        </w:trPr>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Aphasia</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12.6</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12</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25</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24</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Visual field Defects</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26</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26</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N/A</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25</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8.5</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13</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Drowsiness</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N/A</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8.5</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35</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fatigue</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12</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12</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12</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6</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20</w:t>
            </w:r>
          </w:p>
        </w:tc>
      </w:tr>
      <w:tr w:rsidR="00A36EFE" w:rsidRPr="00C34982" w:rsidTr="00E86785">
        <w:tc>
          <w:tcPr>
            <w:tcW w:w="1886"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Unconsciousness</w:t>
            </w:r>
          </w:p>
        </w:tc>
        <w:tc>
          <w:tcPr>
            <w:tcW w:w="115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w:t>
            </w:r>
          </w:p>
        </w:tc>
        <w:tc>
          <w:tcPr>
            <w:tcW w:w="151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1</w:t>
            </w:r>
          </w:p>
        </w:tc>
        <w:tc>
          <w:tcPr>
            <w:tcW w:w="1120"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2</w:t>
            </w:r>
          </w:p>
        </w:tc>
        <w:tc>
          <w:tcPr>
            <w:tcW w:w="1068"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w:t>
            </w:r>
          </w:p>
        </w:tc>
        <w:tc>
          <w:tcPr>
            <w:tcW w:w="915"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w:t>
            </w:r>
          </w:p>
        </w:tc>
        <w:tc>
          <w:tcPr>
            <w:tcW w:w="1927" w:type="dxa"/>
          </w:tcPr>
          <w:p w:rsidR="00A36EFE" w:rsidRPr="00C34982" w:rsidRDefault="00A36EFE" w:rsidP="00452D35">
            <w:pPr>
              <w:pStyle w:val="Normal1"/>
              <w:spacing w:line="360" w:lineRule="auto"/>
              <w:jc w:val="center"/>
              <w:rPr>
                <w:rFonts w:ascii="Times New Roman" w:hAnsi="Times New Roman" w:cs="Times New Roman"/>
                <w:sz w:val="20"/>
                <w:szCs w:val="20"/>
              </w:rPr>
            </w:pPr>
            <w:r w:rsidRPr="00C34982">
              <w:rPr>
                <w:rFonts w:ascii="Times New Roman" w:hAnsi="Times New Roman" w:cs="Times New Roman"/>
                <w:sz w:val="20"/>
                <w:szCs w:val="20"/>
              </w:rPr>
              <w:t>-</w:t>
            </w:r>
          </w:p>
        </w:tc>
      </w:tr>
    </w:tbl>
    <w:p w:rsidR="00A36EFE" w:rsidRPr="00C34982" w:rsidRDefault="00A36EFE" w:rsidP="00C34982">
      <w:pPr>
        <w:autoSpaceDE w:val="0"/>
        <w:autoSpaceDN w:val="0"/>
        <w:adjustRightInd w:val="0"/>
        <w:spacing w:after="0" w:line="360" w:lineRule="auto"/>
        <w:jc w:val="both"/>
        <w:rPr>
          <w:b/>
          <w:bCs/>
          <w:sz w:val="20"/>
          <w:szCs w:val="20"/>
        </w:rPr>
      </w:pPr>
    </w:p>
    <w:p w:rsidR="00A36EFE" w:rsidRPr="00C34982" w:rsidRDefault="00A36EFE" w:rsidP="00C34982">
      <w:pPr>
        <w:spacing w:after="0" w:line="360" w:lineRule="auto"/>
        <w:jc w:val="both"/>
        <w:rPr>
          <w:b/>
          <w:sz w:val="20"/>
          <w:szCs w:val="20"/>
        </w:rPr>
      </w:pPr>
      <w:r w:rsidRPr="00C34982">
        <w:rPr>
          <w:b/>
          <w:sz w:val="20"/>
          <w:szCs w:val="20"/>
        </w:rPr>
        <w:t xml:space="preserve">Table </w:t>
      </w:r>
      <w:proofErr w:type="gramStart"/>
      <w:r w:rsidRPr="00C34982">
        <w:rPr>
          <w:b/>
          <w:sz w:val="20"/>
          <w:szCs w:val="20"/>
        </w:rPr>
        <w:t>4.:</w:t>
      </w:r>
      <w:proofErr w:type="gramEnd"/>
      <w:r w:rsidRPr="00C34982">
        <w:rPr>
          <w:b/>
          <w:sz w:val="20"/>
          <w:szCs w:val="20"/>
        </w:rPr>
        <w:t xml:space="preserve">- Location of </w:t>
      </w:r>
      <w:proofErr w:type="spellStart"/>
      <w:r w:rsidRPr="00C34982">
        <w:rPr>
          <w:b/>
          <w:sz w:val="20"/>
          <w:szCs w:val="20"/>
        </w:rPr>
        <w:t>Tumour</w:t>
      </w:r>
      <w:proofErr w:type="spellEnd"/>
    </w:p>
    <w:tbl>
      <w:tblPr>
        <w:tblStyle w:val="TableGrid"/>
        <w:tblW w:w="0" w:type="auto"/>
        <w:tblLook w:val="04A0" w:firstRow="1" w:lastRow="0" w:firstColumn="1" w:lastColumn="0" w:noHBand="0" w:noVBand="1"/>
      </w:tblPr>
      <w:tblGrid>
        <w:gridCol w:w="1915"/>
        <w:gridCol w:w="1915"/>
        <w:gridCol w:w="1915"/>
        <w:gridCol w:w="1915"/>
        <w:gridCol w:w="1916"/>
      </w:tblGrid>
      <w:tr w:rsidR="00A36EFE" w:rsidRPr="00C34982" w:rsidTr="00E86785">
        <w:tc>
          <w:tcPr>
            <w:tcW w:w="1915" w:type="dxa"/>
          </w:tcPr>
          <w:p w:rsidR="00A36EFE" w:rsidRPr="00C34982" w:rsidRDefault="00A36EFE" w:rsidP="00C34982">
            <w:pPr>
              <w:spacing w:line="360" w:lineRule="auto"/>
              <w:jc w:val="both"/>
              <w:rPr>
                <w:sz w:val="20"/>
                <w:szCs w:val="20"/>
              </w:rPr>
            </w:pPr>
            <w:r w:rsidRPr="00C34982">
              <w:rPr>
                <w:sz w:val="20"/>
                <w:szCs w:val="20"/>
              </w:rPr>
              <w:t xml:space="preserve">Location of </w:t>
            </w:r>
            <w:proofErr w:type="spellStart"/>
            <w:r w:rsidRPr="00C34982">
              <w:rPr>
                <w:sz w:val="20"/>
                <w:szCs w:val="20"/>
              </w:rPr>
              <w:t>Tumour</w:t>
            </w:r>
            <w:proofErr w:type="spellEnd"/>
            <w:r w:rsidRPr="00C34982">
              <w:rPr>
                <w:sz w:val="20"/>
                <w:szCs w:val="20"/>
              </w:rPr>
              <w:t xml:space="preserve"> ( Lobe/Region)</w:t>
            </w:r>
          </w:p>
        </w:tc>
        <w:tc>
          <w:tcPr>
            <w:tcW w:w="1915" w:type="dxa"/>
          </w:tcPr>
          <w:p w:rsidR="00A36EFE" w:rsidRPr="00C34982" w:rsidRDefault="00A36EFE" w:rsidP="00452D35">
            <w:pPr>
              <w:spacing w:line="360" w:lineRule="auto"/>
              <w:jc w:val="center"/>
              <w:rPr>
                <w:sz w:val="20"/>
                <w:szCs w:val="20"/>
              </w:rPr>
            </w:pPr>
            <w:r w:rsidRPr="00C34982">
              <w:rPr>
                <w:sz w:val="20"/>
                <w:szCs w:val="20"/>
              </w:rPr>
              <w:t>Our Study</w:t>
            </w:r>
          </w:p>
          <w:p w:rsidR="00A36EFE" w:rsidRPr="00C34982" w:rsidRDefault="00A36EFE" w:rsidP="00452D35">
            <w:pPr>
              <w:spacing w:line="360" w:lineRule="auto"/>
              <w:jc w:val="center"/>
              <w:rPr>
                <w:sz w:val="20"/>
                <w:szCs w:val="20"/>
              </w:rPr>
            </w:pPr>
            <w:r w:rsidRPr="00C34982">
              <w:rPr>
                <w:sz w:val="20"/>
                <w:szCs w:val="20"/>
              </w:rPr>
              <w:t>N=100 (%)</w:t>
            </w:r>
          </w:p>
        </w:tc>
        <w:tc>
          <w:tcPr>
            <w:tcW w:w="1915" w:type="dxa"/>
          </w:tcPr>
          <w:p w:rsidR="00A36EFE" w:rsidRPr="00C34982" w:rsidRDefault="00A36EFE" w:rsidP="00452D35">
            <w:pPr>
              <w:spacing w:line="360" w:lineRule="auto"/>
              <w:jc w:val="center"/>
              <w:rPr>
                <w:sz w:val="20"/>
                <w:szCs w:val="20"/>
              </w:rPr>
            </w:pPr>
            <w:proofErr w:type="spellStart"/>
            <w:r w:rsidRPr="00C34982">
              <w:rPr>
                <w:sz w:val="20"/>
                <w:szCs w:val="20"/>
              </w:rPr>
              <w:t>Jianfeng</w:t>
            </w:r>
            <w:proofErr w:type="spellEnd"/>
            <w:r w:rsidRPr="00C34982">
              <w:rPr>
                <w:sz w:val="20"/>
                <w:szCs w:val="20"/>
              </w:rPr>
              <w:t xml:space="preserve"> Liang et. </w:t>
            </w:r>
            <w:proofErr w:type="gramStart"/>
            <w:r w:rsidRPr="00C34982">
              <w:rPr>
                <w:sz w:val="20"/>
                <w:szCs w:val="20"/>
              </w:rPr>
              <w:t>al</w:t>
            </w:r>
            <w:proofErr w:type="gramEnd"/>
            <w:r w:rsidRPr="00C34982">
              <w:rPr>
                <w:sz w:val="20"/>
                <w:szCs w:val="20"/>
              </w:rPr>
              <w:t>. (%)</w:t>
            </w:r>
          </w:p>
        </w:tc>
        <w:tc>
          <w:tcPr>
            <w:tcW w:w="1915" w:type="dxa"/>
          </w:tcPr>
          <w:p w:rsidR="00A36EFE" w:rsidRPr="00C34982" w:rsidRDefault="00A36EFE" w:rsidP="00452D35">
            <w:pPr>
              <w:spacing w:line="360" w:lineRule="auto"/>
              <w:jc w:val="center"/>
              <w:rPr>
                <w:sz w:val="20"/>
                <w:szCs w:val="20"/>
              </w:rPr>
            </w:pPr>
            <w:r w:rsidRPr="00C34982">
              <w:rPr>
                <w:sz w:val="20"/>
                <w:szCs w:val="20"/>
              </w:rPr>
              <w:t>Rasmussen et.al (%)</w:t>
            </w:r>
          </w:p>
        </w:tc>
        <w:tc>
          <w:tcPr>
            <w:tcW w:w="1916" w:type="dxa"/>
          </w:tcPr>
          <w:p w:rsidR="00A36EFE" w:rsidRPr="00C34982" w:rsidRDefault="00A36EFE" w:rsidP="00452D35">
            <w:pPr>
              <w:spacing w:line="360" w:lineRule="auto"/>
              <w:jc w:val="center"/>
              <w:rPr>
                <w:sz w:val="20"/>
                <w:szCs w:val="20"/>
              </w:rPr>
            </w:pPr>
            <w:proofErr w:type="spellStart"/>
            <w:r w:rsidRPr="00C34982">
              <w:rPr>
                <w:sz w:val="20"/>
                <w:szCs w:val="20"/>
              </w:rPr>
              <w:t>Haihui</w:t>
            </w:r>
            <w:proofErr w:type="spellEnd"/>
            <w:r w:rsidRPr="00C34982">
              <w:rPr>
                <w:sz w:val="20"/>
                <w:szCs w:val="20"/>
              </w:rPr>
              <w:t xml:space="preserve"> Jiang et. </w:t>
            </w:r>
            <w:proofErr w:type="gramStart"/>
            <w:r w:rsidRPr="00C34982">
              <w:rPr>
                <w:sz w:val="20"/>
                <w:szCs w:val="20"/>
              </w:rPr>
              <w:t>al</w:t>
            </w:r>
            <w:proofErr w:type="gramEnd"/>
            <w:r w:rsidRPr="00C34982">
              <w:rPr>
                <w:sz w:val="20"/>
                <w:szCs w:val="20"/>
              </w:rPr>
              <w:t xml:space="preserve"> (%)</w:t>
            </w:r>
          </w:p>
        </w:tc>
      </w:tr>
      <w:tr w:rsidR="00A36EFE" w:rsidRPr="00C34982" w:rsidTr="00E86785">
        <w:tc>
          <w:tcPr>
            <w:tcW w:w="1915" w:type="dxa"/>
          </w:tcPr>
          <w:p w:rsidR="00A36EFE" w:rsidRPr="00C34982" w:rsidRDefault="00A36EFE" w:rsidP="00C34982">
            <w:pPr>
              <w:spacing w:line="360" w:lineRule="auto"/>
              <w:jc w:val="both"/>
              <w:rPr>
                <w:sz w:val="20"/>
                <w:szCs w:val="20"/>
              </w:rPr>
            </w:pPr>
            <w:r w:rsidRPr="00C34982">
              <w:rPr>
                <w:sz w:val="20"/>
                <w:szCs w:val="20"/>
              </w:rPr>
              <w:t>Frontal</w:t>
            </w:r>
          </w:p>
        </w:tc>
        <w:tc>
          <w:tcPr>
            <w:tcW w:w="1915" w:type="dxa"/>
          </w:tcPr>
          <w:p w:rsidR="00A36EFE" w:rsidRPr="00C34982" w:rsidRDefault="00A36EFE" w:rsidP="00452D35">
            <w:pPr>
              <w:spacing w:line="360" w:lineRule="auto"/>
              <w:jc w:val="center"/>
              <w:rPr>
                <w:sz w:val="20"/>
                <w:szCs w:val="20"/>
              </w:rPr>
            </w:pPr>
            <w:r w:rsidRPr="00C34982">
              <w:rPr>
                <w:sz w:val="20"/>
                <w:szCs w:val="20"/>
              </w:rPr>
              <w:t>36</w:t>
            </w:r>
          </w:p>
        </w:tc>
        <w:tc>
          <w:tcPr>
            <w:tcW w:w="1915" w:type="dxa"/>
          </w:tcPr>
          <w:p w:rsidR="00A36EFE" w:rsidRPr="00C34982" w:rsidRDefault="00A36EFE" w:rsidP="00452D35">
            <w:pPr>
              <w:spacing w:line="360" w:lineRule="auto"/>
              <w:jc w:val="center"/>
              <w:rPr>
                <w:sz w:val="20"/>
                <w:szCs w:val="20"/>
              </w:rPr>
            </w:pPr>
            <w:r w:rsidRPr="00C34982">
              <w:rPr>
                <w:sz w:val="20"/>
                <w:szCs w:val="20"/>
              </w:rPr>
              <w:t>47</w:t>
            </w:r>
          </w:p>
        </w:tc>
        <w:tc>
          <w:tcPr>
            <w:tcW w:w="1915" w:type="dxa"/>
          </w:tcPr>
          <w:p w:rsidR="00A36EFE" w:rsidRPr="00C34982" w:rsidRDefault="00A36EFE" w:rsidP="00452D35">
            <w:pPr>
              <w:spacing w:line="360" w:lineRule="auto"/>
              <w:jc w:val="center"/>
              <w:rPr>
                <w:sz w:val="20"/>
                <w:szCs w:val="20"/>
              </w:rPr>
            </w:pPr>
            <w:r w:rsidRPr="00C34982">
              <w:rPr>
                <w:sz w:val="20"/>
                <w:szCs w:val="20"/>
              </w:rPr>
              <w:t>36</w:t>
            </w:r>
          </w:p>
        </w:tc>
        <w:tc>
          <w:tcPr>
            <w:tcW w:w="1916" w:type="dxa"/>
          </w:tcPr>
          <w:p w:rsidR="00A36EFE" w:rsidRPr="00C34982" w:rsidRDefault="00A36EFE" w:rsidP="00452D35">
            <w:pPr>
              <w:spacing w:line="360" w:lineRule="auto"/>
              <w:jc w:val="center"/>
              <w:rPr>
                <w:sz w:val="20"/>
                <w:szCs w:val="20"/>
              </w:rPr>
            </w:pPr>
            <w:r w:rsidRPr="00C34982">
              <w:rPr>
                <w:sz w:val="20"/>
                <w:szCs w:val="20"/>
              </w:rPr>
              <w:t>26</w:t>
            </w:r>
          </w:p>
        </w:tc>
      </w:tr>
      <w:tr w:rsidR="00A36EFE" w:rsidRPr="00C34982" w:rsidTr="00E86785">
        <w:tc>
          <w:tcPr>
            <w:tcW w:w="1915" w:type="dxa"/>
          </w:tcPr>
          <w:p w:rsidR="00A36EFE" w:rsidRPr="00C34982" w:rsidRDefault="00A36EFE" w:rsidP="00C34982">
            <w:pPr>
              <w:spacing w:line="360" w:lineRule="auto"/>
              <w:jc w:val="both"/>
              <w:rPr>
                <w:sz w:val="20"/>
                <w:szCs w:val="20"/>
              </w:rPr>
            </w:pPr>
            <w:r w:rsidRPr="00C34982">
              <w:rPr>
                <w:sz w:val="20"/>
                <w:szCs w:val="20"/>
              </w:rPr>
              <w:t>Temporal</w:t>
            </w:r>
          </w:p>
        </w:tc>
        <w:tc>
          <w:tcPr>
            <w:tcW w:w="1915" w:type="dxa"/>
          </w:tcPr>
          <w:p w:rsidR="00A36EFE" w:rsidRPr="00C34982" w:rsidRDefault="00A36EFE" w:rsidP="00452D35">
            <w:pPr>
              <w:spacing w:line="360" w:lineRule="auto"/>
              <w:jc w:val="center"/>
              <w:rPr>
                <w:sz w:val="20"/>
                <w:szCs w:val="20"/>
              </w:rPr>
            </w:pPr>
            <w:r w:rsidRPr="00C34982">
              <w:rPr>
                <w:sz w:val="20"/>
                <w:szCs w:val="20"/>
              </w:rPr>
              <w:t>31</w:t>
            </w:r>
          </w:p>
        </w:tc>
        <w:tc>
          <w:tcPr>
            <w:tcW w:w="1915" w:type="dxa"/>
          </w:tcPr>
          <w:p w:rsidR="00A36EFE" w:rsidRPr="00C34982" w:rsidRDefault="00A36EFE" w:rsidP="00452D35">
            <w:pPr>
              <w:spacing w:line="360" w:lineRule="auto"/>
              <w:jc w:val="center"/>
              <w:rPr>
                <w:sz w:val="20"/>
                <w:szCs w:val="20"/>
              </w:rPr>
            </w:pPr>
            <w:r w:rsidRPr="00C34982">
              <w:rPr>
                <w:sz w:val="20"/>
                <w:szCs w:val="20"/>
              </w:rPr>
              <w:t>42</w:t>
            </w:r>
          </w:p>
        </w:tc>
        <w:tc>
          <w:tcPr>
            <w:tcW w:w="1915" w:type="dxa"/>
          </w:tcPr>
          <w:p w:rsidR="00A36EFE" w:rsidRPr="00C34982" w:rsidRDefault="00A36EFE" w:rsidP="00452D35">
            <w:pPr>
              <w:spacing w:line="360" w:lineRule="auto"/>
              <w:jc w:val="center"/>
              <w:rPr>
                <w:sz w:val="20"/>
                <w:szCs w:val="20"/>
              </w:rPr>
            </w:pPr>
            <w:r w:rsidRPr="00C34982">
              <w:rPr>
                <w:sz w:val="20"/>
                <w:szCs w:val="20"/>
              </w:rPr>
              <w:t>29</w:t>
            </w:r>
          </w:p>
        </w:tc>
        <w:tc>
          <w:tcPr>
            <w:tcW w:w="1916" w:type="dxa"/>
          </w:tcPr>
          <w:p w:rsidR="00A36EFE" w:rsidRPr="00C34982" w:rsidRDefault="00A36EFE" w:rsidP="00452D35">
            <w:pPr>
              <w:spacing w:line="360" w:lineRule="auto"/>
              <w:jc w:val="center"/>
              <w:rPr>
                <w:sz w:val="20"/>
                <w:szCs w:val="20"/>
              </w:rPr>
            </w:pPr>
            <w:r w:rsidRPr="00C34982">
              <w:rPr>
                <w:sz w:val="20"/>
                <w:szCs w:val="20"/>
              </w:rPr>
              <w:t>30</w:t>
            </w:r>
          </w:p>
        </w:tc>
      </w:tr>
      <w:tr w:rsidR="00A36EFE" w:rsidRPr="00C34982" w:rsidTr="00E86785">
        <w:tc>
          <w:tcPr>
            <w:tcW w:w="1915" w:type="dxa"/>
          </w:tcPr>
          <w:p w:rsidR="00A36EFE" w:rsidRPr="00C34982" w:rsidRDefault="00A36EFE" w:rsidP="00C34982">
            <w:pPr>
              <w:spacing w:line="360" w:lineRule="auto"/>
              <w:jc w:val="both"/>
              <w:rPr>
                <w:sz w:val="20"/>
                <w:szCs w:val="20"/>
              </w:rPr>
            </w:pPr>
            <w:r w:rsidRPr="00C34982">
              <w:rPr>
                <w:sz w:val="20"/>
                <w:szCs w:val="20"/>
              </w:rPr>
              <w:t>Parietal</w:t>
            </w:r>
          </w:p>
        </w:tc>
        <w:tc>
          <w:tcPr>
            <w:tcW w:w="1915" w:type="dxa"/>
          </w:tcPr>
          <w:p w:rsidR="00A36EFE" w:rsidRPr="00C34982" w:rsidRDefault="00A36EFE" w:rsidP="00452D35">
            <w:pPr>
              <w:spacing w:line="360" w:lineRule="auto"/>
              <w:jc w:val="center"/>
              <w:rPr>
                <w:sz w:val="20"/>
                <w:szCs w:val="20"/>
              </w:rPr>
            </w:pPr>
            <w:r w:rsidRPr="00C34982">
              <w:rPr>
                <w:sz w:val="20"/>
                <w:szCs w:val="20"/>
              </w:rPr>
              <w:t>24</w:t>
            </w:r>
          </w:p>
        </w:tc>
        <w:tc>
          <w:tcPr>
            <w:tcW w:w="1915" w:type="dxa"/>
          </w:tcPr>
          <w:p w:rsidR="00A36EFE" w:rsidRPr="00C34982" w:rsidRDefault="00A36EFE" w:rsidP="00452D35">
            <w:pPr>
              <w:spacing w:line="360" w:lineRule="auto"/>
              <w:jc w:val="center"/>
              <w:rPr>
                <w:sz w:val="20"/>
                <w:szCs w:val="20"/>
              </w:rPr>
            </w:pPr>
            <w:r w:rsidRPr="00C34982">
              <w:rPr>
                <w:sz w:val="20"/>
                <w:szCs w:val="20"/>
              </w:rPr>
              <w:t>4</w:t>
            </w:r>
          </w:p>
        </w:tc>
        <w:tc>
          <w:tcPr>
            <w:tcW w:w="1915" w:type="dxa"/>
          </w:tcPr>
          <w:p w:rsidR="00A36EFE" w:rsidRPr="00C34982" w:rsidRDefault="00A36EFE" w:rsidP="00452D35">
            <w:pPr>
              <w:spacing w:line="360" w:lineRule="auto"/>
              <w:jc w:val="center"/>
              <w:rPr>
                <w:sz w:val="20"/>
                <w:szCs w:val="20"/>
              </w:rPr>
            </w:pPr>
            <w:r w:rsidRPr="00C34982">
              <w:rPr>
                <w:sz w:val="20"/>
                <w:szCs w:val="20"/>
              </w:rPr>
              <w:t>17</w:t>
            </w:r>
          </w:p>
        </w:tc>
        <w:tc>
          <w:tcPr>
            <w:tcW w:w="1916" w:type="dxa"/>
          </w:tcPr>
          <w:p w:rsidR="00A36EFE" w:rsidRPr="00C34982" w:rsidRDefault="00A36EFE" w:rsidP="00452D35">
            <w:pPr>
              <w:spacing w:line="360" w:lineRule="auto"/>
              <w:jc w:val="center"/>
              <w:rPr>
                <w:sz w:val="20"/>
                <w:szCs w:val="20"/>
              </w:rPr>
            </w:pPr>
            <w:r w:rsidRPr="00C34982">
              <w:rPr>
                <w:sz w:val="20"/>
                <w:szCs w:val="20"/>
              </w:rPr>
              <w:t>10</w:t>
            </w:r>
          </w:p>
        </w:tc>
      </w:tr>
      <w:tr w:rsidR="00A36EFE" w:rsidRPr="00C34982" w:rsidTr="00E86785">
        <w:tc>
          <w:tcPr>
            <w:tcW w:w="1915" w:type="dxa"/>
          </w:tcPr>
          <w:p w:rsidR="00A36EFE" w:rsidRPr="00C34982" w:rsidRDefault="00A36EFE" w:rsidP="00C34982">
            <w:pPr>
              <w:spacing w:line="360" w:lineRule="auto"/>
              <w:jc w:val="both"/>
              <w:rPr>
                <w:sz w:val="20"/>
                <w:szCs w:val="20"/>
              </w:rPr>
            </w:pPr>
            <w:r w:rsidRPr="00C34982">
              <w:rPr>
                <w:sz w:val="20"/>
                <w:szCs w:val="20"/>
              </w:rPr>
              <w:t xml:space="preserve">Others ( Occipital </w:t>
            </w:r>
            <w:proofErr w:type="spellStart"/>
            <w:r w:rsidRPr="00C34982">
              <w:rPr>
                <w:sz w:val="20"/>
                <w:szCs w:val="20"/>
              </w:rPr>
              <w:t>Insular,Perisylvian</w:t>
            </w:r>
            <w:proofErr w:type="spellEnd"/>
            <w:r w:rsidRPr="00C34982">
              <w:rPr>
                <w:sz w:val="20"/>
                <w:szCs w:val="20"/>
              </w:rPr>
              <w:t xml:space="preserve"> Cortex</w:t>
            </w:r>
          </w:p>
        </w:tc>
        <w:tc>
          <w:tcPr>
            <w:tcW w:w="1915" w:type="dxa"/>
          </w:tcPr>
          <w:p w:rsidR="00A36EFE" w:rsidRPr="00C34982" w:rsidRDefault="00A36EFE" w:rsidP="00452D35">
            <w:pPr>
              <w:spacing w:line="360" w:lineRule="auto"/>
              <w:jc w:val="center"/>
              <w:rPr>
                <w:sz w:val="20"/>
                <w:szCs w:val="20"/>
              </w:rPr>
            </w:pPr>
            <w:r w:rsidRPr="00C34982">
              <w:rPr>
                <w:sz w:val="20"/>
                <w:szCs w:val="20"/>
              </w:rPr>
              <w:t>9</w:t>
            </w:r>
          </w:p>
        </w:tc>
        <w:tc>
          <w:tcPr>
            <w:tcW w:w="1915" w:type="dxa"/>
          </w:tcPr>
          <w:p w:rsidR="00A36EFE" w:rsidRPr="00C34982" w:rsidRDefault="00A36EFE" w:rsidP="00452D35">
            <w:pPr>
              <w:spacing w:line="360" w:lineRule="auto"/>
              <w:jc w:val="center"/>
              <w:rPr>
                <w:sz w:val="20"/>
                <w:szCs w:val="20"/>
              </w:rPr>
            </w:pPr>
            <w:r w:rsidRPr="00C34982">
              <w:rPr>
                <w:sz w:val="20"/>
                <w:szCs w:val="20"/>
              </w:rPr>
              <w:t>7</w:t>
            </w:r>
          </w:p>
        </w:tc>
        <w:tc>
          <w:tcPr>
            <w:tcW w:w="1915" w:type="dxa"/>
          </w:tcPr>
          <w:p w:rsidR="00A36EFE" w:rsidRPr="00C34982" w:rsidRDefault="00A36EFE" w:rsidP="00452D35">
            <w:pPr>
              <w:spacing w:line="360" w:lineRule="auto"/>
              <w:jc w:val="center"/>
              <w:rPr>
                <w:sz w:val="20"/>
                <w:szCs w:val="20"/>
              </w:rPr>
            </w:pPr>
            <w:r w:rsidRPr="00C34982">
              <w:rPr>
                <w:sz w:val="20"/>
                <w:szCs w:val="20"/>
              </w:rPr>
              <w:t>19</w:t>
            </w:r>
          </w:p>
        </w:tc>
        <w:tc>
          <w:tcPr>
            <w:tcW w:w="1916" w:type="dxa"/>
          </w:tcPr>
          <w:p w:rsidR="00A36EFE" w:rsidRPr="00C34982" w:rsidRDefault="00A36EFE" w:rsidP="00452D35">
            <w:pPr>
              <w:spacing w:line="360" w:lineRule="auto"/>
              <w:jc w:val="center"/>
              <w:rPr>
                <w:sz w:val="20"/>
                <w:szCs w:val="20"/>
              </w:rPr>
            </w:pPr>
            <w:r w:rsidRPr="00C34982">
              <w:rPr>
                <w:sz w:val="20"/>
                <w:szCs w:val="20"/>
              </w:rPr>
              <w:t>34</w:t>
            </w:r>
          </w:p>
        </w:tc>
      </w:tr>
    </w:tbl>
    <w:p w:rsidR="00452D35" w:rsidRDefault="00452D35" w:rsidP="00C34982">
      <w:pPr>
        <w:spacing w:after="0" w:line="360" w:lineRule="auto"/>
        <w:jc w:val="both"/>
        <w:rPr>
          <w:b/>
          <w:sz w:val="20"/>
          <w:szCs w:val="20"/>
        </w:rPr>
      </w:pPr>
    </w:p>
    <w:p w:rsidR="00452D35" w:rsidRDefault="00452D35" w:rsidP="00C34982">
      <w:pPr>
        <w:spacing w:after="0" w:line="360" w:lineRule="auto"/>
        <w:jc w:val="both"/>
        <w:rPr>
          <w:b/>
          <w:sz w:val="20"/>
          <w:szCs w:val="20"/>
        </w:rPr>
      </w:pPr>
    </w:p>
    <w:p w:rsidR="00452D35" w:rsidRDefault="00452D35" w:rsidP="00C34982">
      <w:pPr>
        <w:spacing w:after="0" w:line="360" w:lineRule="auto"/>
        <w:jc w:val="both"/>
        <w:rPr>
          <w:b/>
          <w:sz w:val="20"/>
          <w:szCs w:val="20"/>
        </w:rPr>
      </w:pPr>
    </w:p>
    <w:p w:rsidR="00452D35" w:rsidRDefault="00452D35" w:rsidP="00C34982">
      <w:pPr>
        <w:spacing w:after="0" w:line="360" w:lineRule="auto"/>
        <w:jc w:val="both"/>
        <w:rPr>
          <w:b/>
          <w:sz w:val="20"/>
          <w:szCs w:val="20"/>
        </w:rPr>
      </w:pPr>
    </w:p>
    <w:p w:rsidR="00452D35" w:rsidRDefault="00452D35" w:rsidP="00C34982">
      <w:pPr>
        <w:spacing w:after="0" w:line="360" w:lineRule="auto"/>
        <w:jc w:val="both"/>
        <w:rPr>
          <w:b/>
          <w:sz w:val="20"/>
          <w:szCs w:val="20"/>
        </w:rPr>
      </w:pPr>
    </w:p>
    <w:p w:rsidR="00452D35" w:rsidRDefault="00452D35" w:rsidP="00C34982">
      <w:pPr>
        <w:spacing w:after="0" w:line="360" w:lineRule="auto"/>
        <w:jc w:val="both"/>
        <w:rPr>
          <w:b/>
          <w:sz w:val="20"/>
          <w:szCs w:val="20"/>
        </w:rPr>
      </w:pPr>
    </w:p>
    <w:p w:rsidR="00452D35" w:rsidRDefault="00452D35" w:rsidP="00C34982">
      <w:pPr>
        <w:spacing w:after="0" w:line="360" w:lineRule="auto"/>
        <w:jc w:val="both"/>
        <w:rPr>
          <w:b/>
          <w:sz w:val="20"/>
          <w:szCs w:val="20"/>
        </w:rPr>
      </w:pPr>
    </w:p>
    <w:p w:rsidR="00452D35" w:rsidRDefault="00452D35" w:rsidP="00C34982">
      <w:pPr>
        <w:spacing w:after="0" w:line="360" w:lineRule="auto"/>
        <w:jc w:val="both"/>
        <w:rPr>
          <w:b/>
          <w:sz w:val="20"/>
          <w:szCs w:val="20"/>
        </w:rPr>
      </w:pPr>
    </w:p>
    <w:p w:rsidR="00A36EFE" w:rsidRPr="00C34982" w:rsidRDefault="00A36EFE" w:rsidP="00C34982">
      <w:pPr>
        <w:spacing w:after="0" w:line="360" w:lineRule="auto"/>
        <w:jc w:val="both"/>
        <w:rPr>
          <w:b/>
          <w:sz w:val="20"/>
          <w:szCs w:val="20"/>
        </w:rPr>
      </w:pPr>
      <w:r w:rsidRPr="00C34982">
        <w:rPr>
          <w:b/>
          <w:sz w:val="20"/>
          <w:szCs w:val="20"/>
        </w:rPr>
        <w:t xml:space="preserve">Table 5: Histology of </w:t>
      </w:r>
      <w:proofErr w:type="spellStart"/>
      <w:r w:rsidRPr="00C34982">
        <w:rPr>
          <w:b/>
          <w:sz w:val="20"/>
          <w:szCs w:val="20"/>
        </w:rPr>
        <w:t>Tumour</w:t>
      </w:r>
      <w:proofErr w:type="spellEnd"/>
    </w:p>
    <w:tbl>
      <w:tblPr>
        <w:tblStyle w:val="TableGrid"/>
        <w:tblW w:w="0" w:type="auto"/>
        <w:tblLook w:val="04A0" w:firstRow="1" w:lastRow="0" w:firstColumn="1" w:lastColumn="0" w:noHBand="0" w:noVBand="1"/>
      </w:tblPr>
      <w:tblGrid>
        <w:gridCol w:w="3218"/>
        <w:gridCol w:w="1507"/>
        <w:gridCol w:w="1504"/>
        <w:gridCol w:w="1466"/>
        <w:gridCol w:w="1513"/>
      </w:tblGrid>
      <w:tr w:rsidR="00A36EFE" w:rsidRPr="00C34982" w:rsidTr="00E86785">
        <w:tc>
          <w:tcPr>
            <w:tcW w:w="3218" w:type="dxa"/>
          </w:tcPr>
          <w:p w:rsidR="00A36EFE" w:rsidRPr="00C34982" w:rsidRDefault="00A36EFE" w:rsidP="00C34982">
            <w:pPr>
              <w:spacing w:line="360" w:lineRule="auto"/>
              <w:jc w:val="both"/>
              <w:rPr>
                <w:sz w:val="20"/>
                <w:szCs w:val="20"/>
              </w:rPr>
            </w:pPr>
            <w:r w:rsidRPr="00C34982">
              <w:rPr>
                <w:sz w:val="20"/>
                <w:szCs w:val="20"/>
              </w:rPr>
              <w:t xml:space="preserve">Histology of </w:t>
            </w:r>
            <w:proofErr w:type="spellStart"/>
            <w:r w:rsidRPr="00C34982">
              <w:rPr>
                <w:sz w:val="20"/>
                <w:szCs w:val="20"/>
              </w:rPr>
              <w:t>Tumour</w:t>
            </w:r>
            <w:proofErr w:type="spellEnd"/>
          </w:p>
        </w:tc>
        <w:tc>
          <w:tcPr>
            <w:tcW w:w="1507" w:type="dxa"/>
          </w:tcPr>
          <w:p w:rsidR="00A36EFE" w:rsidRPr="00C34982" w:rsidRDefault="00A36EFE" w:rsidP="00C34982">
            <w:pPr>
              <w:spacing w:line="360" w:lineRule="auto"/>
              <w:jc w:val="both"/>
              <w:rPr>
                <w:sz w:val="20"/>
                <w:szCs w:val="20"/>
              </w:rPr>
            </w:pPr>
            <w:r w:rsidRPr="00C34982">
              <w:rPr>
                <w:sz w:val="20"/>
                <w:szCs w:val="20"/>
              </w:rPr>
              <w:t>Our Study</w:t>
            </w:r>
          </w:p>
          <w:p w:rsidR="00A36EFE" w:rsidRPr="00C34982" w:rsidRDefault="00A36EFE" w:rsidP="00C34982">
            <w:pPr>
              <w:spacing w:line="360" w:lineRule="auto"/>
              <w:jc w:val="both"/>
              <w:rPr>
                <w:sz w:val="20"/>
                <w:szCs w:val="20"/>
              </w:rPr>
            </w:pPr>
            <w:r w:rsidRPr="00C34982">
              <w:rPr>
                <w:sz w:val="20"/>
                <w:szCs w:val="20"/>
              </w:rPr>
              <w:t>(N=100)</w:t>
            </w:r>
          </w:p>
        </w:tc>
        <w:tc>
          <w:tcPr>
            <w:tcW w:w="1504" w:type="dxa"/>
          </w:tcPr>
          <w:p w:rsidR="00A36EFE" w:rsidRPr="00C34982" w:rsidRDefault="00A36EFE" w:rsidP="00C34982">
            <w:pPr>
              <w:spacing w:line="360" w:lineRule="auto"/>
              <w:jc w:val="both"/>
              <w:rPr>
                <w:sz w:val="20"/>
                <w:szCs w:val="20"/>
              </w:rPr>
            </w:pPr>
            <w:r w:rsidRPr="00C34982">
              <w:rPr>
                <w:sz w:val="20"/>
                <w:szCs w:val="20"/>
              </w:rPr>
              <w:t xml:space="preserve">Julian </w:t>
            </w:r>
            <w:proofErr w:type="spellStart"/>
            <w:r w:rsidRPr="00C34982">
              <w:rPr>
                <w:sz w:val="20"/>
                <w:szCs w:val="20"/>
              </w:rPr>
              <w:t>Spitaels</w:t>
            </w:r>
            <w:proofErr w:type="spellEnd"/>
            <w:r w:rsidRPr="00C34982">
              <w:rPr>
                <w:sz w:val="20"/>
                <w:szCs w:val="20"/>
              </w:rPr>
              <w:t xml:space="preserve"> et al (N=35)</w:t>
            </w:r>
          </w:p>
        </w:tc>
        <w:tc>
          <w:tcPr>
            <w:tcW w:w="1466" w:type="dxa"/>
          </w:tcPr>
          <w:p w:rsidR="00A36EFE" w:rsidRPr="00C34982" w:rsidRDefault="00A36EFE" w:rsidP="00C34982">
            <w:pPr>
              <w:spacing w:line="360" w:lineRule="auto"/>
              <w:jc w:val="both"/>
              <w:rPr>
                <w:sz w:val="20"/>
                <w:szCs w:val="20"/>
              </w:rPr>
            </w:pPr>
            <w:r w:rsidRPr="00C34982">
              <w:rPr>
                <w:sz w:val="20"/>
                <w:szCs w:val="20"/>
              </w:rPr>
              <w:t>Edgar Shaw et. al</w:t>
            </w:r>
          </w:p>
          <w:p w:rsidR="00A36EFE" w:rsidRPr="00C34982" w:rsidRDefault="00A36EFE" w:rsidP="00C34982">
            <w:pPr>
              <w:spacing w:line="360" w:lineRule="auto"/>
              <w:jc w:val="both"/>
              <w:rPr>
                <w:sz w:val="20"/>
                <w:szCs w:val="20"/>
              </w:rPr>
            </w:pPr>
            <w:r w:rsidRPr="00C34982">
              <w:rPr>
                <w:sz w:val="20"/>
                <w:szCs w:val="20"/>
              </w:rPr>
              <w:t>(N=514)</w:t>
            </w:r>
          </w:p>
        </w:tc>
        <w:tc>
          <w:tcPr>
            <w:tcW w:w="1513" w:type="dxa"/>
          </w:tcPr>
          <w:p w:rsidR="00A36EFE" w:rsidRPr="00C34982" w:rsidRDefault="00A36EFE" w:rsidP="00C34982">
            <w:pPr>
              <w:spacing w:line="360" w:lineRule="auto"/>
              <w:jc w:val="both"/>
              <w:rPr>
                <w:sz w:val="20"/>
                <w:szCs w:val="20"/>
              </w:rPr>
            </w:pPr>
            <w:proofErr w:type="spellStart"/>
            <w:r w:rsidRPr="00C34982">
              <w:rPr>
                <w:sz w:val="20"/>
                <w:szCs w:val="20"/>
              </w:rPr>
              <w:t>Jianfeng</w:t>
            </w:r>
            <w:proofErr w:type="spellEnd"/>
            <w:r w:rsidRPr="00C34982">
              <w:rPr>
                <w:sz w:val="20"/>
                <w:szCs w:val="20"/>
              </w:rPr>
              <w:t xml:space="preserve"> et. al (N=335)</w:t>
            </w:r>
          </w:p>
        </w:tc>
      </w:tr>
      <w:tr w:rsidR="00A36EFE" w:rsidRPr="00C34982" w:rsidTr="00E86785">
        <w:tc>
          <w:tcPr>
            <w:tcW w:w="3218" w:type="dxa"/>
          </w:tcPr>
          <w:p w:rsidR="00A36EFE" w:rsidRPr="00C34982" w:rsidRDefault="00A36EFE" w:rsidP="00C34982">
            <w:pPr>
              <w:spacing w:line="360" w:lineRule="auto"/>
              <w:jc w:val="both"/>
              <w:rPr>
                <w:sz w:val="20"/>
                <w:szCs w:val="20"/>
              </w:rPr>
            </w:pPr>
            <w:proofErr w:type="spellStart"/>
            <w:r w:rsidRPr="00C34982">
              <w:rPr>
                <w:sz w:val="20"/>
                <w:szCs w:val="20"/>
              </w:rPr>
              <w:t>Pilocytic</w:t>
            </w:r>
            <w:proofErr w:type="spellEnd"/>
            <w:r w:rsidRPr="00C34982">
              <w:rPr>
                <w:sz w:val="20"/>
                <w:szCs w:val="20"/>
              </w:rPr>
              <w:t xml:space="preserve"> Astrocytoma</w:t>
            </w:r>
          </w:p>
        </w:tc>
        <w:tc>
          <w:tcPr>
            <w:tcW w:w="1507" w:type="dxa"/>
          </w:tcPr>
          <w:p w:rsidR="00A36EFE" w:rsidRPr="00C34982" w:rsidRDefault="00A36EFE" w:rsidP="00C34982">
            <w:pPr>
              <w:spacing w:line="360" w:lineRule="auto"/>
              <w:jc w:val="both"/>
              <w:rPr>
                <w:sz w:val="20"/>
                <w:szCs w:val="20"/>
              </w:rPr>
            </w:pPr>
            <w:r w:rsidRPr="00C34982">
              <w:rPr>
                <w:sz w:val="20"/>
                <w:szCs w:val="20"/>
              </w:rPr>
              <w:t>16</w:t>
            </w:r>
          </w:p>
        </w:tc>
        <w:tc>
          <w:tcPr>
            <w:tcW w:w="1504" w:type="dxa"/>
          </w:tcPr>
          <w:p w:rsidR="00A36EFE" w:rsidRPr="00C34982" w:rsidRDefault="00A36EFE" w:rsidP="00C34982">
            <w:pPr>
              <w:spacing w:line="360" w:lineRule="auto"/>
              <w:jc w:val="both"/>
              <w:rPr>
                <w:sz w:val="20"/>
                <w:szCs w:val="20"/>
              </w:rPr>
            </w:pPr>
            <w:r w:rsidRPr="00C34982">
              <w:rPr>
                <w:sz w:val="20"/>
                <w:szCs w:val="20"/>
              </w:rPr>
              <w:t>7</w:t>
            </w:r>
          </w:p>
        </w:tc>
        <w:tc>
          <w:tcPr>
            <w:tcW w:w="1466" w:type="dxa"/>
          </w:tcPr>
          <w:p w:rsidR="00A36EFE" w:rsidRPr="00C34982" w:rsidRDefault="00A36EFE" w:rsidP="00C34982">
            <w:pPr>
              <w:spacing w:line="360" w:lineRule="auto"/>
              <w:jc w:val="both"/>
              <w:rPr>
                <w:sz w:val="20"/>
                <w:szCs w:val="20"/>
              </w:rPr>
            </w:pPr>
            <w:r w:rsidRPr="00C34982">
              <w:rPr>
                <w:sz w:val="20"/>
                <w:szCs w:val="20"/>
              </w:rPr>
              <w:t>131</w:t>
            </w:r>
          </w:p>
        </w:tc>
        <w:tc>
          <w:tcPr>
            <w:tcW w:w="1513" w:type="dxa"/>
          </w:tcPr>
          <w:p w:rsidR="00A36EFE" w:rsidRPr="00C34982" w:rsidRDefault="00A36EFE" w:rsidP="00C34982">
            <w:pPr>
              <w:spacing w:line="360" w:lineRule="auto"/>
              <w:jc w:val="both"/>
              <w:rPr>
                <w:sz w:val="20"/>
                <w:szCs w:val="20"/>
              </w:rPr>
            </w:pPr>
            <w:r w:rsidRPr="00C34982">
              <w:rPr>
                <w:sz w:val="20"/>
                <w:szCs w:val="20"/>
              </w:rPr>
              <w:t>23</w:t>
            </w:r>
          </w:p>
        </w:tc>
      </w:tr>
      <w:tr w:rsidR="00A36EFE" w:rsidRPr="00C34982" w:rsidTr="00E86785">
        <w:tc>
          <w:tcPr>
            <w:tcW w:w="3218" w:type="dxa"/>
          </w:tcPr>
          <w:p w:rsidR="00A36EFE" w:rsidRPr="00C34982" w:rsidRDefault="00A36EFE" w:rsidP="00C34982">
            <w:pPr>
              <w:spacing w:line="360" w:lineRule="auto"/>
              <w:jc w:val="both"/>
              <w:rPr>
                <w:sz w:val="20"/>
                <w:szCs w:val="20"/>
              </w:rPr>
            </w:pPr>
            <w:r w:rsidRPr="00C34982">
              <w:rPr>
                <w:sz w:val="20"/>
                <w:szCs w:val="20"/>
              </w:rPr>
              <w:t>Anaplastic Astrocytoma</w:t>
            </w:r>
          </w:p>
        </w:tc>
        <w:tc>
          <w:tcPr>
            <w:tcW w:w="1507" w:type="dxa"/>
          </w:tcPr>
          <w:p w:rsidR="00A36EFE" w:rsidRPr="00C34982" w:rsidRDefault="00A36EFE" w:rsidP="00C34982">
            <w:pPr>
              <w:spacing w:line="360" w:lineRule="auto"/>
              <w:jc w:val="both"/>
              <w:rPr>
                <w:sz w:val="20"/>
                <w:szCs w:val="20"/>
              </w:rPr>
            </w:pPr>
            <w:r w:rsidRPr="00C34982">
              <w:rPr>
                <w:sz w:val="20"/>
                <w:szCs w:val="20"/>
              </w:rPr>
              <w:t>6</w:t>
            </w:r>
          </w:p>
        </w:tc>
        <w:tc>
          <w:tcPr>
            <w:tcW w:w="1504" w:type="dxa"/>
          </w:tcPr>
          <w:p w:rsidR="00A36EFE" w:rsidRPr="00C34982" w:rsidRDefault="00A36EFE" w:rsidP="00C34982">
            <w:pPr>
              <w:spacing w:line="360" w:lineRule="auto"/>
              <w:jc w:val="both"/>
              <w:rPr>
                <w:sz w:val="20"/>
                <w:szCs w:val="20"/>
              </w:rPr>
            </w:pPr>
            <w:r w:rsidRPr="00C34982">
              <w:rPr>
                <w:sz w:val="20"/>
                <w:szCs w:val="20"/>
              </w:rPr>
              <w:t>-</w:t>
            </w:r>
          </w:p>
        </w:tc>
        <w:tc>
          <w:tcPr>
            <w:tcW w:w="1466" w:type="dxa"/>
          </w:tcPr>
          <w:p w:rsidR="00A36EFE" w:rsidRPr="00C34982" w:rsidRDefault="00A36EFE" w:rsidP="00C34982">
            <w:pPr>
              <w:spacing w:line="360" w:lineRule="auto"/>
              <w:jc w:val="both"/>
              <w:rPr>
                <w:sz w:val="20"/>
                <w:szCs w:val="20"/>
              </w:rPr>
            </w:pPr>
            <w:r w:rsidRPr="00C34982">
              <w:rPr>
                <w:sz w:val="20"/>
                <w:szCs w:val="20"/>
              </w:rPr>
              <w:t>230</w:t>
            </w:r>
          </w:p>
        </w:tc>
        <w:tc>
          <w:tcPr>
            <w:tcW w:w="1513" w:type="dxa"/>
          </w:tcPr>
          <w:p w:rsidR="00A36EFE" w:rsidRPr="00C34982" w:rsidRDefault="00A36EFE" w:rsidP="00C34982">
            <w:pPr>
              <w:spacing w:line="360" w:lineRule="auto"/>
              <w:jc w:val="both"/>
              <w:rPr>
                <w:sz w:val="20"/>
                <w:szCs w:val="20"/>
              </w:rPr>
            </w:pPr>
            <w:r w:rsidRPr="00C34982">
              <w:rPr>
                <w:sz w:val="20"/>
                <w:szCs w:val="20"/>
              </w:rPr>
              <w:t>21</w:t>
            </w:r>
          </w:p>
        </w:tc>
      </w:tr>
      <w:tr w:rsidR="00A36EFE" w:rsidRPr="00C34982" w:rsidTr="00E86785">
        <w:tc>
          <w:tcPr>
            <w:tcW w:w="3218" w:type="dxa"/>
          </w:tcPr>
          <w:p w:rsidR="00A36EFE" w:rsidRPr="00C34982" w:rsidRDefault="00A36EFE" w:rsidP="00C34982">
            <w:pPr>
              <w:spacing w:line="360" w:lineRule="auto"/>
              <w:jc w:val="both"/>
              <w:rPr>
                <w:sz w:val="20"/>
                <w:szCs w:val="20"/>
              </w:rPr>
            </w:pPr>
            <w:r w:rsidRPr="00C34982">
              <w:rPr>
                <w:sz w:val="20"/>
                <w:szCs w:val="20"/>
              </w:rPr>
              <w:t xml:space="preserve">Low grade </w:t>
            </w:r>
            <w:proofErr w:type="spellStart"/>
            <w:r w:rsidRPr="00C34982">
              <w:rPr>
                <w:sz w:val="20"/>
                <w:szCs w:val="20"/>
              </w:rPr>
              <w:t>OligoAstrocytoma</w:t>
            </w:r>
            <w:proofErr w:type="spellEnd"/>
          </w:p>
        </w:tc>
        <w:tc>
          <w:tcPr>
            <w:tcW w:w="1507" w:type="dxa"/>
          </w:tcPr>
          <w:p w:rsidR="00A36EFE" w:rsidRPr="00C34982" w:rsidRDefault="00A36EFE" w:rsidP="00C34982">
            <w:pPr>
              <w:spacing w:line="360" w:lineRule="auto"/>
              <w:jc w:val="both"/>
              <w:rPr>
                <w:sz w:val="20"/>
                <w:szCs w:val="20"/>
              </w:rPr>
            </w:pPr>
            <w:r w:rsidRPr="00C34982">
              <w:rPr>
                <w:sz w:val="20"/>
                <w:szCs w:val="20"/>
              </w:rPr>
              <w:t>9</w:t>
            </w:r>
          </w:p>
        </w:tc>
        <w:tc>
          <w:tcPr>
            <w:tcW w:w="1504" w:type="dxa"/>
          </w:tcPr>
          <w:p w:rsidR="00A36EFE" w:rsidRPr="00C34982" w:rsidRDefault="00A36EFE" w:rsidP="00C34982">
            <w:pPr>
              <w:spacing w:line="360" w:lineRule="auto"/>
              <w:jc w:val="both"/>
              <w:rPr>
                <w:sz w:val="20"/>
                <w:szCs w:val="20"/>
              </w:rPr>
            </w:pPr>
            <w:r w:rsidRPr="00C34982">
              <w:rPr>
                <w:sz w:val="20"/>
                <w:szCs w:val="20"/>
              </w:rPr>
              <w:t>6</w:t>
            </w:r>
          </w:p>
        </w:tc>
        <w:tc>
          <w:tcPr>
            <w:tcW w:w="1466" w:type="dxa"/>
          </w:tcPr>
          <w:p w:rsidR="00A36EFE" w:rsidRPr="00C34982" w:rsidRDefault="00A36EFE" w:rsidP="00C34982">
            <w:pPr>
              <w:spacing w:line="360" w:lineRule="auto"/>
              <w:jc w:val="both"/>
              <w:rPr>
                <w:sz w:val="20"/>
                <w:szCs w:val="20"/>
              </w:rPr>
            </w:pPr>
            <w:r w:rsidRPr="00C34982">
              <w:rPr>
                <w:sz w:val="20"/>
                <w:szCs w:val="20"/>
              </w:rPr>
              <w:t>71</w:t>
            </w:r>
          </w:p>
        </w:tc>
        <w:tc>
          <w:tcPr>
            <w:tcW w:w="1513" w:type="dxa"/>
          </w:tcPr>
          <w:p w:rsidR="00A36EFE" w:rsidRPr="00C34982" w:rsidRDefault="00A36EFE" w:rsidP="00C34982">
            <w:pPr>
              <w:spacing w:line="360" w:lineRule="auto"/>
              <w:jc w:val="both"/>
              <w:rPr>
                <w:sz w:val="20"/>
                <w:szCs w:val="20"/>
              </w:rPr>
            </w:pPr>
            <w:r w:rsidRPr="00C34982">
              <w:rPr>
                <w:sz w:val="20"/>
                <w:szCs w:val="20"/>
              </w:rPr>
              <w:t>32</w:t>
            </w:r>
          </w:p>
        </w:tc>
      </w:tr>
      <w:tr w:rsidR="00A36EFE" w:rsidRPr="00C34982" w:rsidTr="00E86785">
        <w:tc>
          <w:tcPr>
            <w:tcW w:w="3218" w:type="dxa"/>
          </w:tcPr>
          <w:p w:rsidR="00A36EFE" w:rsidRPr="00C34982" w:rsidRDefault="00A36EFE" w:rsidP="00C34982">
            <w:pPr>
              <w:spacing w:line="360" w:lineRule="auto"/>
              <w:jc w:val="both"/>
              <w:rPr>
                <w:sz w:val="20"/>
                <w:szCs w:val="20"/>
              </w:rPr>
            </w:pPr>
            <w:r w:rsidRPr="00C34982">
              <w:rPr>
                <w:sz w:val="20"/>
                <w:szCs w:val="20"/>
              </w:rPr>
              <w:t xml:space="preserve">Anaplastic </w:t>
            </w:r>
            <w:proofErr w:type="spellStart"/>
            <w:r w:rsidRPr="00C34982">
              <w:rPr>
                <w:sz w:val="20"/>
                <w:szCs w:val="20"/>
              </w:rPr>
              <w:t>Oligodendroglioma</w:t>
            </w:r>
            <w:proofErr w:type="spellEnd"/>
          </w:p>
        </w:tc>
        <w:tc>
          <w:tcPr>
            <w:tcW w:w="1507" w:type="dxa"/>
          </w:tcPr>
          <w:p w:rsidR="00A36EFE" w:rsidRPr="00C34982" w:rsidRDefault="00A36EFE" w:rsidP="00C34982">
            <w:pPr>
              <w:spacing w:line="360" w:lineRule="auto"/>
              <w:jc w:val="both"/>
              <w:rPr>
                <w:sz w:val="20"/>
                <w:szCs w:val="20"/>
              </w:rPr>
            </w:pPr>
            <w:r w:rsidRPr="00C34982">
              <w:rPr>
                <w:sz w:val="20"/>
                <w:szCs w:val="20"/>
              </w:rPr>
              <w:t>14</w:t>
            </w:r>
          </w:p>
        </w:tc>
        <w:tc>
          <w:tcPr>
            <w:tcW w:w="1504" w:type="dxa"/>
          </w:tcPr>
          <w:p w:rsidR="00A36EFE" w:rsidRPr="00C34982" w:rsidRDefault="00A36EFE" w:rsidP="00C34982">
            <w:pPr>
              <w:spacing w:line="360" w:lineRule="auto"/>
              <w:jc w:val="both"/>
              <w:rPr>
                <w:sz w:val="20"/>
                <w:szCs w:val="20"/>
              </w:rPr>
            </w:pPr>
            <w:r w:rsidRPr="00C34982">
              <w:rPr>
                <w:sz w:val="20"/>
                <w:szCs w:val="20"/>
              </w:rPr>
              <w:t>22</w:t>
            </w:r>
          </w:p>
        </w:tc>
        <w:tc>
          <w:tcPr>
            <w:tcW w:w="1466" w:type="dxa"/>
          </w:tcPr>
          <w:p w:rsidR="00A36EFE" w:rsidRPr="00C34982" w:rsidRDefault="00A36EFE" w:rsidP="00C34982">
            <w:pPr>
              <w:spacing w:line="360" w:lineRule="auto"/>
              <w:jc w:val="both"/>
              <w:rPr>
                <w:sz w:val="20"/>
                <w:szCs w:val="20"/>
              </w:rPr>
            </w:pPr>
            <w:r w:rsidRPr="00C34982">
              <w:rPr>
                <w:sz w:val="20"/>
                <w:szCs w:val="20"/>
              </w:rPr>
              <w:t>82</w:t>
            </w:r>
          </w:p>
        </w:tc>
        <w:tc>
          <w:tcPr>
            <w:tcW w:w="1513" w:type="dxa"/>
          </w:tcPr>
          <w:p w:rsidR="00A36EFE" w:rsidRPr="00C34982" w:rsidRDefault="00A36EFE" w:rsidP="00C34982">
            <w:pPr>
              <w:spacing w:line="360" w:lineRule="auto"/>
              <w:jc w:val="both"/>
              <w:rPr>
                <w:sz w:val="20"/>
                <w:szCs w:val="20"/>
              </w:rPr>
            </w:pPr>
            <w:r w:rsidRPr="00C34982">
              <w:rPr>
                <w:sz w:val="20"/>
                <w:szCs w:val="20"/>
              </w:rPr>
              <w:t>16</w:t>
            </w:r>
          </w:p>
        </w:tc>
      </w:tr>
      <w:tr w:rsidR="00A36EFE" w:rsidRPr="00C34982" w:rsidTr="00E86785">
        <w:tc>
          <w:tcPr>
            <w:tcW w:w="3218" w:type="dxa"/>
          </w:tcPr>
          <w:p w:rsidR="00A36EFE" w:rsidRPr="00C34982" w:rsidRDefault="00A36EFE" w:rsidP="00C34982">
            <w:pPr>
              <w:spacing w:line="360" w:lineRule="auto"/>
              <w:jc w:val="both"/>
              <w:rPr>
                <w:sz w:val="20"/>
                <w:szCs w:val="20"/>
              </w:rPr>
            </w:pPr>
            <w:proofErr w:type="spellStart"/>
            <w:r w:rsidRPr="00C34982">
              <w:rPr>
                <w:sz w:val="20"/>
                <w:szCs w:val="20"/>
              </w:rPr>
              <w:t>Glioblastoma</w:t>
            </w:r>
            <w:proofErr w:type="spellEnd"/>
            <w:r w:rsidRPr="00C34982">
              <w:rPr>
                <w:sz w:val="20"/>
                <w:szCs w:val="20"/>
              </w:rPr>
              <w:t xml:space="preserve"> </w:t>
            </w:r>
            <w:proofErr w:type="spellStart"/>
            <w:r w:rsidRPr="00C34982">
              <w:rPr>
                <w:sz w:val="20"/>
                <w:szCs w:val="20"/>
              </w:rPr>
              <w:t>Multiforme</w:t>
            </w:r>
            <w:proofErr w:type="spellEnd"/>
          </w:p>
        </w:tc>
        <w:tc>
          <w:tcPr>
            <w:tcW w:w="1507" w:type="dxa"/>
          </w:tcPr>
          <w:p w:rsidR="00A36EFE" w:rsidRPr="00C34982" w:rsidRDefault="00A36EFE" w:rsidP="00C34982">
            <w:pPr>
              <w:spacing w:line="360" w:lineRule="auto"/>
              <w:jc w:val="both"/>
              <w:rPr>
                <w:sz w:val="20"/>
                <w:szCs w:val="20"/>
              </w:rPr>
            </w:pPr>
            <w:r w:rsidRPr="00C34982">
              <w:rPr>
                <w:sz w:val="20"/>
                <w:szCs w:val="20"/>
              </w:rPr>
              <w:t>45</w:t>
            </w:r>
          </w:p>
        </w:tc>
        <w:tc>
          <w:tcPr>
            <w:tcW w:w="1504" w:type="dxa"/>
          </w:tcPr>
          <w:p w:rsidR="00A36EFE" w:rsidRPr="00C34982" w:rsidRDefault="00A36EFE" w:rsidP="00C34982">
            <w:pPr>
              <w:spacing w:line="360" w:lineRule="auto"/>
              <w:jc w:val="both"/>
              <w:rPr>
                <w:sz w:val="20"/>
                <w:szCs w:val="20"/>
              </w:rPr>
            </w:pPr>
            <w:r w:rsidRPr="00C34982">
              <w:rPr>
                <w:sz w:val="20"/>
                <w:szCs w:val="20"/>
              </w:rPr>
              <w:t>-</w:t>
            </w:r>
          </w:p>
        </w:tc>
        <w:tc>
          <w:tcPr>
            <w:tcW w:w="1466" w:type="dxa"/>
          </w:tcPr>
          <w:p w:rsidR="00A36EFE" w:rsidRPr="00C34982" w:rsidRDefault="00A36EFE" w:rsidP="00C34982">
            <w:pPr>
              <w:spacing w:line="360" w:lineRule="auto"/>
              <w:jc w:val="both"/>
              <w:rPr>
                <w:sz w:val="20"/>
                <w:szCs w:val="20"/>
              </w:rPr>
            </w:pPr>
            <w:r w:rsidRPr="00C34982">
              <w:rPr>
                <w:sz w:val="20"/>
                <w:szCs w:val="20"/>
              </w:rPr>
              <w:t>-</w:t>
            </w:r>
          </w:p>
        </w:tc>
        <w:tc>
          <w:tcPr>
            <w:tcW w:w="1513" w:type="dxa"/>
          </w:tcPr>
          <w:p w:rsidR="00A36EFE" w:rsidRPr="00C34982" w:rsidRDefault="00A36EFE" w:rsidP="00C34982">
            <w:pPr>
              <w:spacing w:line="360" w:lineRule="auto"/>
              <w:jc w:val="both"/>
              <w:rPr>
                <w:sz w:val="20"/>
                <w:szCs w:val="20"/>
              </w:rPr>
            </w:pPr>
            <w:r w:rsidRPr="00C34982">
              <w:rPr>
                <w:sz w:val="20"/>
                <w:szCs w:val="20"/>
              </w:rPr>
              <w:t>134</w:t>
            </w:r>
          </w:p>
        </w:tc>
      </w:tr>
      <w:tr w:rsidR="00A36EFE" w:rsidRPr="00C34982" w:rsidTr="00E86785">
        <w:tc>
          <w:tcPr>
            <w:tcW w:w="3218" w:type="dxa"/>
          </w:tcPr>
          <w:p w:rsidR="00A36EFE" w:rsidRPr="00C34982" w:rsidRDefault="00A36EFE" w:rsidP="00C34982">
            <w:pPr>
              <w:spacing w:line="360" w:lineRule="auto"/>
              <w:jc w:val="both"/>
              <w:rPr>
                <w:sz w:val="20"/>
                <w:szCs w:val="20"/>
              </w:rPr>
            </w:pPr>
            <w:r w:rsidRPr="00C34982">
              <w:rPr>
                <w:sz w:val="20"/>
                <w:szCs w:val="20"/>
              </w:rPr>
              <w:t xml:space="preserve">Others (Including </w:t>
            </w:r>
            <w:proofErr w:type="spellStart"/>
            <w:r w:rsidRPr="00C34982">
              <w:rPr>
                <w:sz w:val="20"/>
                <w:szCs w:val="20"/>
              </w:rPr>
              <w:t>Gemistocytic</w:t>
            </w:r>
            <w:proofErr w:type="spellEnd"/>
            <w:r w:rsidRPr="00C34982">
              <w:rPr>
                <w:sz w:val="20"/>
                <w:szCs w:val="20"/>
              </w:rPr>
              <w:t xml:space="preserve"> Astrocytoma, </w:t>
            </w:r>
            <w:proofErr w:type="spellStart"/>
            <w:r w:rsidRPr="00C34982">
              <w:rPr>
                <w:sz w:val="20"/>
                <w:szCs w:val="20"/>
              </w:rPr>
              <w:t>Pilomyxoid</w:t>
            </w:r>
            <w:proofErr w:type="spellEnd"/>
            <w:r w:rsidRPr="00C34982">
              <w:rPr>
                <w:sz w:val="20"/>
                <w:szCs w:val="20"/>
              </w:rPr>
              <w:t xml:space="preserve"> </w:t>
            </w:r>
            <w:proofErr w:type="spellStart"/>
            <w:r w:rsidRPr="00C34982">
              <w:rPr>
                <w:sz w:val="20"/>
                <w:szCs w:val="20"/>
              </w:rPr>
              <w:t>Astrocytoma,Subependymal</w:t>
            </w:r>
            <w:proofErr w:type="spellEnd"/>
            <w:r w:rsidRPr="00C34982">
              <w:rPr>
                <w:sz w:val="20"/>
                <w:szCs w:val="20"/>
              </w:rPr>
              <w:t xml:space="preserve"> Giant Cell Astrocytoma, </w:t>
            </w:r>
            <w:proofErr w:type="spellStart"/>
            <w:r w:rsidRPr="00C34982">
              <w:rPr>
                <w:sz w:val="20"/>
                <w:szCs w:val="20"/>
              </w:rPr>
              <w:t>ganglioglioma</w:t>
            </w:r>
            <w:proofErr w:type="spellEnd"/>
            <w:r w:rsidRPr="00C34982">
              <w:rPr>
                <w:sz w:val="20"/>
                <w:szCs w:val="20"/>
              </w:rPr>
              <w:t>)</w:t>
            </w:r>
          </w:p>
        </w:tc>
        <w:tc>
          <w:tcPr>
            <w:tcW w:w="1507" w:type="dxa"/>
          </w:tcPr>
          <w:p w:rsidR="00A36EFE" w:rsidRPr="00C34982" w:rsidRDefault="00A36EFE" w:rsidP="00C34982">
            <w:pPr>
              <w:spacing w:line="360" w:lineRule="auto"/>
              <w:jc w:val="both"/>
              <w:rPr>
                <w:sz w:val="20"/>
                <w:szCs w:val="20"/>
              </w:rPr>
            </w:pPr>
            <w:r w:rsidRPr="00C34982">
              <w:rPr>
                <w:sz w:val="20"/>
                <w:szCs w:val="20"/>
              </w:rPr>
              <w:t>10</w:t>
            </w:r>
          </w:p>
        </w:tc>
        <w:tc>
          <w:tcPr>
            <w:tcW w:w="1504" w:type="dxa"/>
          </w:tcPr>
          <w:p w:rsidR="00A36EFE" w:rsidRPr="00C34982" w:rsidRDefault="00A36EFE" w:rsidP="00C34982">
            <w:pPr>
              <w:spacing w:line="360" w:lineRule="auto"/>
              <w:jc w:val="both"/>
              <w:rPr>
                <w:sz w:val="20"/>
                <w:szCs w:val="20"/>
              </w:rPr>
            </w:pPr>
            <w:r w:rsidRPr="00C34982">
              <w:rPr>
                <w:sz w:val="20"/>
                <w:szCs w:val="20"/>
              </w:rPr>
              <w:t>-</w:t>
            </w:r>
          </w:p>
        </w:tc>
        <w:tc>
          <w:tcPr>
            <w:tcW w:w="1466" w:type="dxa"/>
          </w:tcPr>
          <w:p w:rsidR="00A36EFE" w:rsidRPr="00C34982" w:rsidRDefault="00A36EFE" w:rsidP="00C34982">
            <w:pPr>
              <w:spacing w:line="360" w:lineRule="auto"/>
              <w:jc w:val="both"/>
              <w:rPr>
                <w:sz w:val="20"/>
                <w:szCs w:val="20"/>
              </w:rPr>
            </w:pPr>
            <w:r w:rsidRPr="00C34982">
              <w:rPr>
                <w:sz w:val="20"/>
                <w:szCs w:val="20"/>
              </w:rPr>
              <w:t>-</w:t>
            </w:r>
          </w:p>
        </w:tc>
        <w:tc>
          <w:tcPr>
            <w:tcW w:w="1513" w:type="dxa"/>
          </w:tcPr>
          <w:p w:rsidR="00A36EFE" w:rsidRPr="00C34982" w:rsidRDefault="00A36EFE" w:rsidP="00C34982">
            <w:pPr>
              <w:spacing w:line="360" w:lineRule="auto"/>
              <w:jc w:val="both"/>
              <w:rPr>
                <w:sz w:val="20"/>
                <w:szCs w:val="20"/>
              </w:rPr>
            </w:pPr>
            <w:r w:rsidRPr="00C34982">
              <w:rPr>
                <w:sz w:val="20"/>
                <w:szCs w:val="20"/>
              </w:rPr>
              <w:t xml:space="preserve"> 109</w:t>
            </w:r>
          </w:p>
        </w:tc>
      </w:tr>
    </w:tbl>
    <w:p w:rsidR="00A36EFE" w:rsidRPr="00C34982" w:rsidRDefault="00A36EFE" w:rsidP="00C34982">
      <w:pPr>
        <w:spacing w:after="0" w:line="360" w:lineRule="auto"/>
        <w:jc w:val="both"/>
        <w:rPr>
          <w:sz w:val="20"/>
          <w:szCs w:val="20"/>
        </w:rPr>
      </w:pPr>
    </w:p>
    <w:p w:rsidR="00A36EFE" w:rsidRPr="00C34982" w:rsidRDefault="00A36EFE" w:rsidP="00C34982">
      <w:pPr>
        <w:autoSpaceDE w:val="0"/>
        <w:autoSpaceDN w:val="0"/>
        <w:adjustRightInd w:val="0"/>
        <w:spacing w:after="0" w:line="360" w:lineRule="auto"/>
        <w:jc w:val="both"/>
        <w:rPr>
          <w:b/>
          <w:bCs/>
          <w:sz w:val="20"/>
          <w:szCs w:val="20"/>
        </w:rPr>
      </w:pPr>
    </w:p>
    <w:p w:rsidR="00A36EFE" w:rsidRPr="00C34982" w:rsidRDefault="00A36EFE" w:rsidP="00C34982">
      <w:pPr>
        <w:autoSpaceDE w:val="0"/>
        <w:autoSpaceDN w:val="0"/>
        <w:adjustRightInd w:val="0"/>
        <w:spacing w:after="0" w:line="360" w:lineRule="auto"/>
        <w:jc w:val="both"/>
        <w:rPr>
          <w:b/>
          <w:sz w:val="20"/>
          <w:szCs w:val="20"/>
        </w:rPr>
      </w:pPr>
      <w:r w:rsidRPr="00C34982">
        <w:rPr>
          <w:b/>
          <w:bCs/>
          <w:sz w:val="20"/>
          <w:szCs w:val="20"/>
        </w:rPr>
        <w:t>Table 6:-</w:t>
      </w:r>
      <w:r w:rsidRPr="00C34982">
        <w:rPr>
          <w:b/>
          <w:sz w:val="20"/>
          <w:szCs w:val="20"/>
        </w:rPr>
        <w:t xml:space="preserve"> Post Operative Imaging</w:t>
      </w:r>
    </w:p>
    <w:tbl>
      <w:tblPr>
        <w:tblStyle w:val="TableGrid"/>
        <w:tblW w:w="0" w:type="auto"/>
        <w:tblLook w:val="04A0" w:firstRow="1" w:lastRow="0" w:firstColumn="1" w:lastColumn="0" w:noHBand="0" w:noVBand="1"/>
      </w:tblPr>
      <w:tblGrid>
        <w:gridCol w:w="2358"/>
        <w:gridCol w:w="1942"/>
        <w:gridCol w:w="2155"/>
        <w:gridCol w:w="1457"/>
      </w:tblGrid>
      <w:tr w:rsidR="00A36EFE" w:rsidRPr="00C34982" w:rsidTr="00E86785">
        <w:tc>
          <w:tcPr>
            <w:tcW w:w="2358" w:type="dxa"/>
          </w:tcPr>
          <w:p w:rsidR="00A36EFE" w:rsidRPr="00C34982" w:rsidRDefault="00A36EFE" w:rsidP="00C34982">
            <w:pPr>
              <w:pStyle w:val="Normal1"/>
              <w:spacing w:line="360" w:lineRule="auto"/>
              <w:jc w:val="both"/>
              <w:rPr>
                <w:rFonts w:ascii="Times New Roman" w:hAnsi="Times New Roman" w:cs="Times New Roman"/>
                <w:b/>
                <w:sz w:val="20"/>
                <w:szCs w:val="20"/>
              </w:rPr>
            </w:pPr>
            <w:proofErr w:type="spellStart"/>
            <w:r w:rsidRPr="00C34982">
              <w:rPr>
                <w:rFonts w:ascii="Times New Roman" w:hAnsi="Times New Roman" w:cs="Times New Roman"/>
                <w:b/>
                <w:sz w:val="20"/>
                <w:szCs w:val="20"/>
              </w:rPr>
              <w:t>Post Operative</w:t>
            </w:r>
            <w:proofErr w:type="spellEnd"/>
            <w:r w:rsidRPr="00C34982">
              <w:rPr>
                <w:rFonts w:ascii="Times New Roman" w:hAnsi="Times New Roman" w:cs="Times New Roman"/>
                <w:b/>
                <w:sz w:val="20"/>
                <w:szCs w:val="20"/>
              </w:rPr>
              <w:t xml:space="preserve"> Imaging</w:t>
            </w:r>
          </w:p>
        </w:tc>
        <w:tc>
          <w:tcPr>
            <w:tcW w:w="1942" w:type="dxa"/>
          </w:tcPr>
          <w:p w:rsidR="00A36EFE" w:rsidRPr="00C34982" w:rsidRDefault="00A36EFE" w:rsidP="00C34982">
            <w:pPr>
              <w:pStyle w:val="Normal1"/>
              <w:spacing w:line="360" w:lineRule="auto"/>
              <w:jc w:val="both"/>
              <w:rPr>
                <w:rFonts w:ascii="Times New Roman" w:hAnsi="Times New Roman" w:cs="Times New Roman"/>
                <w:b/>
                <w:sz w:val="20"/>
                <w:szCs w:val="20"/>
              </w:rPr>
            </w:pPr>
            <w:r w:rsidRPr="00C34982">
              <w:rPr>
                <w:rFonts w:ascii="Times New Roman" w:hAnsi="Times New Roman" w:cs="Times New Roman"/>
                <w:b/>
                <w:sz w:val="20"/>
                <w:szCs w:val="20"/>
              </w:rPr>
              <w:t>No. of Patients</w:t>
            </w:r>
          </w:p>
          <w:p w:rsidR="00A36EFE" w:rsidRPr="00C34982" w:rsidRDefault="00A36EFE" w:rsidP="00C34982">
            <w:pPr>
              <w:pStyle w:val="Normal1"/>
              <w:spacing w:line="360" w:lineRule="auto"/>
              <w:jc w:val="both"/>
              <w:rPr>
                <w:rFonts w:ascii="Times New Roman" w:hAnsi="Times New Roman" w:cs="Times New Roman"/>
                <w:b/>
                <w:sz w:val="20"/>
                <w:szCs w:val="20"/>
              </w:rPr>
            </w:pPr>
            <w:r w:rsidRPr="00C34982">
              <w:rPr>
                <w:rFonts w:ascii="Times New Roman" w:hAnsi="Times New Roman" w:cs="Times New Roman"/>
                <w:b/>
                <w:sz w:val="20"/>
                <w:szCs w:val="20"/>
              </w:rPr>
              <w:t>(N=100) %</w:t>
            </w:r>
          </w:p>
        </w:tc>
        <w:tc>
          <w:tcPr>
            <w:tcW w:w="2155" w:type="dxa"/>
          </w:tcPr>
          <w:p w:rsidR="00A36EFE" w:rsidRPr="00C34982" w:rsidRDefault="00A36EFE" w:rsidP="00C34982">
            <w:pPr>
              <w:pStyle w:val="Normal1"/>
              <w:spacing w:line="360" w:lineRule="auto"/>
              <w:jc w:val="both"/>
              <w:rPr>
                <w:rFonts w:ascii="Times New Roman" w:hAnsi="Times New Roman" w:cs="Times New Roman"/>
                <w:b/>
                <w:sz w:val="20"/>
                <w:szCs w:val="20"/>
              </w:rPr>
            </w:pPr>
            <w:proofErr w:type="spellStart"/>
            <w:r w:rsidRPr="00C34982">
              <w:rPr>
                <w:rFonts w:ascii="Times New Roman" w:hAnsi="Times New Roman" w:cs="Times New Roman"/>
                <w:b/>
                <w:sz w:val="20"/>
                <w:szCs w:val="20"/>
              </w:rPr>
              <w:t>Ciric</w:t>
            </w:r>
            <w:proofErr w:type="spellEnd"/>
            <w:r w:rsidRPr="00C34982">
              <w:rPr>
                <w:rFonts w:ascii="Times New Roman" w:hAnsi="Times New Roman" w:cs="Times New Roman"/>
                <w:b/>
                <w:sz w:val="20"/>
                <w:szCs w:val="20"/>
              </w:rPr>
              <w:t xml:space="preserve"> et. al</w:t>
            </w:r>
          </w:p>
          <w:p w:rsidR="00A36EFE" w:rsidRPr="00C34982" w:rsidRDefault="00A36EFE" w:rsidP="00C34982">
            <w:pPr>
              <w:pStyle w:val="Normal1"/>
              <w:spacing w:line="360" w:lineRule="auto"/>
              <w:jc w:val="both"/>
              <w:rPr>
                <w:rFonts w:ascii="Times New Roman" w:hAnsi="Times New Roman" w:cs="Times New Roman"/>
                <w:b/>
                <w:sz w:val="20"/>
                <w:szCs w:val="20"/>
              </w:rPr>
            </w:pPr>
            <w:r w:rsidRPr="00C34982">
              <w:rPr>
                <w:rFonts w:ascii="Times New Roman" w:hAnsi="Times New Roman" w:cs="Times New Roman"/>
                <w:b/>
                <w:sz w:val="20"/>
                <w:szCs w:val="20"/>
              </w:rPr>
              <w:t>(N=42)</w:t>
            </w:r>
          </w:p>
        </w:tc>
        <w:tc>
          <w:tcPr>
            <w:tcW w:w="1457" w:type="dxa"/>
          </w:tcPr>
          <w:p w:rsidR="00A36EFE" w:rsidRPr="00C34982" w:rsidRDefault="00A36EFE" w:rsidP="00C34982">
            <w:pPr>
              <w:pStyle w:val="Normal1"/>
              <w:spacing w:line="360" w:lineRule="auto"/>
              <w:jc w:val="both"/>
              <w:rPr>
                <w:rFonts w:ascii="Times New Roman" w:hAnsi="Times New Roman" w:cs="Times New Roman"/>
                <w:b/>
                <w:sz w:val="20"/>
                <w:szCs w:val="20"/>
              </w:rPr>
            </w:pPr>
            <w:proofErr w:type="spellStart"/>
            <w:r w:rsidRPr="00C34982">
              <w:rPr>
                <w:rFonts w:ascii="Times New Roman" w:hAnsi="Times New Roman" w:cs="Times New Roman"/>
                <w:b/>
                <w:sz w:val="20"/>
                <w:szCs w:val="20"/>
              </w:rPr>
              <w:t>Ammirati</w:t>
            </w:r>
            <w:proofErr w:type="spellEnd"/>
            <w:r w:rsidRPr="00C34982">
              <w:rPr>
                <w:rFonts w:ascii="Times New Roman" w:hAnsi="Times New Roman" w:cs="Times New Roman"/>
                <w:b/>
                <w:sz w:val="20"/>
                <w:szCs w:val="20"/>
              </w:rPr>
              <w:t xml:space="preserve"> et. al (N=31)</w:t>
            </w:r>
          </w:p>
        </w:tc>
      </w:tr>
      <w:tr w:rsidR="00A36EFE" w:rsidRPr="00C34982" w:rsidTr="00E86785">
        <w:tc>
          <w:tcPr>
            <w:tcW w:w="2358"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Subtotal Resection (STR)</w:t>
            </w:r>
          </w:p>
        </w:tc>
        <w:tc>
          <w:tcPr>
            <w:tcW w:w="1942"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32 (32%)</w:t>
            </w:r>
          </w:p>
        </w:tc>
        <w:tc>
          <w:tcPr>
            <w:tcW w:w="2155"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15 (35.71%)</w:t>
            </w:r>
          </w:p>
        </w:tc>
        <w:tc>
          <w:tcPr>
            <w:tcW w:w="1457"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19(61.29%)</w:t>
            </w:r>
          </w:p>
        </w:tc>
      </w:tr>
      <w:tr w:rsidR="00A36EFE" w:rsidRPr="00C34982" w:rsidTr="00E86785">
        <w:tc>
          <w:tcPr>
            <w:tcW w:w="2358"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Gross Total Resection (GTR)</w:t>
            </w:r>
          </w:p>
        </w:tc>
        <w:tc>
          <w:tcPr>
            <w:tcW w:w="1942"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68 (68%)</w:t>
            </w:r>
          </w:p>
        </w:tc>
        <w:tc>
          <w:tcPr>
            <w:tcW w:w="2155"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27 (64.28%)</w:t>
            </w:r>
          </w:p>
        </w:tc>
        <w:tc>
          <w:tcPr>
            <w:tcW w:w="1457"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21 (67.74%)</w:t>
            </w:r>
          </w:p>
        </w:tc>
      </w:tr>
      <w:tr w:rsidR="00A36EFE" w:rsidRPr="00C34982" w:rsidTr="00E86785">
        <w:tc>
          <w:tcPr>
            <w:tcW w:w="2358"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Edema</w:t>
            </w:r>
          </w:p>
        </w:tc>
        <w:tc>
          <w:tcPr>
            <w:tcW w:w="1942"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10 (10%)</w:t>
            </w:r>
          </w:p>
        </w:tc>
        <w:tc>
          <w:tcPr>
            <w:tcW w:w="2155"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9 (0.21%)</w:t>
            </w:r>
          </w:p>
        </w:tc>
        <w:tc>
          <w:tcPr>
            <w:tcW w:w="1457" w:type="dxa"/>
          </w:tcPr>
          <w:p w:rsidR="00A36EFE" w:rsidRPr="00C34982" w:rsidRDefault="00A36EFE" w:rsidP="00C34982">
            <w:pPr>
              <w:pStyle w:val="Normal1"/>
              <w:spacing w:line="360" w:lineRule="auto"/>
              <w:jc w:val="both"/>
              <w:rPr>
                <w:rFonts w:ascii="Times New Roman" w:hAnsi="Times New Roman" w:cs="Times New Roman"/>
                <w:sz w:val="20"/>
                <w:szCs w:val="20"/>
              </w:rPr>
            </w:pPr>
            <w:r w:rsidRPr="00C34982">
              <w:rPr>
                <w:rFonts w:ascii="Times New Roman" w:hAnsi="Times New Roman" w:cs="Times New Roman"/>
                <w:sz w:val="20"/>
                <w:szCs w:val="20"/>
              </w:rPr>
              <w:t>3 (0.96%)</w:t>
            </w:r>
          </w:p>
        </w:tc>
      </w:tr>
    </w:tbl>
    <w:p w:rsidR="00A36EFE" w:rsidRPr="00C34982" w:rsidRDefault="00A36EFE" w:rsidP="00C34982">
      <w:pPr>
        <w:autoSpaceDE w:val="0"/>
        <w:autoSpaceDN w:val="0"/>
        <w:adjustRightInd w:val="0"/>
        <w:spacing w:after="0" w:line="360" w:lineRule="auto"/>
        <w:jc w:val="both"/>
        <w:rPr>
          <w:b/>
          <w:bCs/>
          <w:sz w:val="20"/>
          <w:szCs w:val="20"/>
        </w:rPr>
      </w:pPr>
    </w:p>
    <w:p w:rsidR="00A36EFE" w:rsidRPr="00C34982" w:rsidRDefault="00A36EFE" w:rsidP="00C34982">
      <w:pPr>
        <w:spacing w:after="0" w:line="360" w:lineRule="auto"/>
        <w:jc w:val="both"/>
        <w:rPr>
          <w:sz w:val="20"/>
          <w:szCs w:val="20"/>
        </w:rPr>
      </w:pPr>
      <w:r w:rsidRPr="00C34982">
        <w:rPr>
          <w:b/>
          <w:bCs/>
          <w:sz w:val="20"/>
          <w:szCs w:val="20"/>
        </w:rPr>
        <w:t>Table 7</w:t>
      </w:r>
      <w:r w:rsidRPr="00C34982">
        <w:rPr>
          <w:bCs/>
          <w:sz w:val="20"/>
          <w:szCs w:val="20"/>
        </w:rPr>
        <w:t>:-</w:t>
      </w:r>
      <w:r w:rsidRPr="00C34982">
        <w:rPr>
          <w:b/>
          <w:bCs/>
          <w:sz w:val="20"/>
          <w:szCs w:val="20"/>
        </w:rPr>
        <w:t xml:space="preserve"> </w:t>
      </w:r>
      <w:r w:rsidRPr="00C34982">
        <w:rPr>
          <w:b/>
          <w:sz w:val="20"/>
          <w:szCs w:val="20"/>
        </w:rPr>
        <w:t>Radiotherapy</w:t>
      </w:r>
    </w:p>
    <w:tbl>
      <w:tblPr>
        <w:tblStyle w:val="TableGrid"/>
        <w:tblW w:w="0" w:type="auto"/>
        <w:tblLook w:val="04A0" w:firstRow="1" w:lastRow="0" w:firstColumn="1" w:lastColumn="0" w:noHBand="0" w:noVBand="1"/>
      </w:tblPr>
      <w:tblGrid>
        <w:gridCol w:w="2138"/>
        <w:gridCol w:w="1948"/>
        <w:gridCol w:w="1935"/>
        <w:gridCol w:w="1903"/>
      </w:tblGrid>
      <w:tr w:rsidR="00A36EFE" w:rsidRPr="00C34982" w:rsidTr="00E86785">
        <w:tc>
          <w:tcPr>
            <w:tcW w:w="2138" w:type="dxa"/>
          </w:tcPr>
          <w:p w:rsidR="00A36EFE" w:rsidRPr="00C34982" w:rsidRDefault="00A36EFE" w:rsidP="00C34982">
            <w:pPr>
              <w:spacing w:line="360" w:lineRule="auto"/>
              <w:jc w:val="both"/>
              <w:rPr>
                <w:sz w:val="20"/>
                <w:szCs w:val="20"/>
              </w:rPr>
            </w:pPr>
            <w:r w:rsidRPr="00C34982">
              <w:rPr>
                <w:sz w:val="20"/>
                <w:szCs w:val="20"/>
              </w:rPr>
              <w:t xml:space="preserve">Radiotherapy </w:t>
            </w:r>
          </w:p>
        </w:tc>
        <w:tc>
          <w:tcPr>
            <w:tcW w:w="1948" w:type="dxa"/>
          </w:tcPr>
          <w:p w:rsidR="00A36EFE" w:rsidRPr="00C34982" w:rsidRDefault="00A36EFE" w:rsidP="00C34982">
            <w:pPr>
              <w:spacing w:line="360" w:lineRule="auto"/>
              <w:jc w:val="both"/>
              <w:rPr>
                <w:sz w:val="20"/>
                <w:szCs w:val="20"/>
              </w:rPr>
            </w:pPr>
            <w:r w:rsidRPr="00C34982">
              <w:rPr>
                <w:sz w:val="20"/>
                <w:szCs w:val="20"/>
              </w:rPr>
              <w:t>Our Study</w:t>
            </w:r>
          </w:p>
          <w:p w:rsidR="00A36EFE" w:rsidRPr="00C34982" w:rsidRDefault="00A36EFE" w:rsidP="00C34982">
            <w:pPr>
              <w:spacing w:line="360" w:lineRule="auto"/>
              <w:jc w:val="both"/>
              <w:rPr>
                <w:sz w:val="20"/>
                <w:szCs w:val="20"/>
              </w:rPr>
            </w:pPr>
            <w:r w:rsidRPr="00C34982">
              <w:rPr>
                <w:sz w:val="20"/>
                <w:szCs w:val="20"/>
              </w:rPr>
              <w:t>(N=100)</w:t>
            </w:r>
          </w:p>
        </w:tc>
        <w:tc>
          <w:tcPr>
            <w:tcW w:w="1935" w:type="dxa"/>
          </w:tcPr>
          <w:p w:rsidR="00A36EFE" w:rsidRPr="00C34982" w:rsidRDefault="00A36EFE" w:rsidP="00C34982">
            <w:pPr>
              <w:spacing w:line="360" w:lineRule="auto"/>
              <w:jc w:val="both"/>
              <w:rPr>
                <w:sz w:val="20"/>
                <w:szCs w:val="20"/>
              </w:rPr>
            </w:pPr>
            <w:r w:rsidRPr="00C34982">
              <w:rPr>
                <w:sz w:val="20"/>
                <w:szCs w:val="20"/>
              </w:rPr>
              <w:t xml:space="preserve">Isabelle </w:t>
            </w:r>
            <w:proofErr w:type="spellStart"/>
            <w:r w:rsidRPr="00C34982">
              <w:rPr>
                <w:sz w:val="20"/>
                <w:szCs w:val="20"/>
              </w:rPr>
              <w:t>Rydan</w:t>
            </w:r>
            <w:proofErr w:type="spellEnd"/>
            <w:r w:rsidRPr="00C34982">
              <w:rPr>
                <w:sz w:val="20"/>
                <w:szCs w:val="20"/>
              </w:rPr>
              <w:t xml:space="preserve"> et.al (n=381)</w:t>
            </w:r>
          </w:p>
        </w:tc>
        <w:tc>
          <w:tcPr>
            <w:tcW w:w="1903" w:type="dxa"/>
          </w:tcPr>
          <w:p w:rsidR="00A36EFE" w:rsidRPr="00C34982" w:rsidRDefault="00A36EFE" w:rsidP="00C34982">
            <w:pPr>
              <w:spacing w:line="360" w:lineRule="auto"/>
              <w:jc w:val="both"/>
              <w:rPr>
                <w:sz w:val="20"/>
                <w:szCs w:val="20"/>
              </w:rPr>
            </w:pPr>
            <w:r w:rsidRPr="00C34982">
              <w:rPr>
                <w:sz w:val="20"/>
                <w:szCs w:val="20"/>
              </w:rPr>
              <w:t>Ian R Whittle</w:t>
            </w:r>
          </w:p>
          <w:p w:rsidR="00A36EFE" w:rsidRPr="00C34982" w:rsidRDefault="00A36EFE" w:rsidP="00C34982">
            <w:pPr>
              <w:spacing w:line="360" w:lineRule="auto"/>
              <w:jc w:val="both"/>
              <w:rPr>
                <w:sz w:val="20"/>
                <w:szCs w:val="20"/>
              </w:rPr>
            </w:pPr>
            <w:r w:rsidRPr="00C34982">
              <w:rPr>
                <w:sz w:val="20"/>
                <w:szCs w:val="20"/>
              </w:rPr>
              <w:t>(N=80)</w:t>
            </w:r>
          </w:p>
        </w:tc>
      </w:tr>
      <w:tr w:rsidR="00A36EFE" w:rsidRPr="00C34982" w:rsidTr="00E86785">
        <w:tc>
          <w:tcPr>
            <w:tcW w:w="2138" w:type="dxa"/>
          </w:tcPr>
          <w:p w:rsidR="00A36EFE" w:rsidRPr="00C34982" w:rsidRDefault="00A36EFE" w:rsidP="00C34982">
            <w:pPr>
              <w:spacing w:line="360" w:lineRule="auto"/>
              <w:jc w:val="both"/>
              <w:rPr>
                <w:sz w:val="20"/>
                <w:szCs w:val="20"/>
              </w:rPr>
            </w:pPr>
            <w:r w:rsidRPr="00C34982">
              <w:rPr>
                <w:sz w:val="20"/>
                <w:szCs w:val="20"/>
              </w:rPr>
              <w:t xml:space="preserve">Yes </w:t>
            </w:r>
          </w:p>
        </w:tc>
        <w:tc>
          <w:tcPr>
            <w:tcW w:w="1948" w:type="dxa"/>
          </w:tcPr>
          <w:p w:rsidR="00A36EFE" w:rsidRPr="00C34982" w:rsidRDefault="00A36EFE" w:rsidP="00C34982">
            <w:pPr>
              <w:spacing w:line="360" w:lineRule="auto"/>
              <w:jc w:val="both"/>
              <w:rPr>
                <w:sz w:val="20"/>
                <w:szCs w:val="20"/>
              </w:rPr>
            </w:pPr>
            <w:r w:rsidRPr="00C34982">
              <w:rPr>
                <w:sz w:val="20"/>
                <w:szCs w:val="20"/>
              </w:rPr>
              <w:t>52</w:t>
            </w:r>
          </w:p>
        </w:tc>
        <w:tc>
          <w:tcPr>
            <w:tcW w:w="1935" w:type="dxa"/>
          </w:tcPr>
          <w:p w:rsidR="00A36EFE" w:rsidRPr="00C34982" w:rsidRDefault="00A36EFE" w:rsidP="00C34982">
            <w:pPr>
              <w:spacing w:line="360" w:lineRule="auto"/>
              <w:jc w:val="both"/>
              <w:rPr>
                <w:sz w:val="20"/>
                <w:szCs w:val="20"/>
              </w:rPr>
            </w:pPr>
            <w:r w:rsidRPr="00C34982">
              <w:rPr>
                <w:sz w:val="20"/>
                <w:szCs w:val="20"/>
              </w:rPr>
              <w:t>157</w:t>
            </w:r>
          </w:p>
        </w:tc>
        <w:tc>
          <w:tcPr>
            <w:tcW w:w="1903" w:type="dxa"/>
          </w:tcPr>
          <w:p w:rsidR="00A36EFE" w:rsidRPr="00C34982" w:rsidRDefault="00A36EFE" w:rsidP="00C34982">
            <w:pPr>
              <w:spacing w:line="360" w:lineRule="auto"/>
              <w:jc w:val="both"/>
              <w:rPr>
                <w:sz w:val="20"/>
                <w:szCs w:val="20"/>
              </w:rPr>
            </w:pPr>
            <w:r w:rsidRPr="00C34982">
              <w:rPr>
                <w:sz w:val="20"/>
                <w:szCs w:val="20"/>
              </w:rPr>
              <w:t>26</w:t>
            </w:r>
          </w:p>
        </w:tc>
      </w:tr>
      <w:tr w:rsidR="00A36EFE" w:rsidRPr="00C34982" w:rsidTr="00E86785">
        <w:tc>
          <w:tcPr>
            <w:tcW w:w="2138" w:type="dxa"/>
          </w:tcPr>
          <w:p w:rsidR="00A36EFE" w:rsidRPr="00C34982" w:rsidRDefault="00A36EFE" w:rsidP="00C34982">
            <w:pPr>
              <w:spacing w:line="360" w:lineRule="auto"/>
              <w:jc w:val="both"/>
              <w:rPr>
                <w:sz w:val="20"/>
                <w:szCs w:val="20"/>
              </w:rPr>
            </w:pPr>
            <w:r w:rsidRPr="00C34982">
              <w:rPr>
                <w:sz w:val="20"/>
                <w:szCs w:val="20"/>
              </w:rPr>
              <w:t>No</w:t>
            </w:r>
          </w:p>
        </w:tc>
        <w:tc>
          <w:tcPr>
            <w:tcW w:w="1948" w:type="dxa"/>
          </w:tcPr>
          <w:p w:rsidR="00A36EFE" w:rsidRPr="00C34982" w:rsidRDefault="00A36EFE" w:rsidP="00C34982">
            <w:pPr>
              <w:spacing w:line="360" w:lineRule="auto"/>
              <w:jc w:val="both"/>
              <w:rPr>
                <w:sz w:val="20"/>
                <w:szCs w:val="20"/>
              </w:rPr>
            </w:pPr>
            <w:r w:rsidRPr="00C34982">
              <w:rPr>
                <w:sz w:val="20"/>
                <w:szCs w:val="20"/>
              </w:rPr>
              <w:t>48</w:t>
            </w:r>
          </w:p>
        </w:tc>
        <w:tc>
          <w:tcPr>
            <w:tcW w:w="1935" w:type="dxa"/>
          </w:tcPr>
          <w:p w:rsidR="00A36EFE" w:rsidRPr="00C34982" w:rsidRDefault="00A36EFE" w:rsidP="00C34982">
            <w:pPr>
              <w:spacing w:line="360" w:lineRule="auto"/>
              <w:jc w:val="both"/>
              <w:rPr>
                <w:sz w:val="20"/>
                <w:szCs w:val="20"/>
              </w:rPr>
            </w:pPr>
            <w:r w:rsidRPr="00C34982">
              <w:rPr>
                <w:sz w:val="20"/>
                <w:szCs w:val="20"/>
              </w:rPr>
              <w:t>224</w:t>
            </w:r>
          </w:p>
        </w:tc>
        <w:tc>
          <w:tcPr>
            <w:tcW w:w="1903" w:type="dxa"/>
          </w:tcPr>
          <w:p w:rsidR="00A36EFE" w:rsidRPr="00C34982" w:rsidRDefault="00A36EFE" w:rsidP="00C34982">
            <w:pPr>
              <w:spacing w:line="360" w:lineRule="auto"/>
              <w:jc w:val="both"/>
              <w:rPr>
                <w:sz w:val="20"/>
                <w:szCs w:val="20"/>
              </w:rPr>
            </w:pPr>
            <w:r w:rsidRPr="00C34982">
              <w:rPr>
                <w:sz w:val="20"/>
                <w:szCs w:val="20"/>
              </w:rPr>
              <w:t>54</w:t>
            </w:r>
          </w:p>
        </w:tc>
      </w:tr>
    </w:tbl>
    <w:p w:rsidR="00A36EFE" w:rsidRPr="00C34982" w:rsidRDefault="00A36EFE" w:rsidP="00C34982">
      <w:pPr>
        <w:autoSpaceDE w:val="0"/>
        <w:autoSpaceDN w:val="0"/>
        <w:adjustRightInd w:val="0"/>
        <w:spacing w:after="0" w:line="360" w:lineRule="auto"/>
        <w:jc w:val="both"/>
        <w:rPr>
          <w:b/>
          <w:bCs/>
          <w:sz w:val="20"/>
          <w:szCs w:val="20"/>
        </w:rPr>
      </w:pPr>
    </w:p>
    <w:p w:rsidR="00A36EFE" w:rsidRPr="00C34982" w:rsidRDefault="00A36EFE" w:rsidP="00C34982">
      <w:pPr>
        <w:autoSpaceDE w:val="0"/>
        <w:autoSpaceDN w:val="0"/>
        <w:adjustRightInd w:val="0"/>
        <w:spacing w:after="0" w:line="360" w:lineRule="auto"/>
        <w:jc w:val="both"/>
        <w:rPr>
          <w:b/>
          <w:bCs/>
          <w:sz w:val="20"/>
          <w:szCs w:val="20"/>
        </w:rPr>
      </w:pPr>
    </w:p>
    <w:p w:rsidR="00A75E87" w:rsidRPr="00C34982" w:rsidRDefault="00A75E87" w:rsidP="00C34982">
      <w:pPr>
        <w:autoSpaceDE w:val="0"/>
        <w:autoSpaceDN w:val="0"/>
        <w:adjustRightInd w:val="0"/>
        <w:spacing w:after="0" w:line="360" w:lineRule="auto"/>
        <w:jc w:val="both"/>
        <w:rPr>
          <w:sz w:val="20"/>
          <w:szCs w:val="20"/>
        </w:rPr>
      </w:pPr>
      <w:r w:rsidRPr="00C34982">
        <w:rPr>
          <w:sz w:val="20"/>
          <w:szCs w:val="20"/>
        </w:rPr>
        <w:t xml:space="preserve">Most of </w:t>
      </w:r>
      <w:proofErr w:type="spellStart"/>
      <w:r w:rsidRPr="00C34982">
        <w:rPr>
          <w:sz w:val="20"/>
          <w:szCs w:val="20"/>
        </w:rPr>
        <w:t>tumours</w:t>
      </w:r>
      <w:proofErr w:type="spellEnd"/>
      <w:r w:rsidRPr="00C34982">
        <w:rPr>
          <w:sz w:val="20"/>
          <w:szCs w:val="20"/>
        </w:rPr>
        <w:t xml:space="preserve"> had </w:t>
      </w:r>
      <w:proofErr w:type="spellStart"/>
      <w:proofErr w:type="gramStart"/>
      <w:r w:rsidRPr="00C34982">
        <w:rPr>
          <w:sz w:val="20"/>
          <w:szCs w:val="20"/>
        </w:rPr>
        <w:t>a</w:t>
      </w:r>
      <w:proofErr w:type="spellEnd"/>
      <w:proofErr w:type="gramEnd"/>
      <w:r w:rsidRPr="00C34982">
        <w:rPr>
          <w:sz w:val="20"/>
          <w:szCs w:val="20"/>
        </w:rPr>
        <w:t xml:space="preserve"> average size of less tha</w:t>
      </w:r>
      <w:r w:rsidR="005E1EBC" w:rsidRPr="00C34982">
        <w:rPr>
          <w:sz w:val="20"/>
          <w:szCs w:val="20"/>
        </w:rPr>
        <w:t xml:space="preserve">n 4 cm (40%) and presented with </w:t>
      </w:r>
      <w:r w:rsidRPr="00C34982">
        <w:rPr>
          <w:sz w:val="20"/>
          <w:szCs w:val="20"/>
        </w:rPr>
        <w:t>new focal neurological deficit and seizure. W</w:t>
      </w:r>
      <w:r w:rsidR="005E1EBC" w:rsidRPr="00C34982">
        <w:rPr>
          <w:sz w:val="20"/>
          <w:szCs w:val="20"/>
        </w:rPr>
        <w:t xml:space="preserve">hile 31% had average size of in </w:t>
      </w:r>
      <w:r w:rsidRPr="00C34982">
        <w:rPr>
          <w:sz w:val="20"/>
          <w:szCs w:val="20"/>
        </w:rPr>
        <w:t xml:space="preserve">range 4-6cm and 29% patient has </w:t>
      </w:r>
      <w:proofErr w:type="spellStart"/>
      <w:r w:rsidRPr="00C34982">
        <w:rPr>
          <w:sz w:val="20"/>
          <w:szCs w:val="20"/>
        </w:rPr>
        <w:t>tumour</w:t>
      </w:r>
      <w:proofErr w:type="spellEnd"/>
      <w:r w:rsidRPr="00C34982">
        <w:rPr>
          <w:sz w:val="20"/>
          <w:szCs w:val="20"/>
        </w:rPr>
        <w:t xml:space="preserve"> </w:t>
      </w:r>
      <w:r w:rsidR="005E1EBC" w:rsidRPr="00C34982">
        <w:rPr>
          <w:sz w:val="20"/>
          <w:szCs w:val="20"/>
        </w:rPr>
        <w:t xml:space="preserve">of average size more than 6 cm, </w:t>
      </w:r>
      <w:r w:rsidRPr="00C34982">
        <w:rPr>
          <w:sz w:val="20"/>
          <w:szCs w:val="20"/>
        </w:rPr>
        <w:t>proper precautions were taken while operatin</w:t>
      </w:r>
      <w:r w:rsidR="005E1EBC" w:rsidRPr="00C34982">
        <w:rPr>
          <w:sz w:val="20"/>
          <w:szCs w:val="20"/>
        </w:rPr>
        <w:t xml:space="preserve">g included bipolar </w:t>
      </w:r>
      <w:proofErr w:type="spellStart"/>
      <w:r w:rsidR="005E1EBC" w:rsidRPr="00C34982">
        <w:rPr>
          <w:sz w:val="20"/>
          <w:szCs w:val="20"/>
        </w:rPr>
        <w:t>thermy</w:t>
      </w:r>
      <w:proofErr w:type="spellEnd"/>
      <w:r w:rsidR="005E1EBC" w:rsidRPr="00C34982">
        <w:rPr>
          <w:sz w:val="20"/>
          <w:szCs w:val="20"/>
        </w:rPr>
        <w:t xml:space="preserve">, CUSA </w:t>
      </w:r>
      <w:r w:rsidRPr="00C34982">
        <w:rPr>
          <w:sz w:val="20"/>
          <w:szCs w:val="20"/>
        </w:rPr>
        <w:t>(if required) and Blood products (if required).</w:t>
      </w:r>
      <w:r w:rsidR="005E1EBC" w:rsidRPr="00C34982">
        <w:rPr>
          <w:sz w:val="20"/>
          <w:szCs w:val="20"/>
        </w:rPr>
        <w:t xml:space="preserve"> Majority of patients 75% were fully active </w:t>
      </w:r>
      <w:proofErr w:type="gramStart"/>
      <w:r w:rsidR="005E1EBC" w:rsidRPr="00C34982">
        <w:rPr>
          <w:sz w:val="20"/>
          <w:szCs w:val="20"/>
        </w:rPr>
        <w:t>( Grade</w:t>
      </w:r>
      <w:proofErr w:type="gramEnd"/>
      <w:r w:rsidR="005E1EBC" w:rsidRPr="00C34982">
        <w:rPr>
          <w:sz w:val="20"/>
          <w:szCs w:val="20"/>
        </w:rPr>
        <w:t xml:space="preserve"> 0) while 12% patients could possibly do light Work (Grade 1),10% could care for self but cannot work (Grade 2), 2% were limited </w:t>
      </w:r>
      <w:proofErr w:type="spellStart"/>
      <w:r w:rsidR="005E1EBC" w:rsidRPr="00C34982">
        <w:rPr>
          <w:sz w:val="20"/>
          <w:szCs w:val="20"/>
        </w:rPr>
        <w:t>self care</w:t>
      </w:r>
      <w:proofErr w:type="spellEnd"/>
      <w:r w:rsidR="005E1EBC" w:rsidRPr="00C34982">
        <w:rPr>
          <w:sz w:val="20"/>
          <w:szCs w:val="20"/>
        </w:rPr>
        <w:t xml:space="preserve"> (Grade 3), And 1 % were </w:t>
      </w:r>
      <w:r w:rsidR="005E1EBC" w:rsidRPr="00C34982">
        <w:rPr>
          <w:sz w:val="20"/>
          <w:szCs w:val="20"/>
        </w:rPr>
        <w:lastRenderedPageBreak/>
        <w:t>Disabled and confined to Chair (Grade 4).</w:t>
      </w:r>
      <w:r w:rsidR="00B01143" w:rsidRPr="00C34982">
        <w:rPr>
          <w:sz w:val="20"/>
          <w:szCs w:val="20"/>
          <w:vertAlign w:val="superscript"/>
        </w:rPr>
        <w:t>[3]</w:t>
      </w:r>
      <w:r w:rsidR="005E1EBC" w:rsidRPr="00C34982">
        <w:rPr>
          <w:sz w:val="20"/>
          <w:szCs w:val="20"/>
          <w:vertAlign w:val="superscript"/>
        </w:rPr>
        <w:t xml:space="preserve"> </w:t>
      </w:r>
      <w:r w:rsidR="005E1EBC" w:rsidRPr="00C34982">
        <w:rPr>
          <w:sz w:val="20"/>
          <w:szCs w:val="20"/>
        </w:rPr>
        <w:t xml:space="preserve">All patient in study underwent operative intervention after thorough work up included by medical , cardiologist, </w:t>
      </w:r>
      <w:proofErr w:type="spellStart"/>
      <w:r w:rsidR="005E1EBC" w:rsidRPr="00C34982">
        <w:rPr>
          <w:sz w:val="20"/>
          <w:szCs w:val="20"/>
        </w:rPr>
        <w:t>pulmologist</w:t>
      </w:r>
      <w:proofErr w:type="spellEnd"/>
      <w:r w:rsidR="005E1EBC" w:rsidRPr="00C34982">
        <w:rPr>
          <w:sz w:val="20"/>
          <w:szCs w:val="20"/>
        </w:rPr>
        <w:t xml:space="preserve"> and </w:t>
      </w:r>
      <w:proofErr w:type="spellStart"/>
      <w:r w:rsidR="005E1EBC" w:rsidRPr="00C34982">
        <w:rPr>
          <w:sz w:val="20"/>
          <w:szCs w:val="20"/>
        </w:rPr>
        <w:t>anaesthetist</w:t>
      </w:r>
      <w:proofErr w:type="spellEnd"/>
      <w:r w:rsidR="005E1EBC" w:rsidRPr="00C34982">
        <w:rPr>
          <w:sz w:val="20"/>
          <w:szCs w:val="20"/>
        </w:rPr>
        <w:t xml:space="preserve">. Majority of patients were diagnosed with </w:t>
      </w:r>
      <w:proofErr w:type="spellStart"/>
      <w:r w:rsidR="005E1EBC" w:rsidRPr="00C34982">
        <w:rPr>
          <w:sz w:val="20"/>
          <w:szCs w:val="20"/>
        </w:rPr>
        <w:t>Glioblastoma</w:t>
      </w:r>
      <w:proofErr w:type="spellEnd"/>
      <w:r w:rsidR="005E1EBC" w:rsidRPr="00C34982">
        <w:rPr>
          <w:sz w:val="20"/>
          <w:szCs w:val="20"/>
        </w:rPr>
        <w:t xml:space="preserve"> </w:t>
      </w:r>
      <w:proofErr w:type="spellStart"/>
      <w:r w:rsidR="005E1EBC" w:rsidRPr="00C34982">
        <w:rPr>
          <w:sz w:val="20"/>
          <w:szCs w:val="20"/>
        </w:rPr>
        <w:t>Multiforme</w:t>
      </w:r>
      <w:proofErr w:type="spellEnd"/>
      <w:r w:rsidR="005E1EBC" w:rsidRPr="00C34982">
        <w:rPr>
          <w:sz w:val="20"/>
          <w:szCs w:val="20"/>
        </w:rPr>
        <w:t xml:space="preserve"> (45%) and were of age group 41-50 years of age. </w:t>
      </w:r>
      <w:proofErr w:type="gramStart"/>
      <w:r w:rsidR="005E1EBC" w:rsidRPr="00C34982">
        <w:rPr>
          <w:sz w:val="20"/>
          <w:szCs w:val="20"/>
        </w:rPr>
        <w:t xml:space="preserve">While </w:t>
      </w:r>
      <w:proofErr w:type="spellStart"/>
      <w:r w:rsidR="005E1EBC" w:rsidRPr="00C34982">
        <w:rPr>
          <w:sz w:val="20"/>
          <w:szCs w:val="20"/>
        </w:rPr>
        <w:t>Pilocytic</w:t>
      </w:r>
      <w:proofErr w:type="spellEnd"/>
      <w:r w:rsidR="005E1EBC" w:rsidRPr="00C34982">
        <w:rPr>
          <w:sz w:val="20"/>
          <w:szCs w:val="20"/>
        </w:rPr>
        <w:t xml:space="preserve"> Astrocytoma was second most common Histological Diagnosis (16%).</w:t>
      </w:r>
      <w:proofErr w:type="gramEnd"/>
      <w:r w:rsidR="00C34982">
        <w:rPr>
          <w:sz w:val="20"/>
          <w:szCs w:val="20"/>
        </w:rPr>
        <w:t xml:space="preserve"> </w:t>
      </w:r>
      <w:r w:rsidR="005E1EBC" w:rsidRPr="00C34982">
        <w:rPr>
          <w:sz w:val="20"/>
          <w:szCs w:val="20"/>
        </w:rPr>
        <w:t xml:space="preserve">Anaplastic </w:t>
      </w:r>
      <w:proofErr w:type="spellStart"/>
      <w:r w:rsidR="005E1EBC" w:rsidRPr="00C34982">
        <w:rPr>
          <w:sz w:val="20"/>
          <w:szCs w:val="20"/>
        </w:rPr>
        <w:t>Oligodendroglioma</w:t>
      </w:r>
      <w:proofErr w:type="spellEnd"/>
      <w:r w:rsidR="005E1EBC" w:rsidRPr="00C34982">
        <w:rPr>
          <w:sz w:val="20"/>
          <w:szCs w:val="20"/>
        </w:rPr>
        <w:t xml:space="preserve"> comprises of 14%and Low Grade </w:t>
      </w:r>
      <w:proofErr w:type="spellStart"/>
      <w:r w:rsidR="005E1EBC" w:rsidRPr="00C34982">
        <w:rPr>
          <w:sz w:val="20"/>
          <w:szCs w:val="20"/>
        </w:rPr>
        <w:t>OligoAstrocytoma</w:t>
      </w:r>
      <w:proofErr w:type="spellEnd"/>
      <w:r w:rsidR="005E1EBC" w:rsidRPr="00C34982">
        <w:rPr>
          <w:sz w:val="20"/>
          <w:szCs w:val="20"/>
        </w:rPr>
        <w:t xml:space="preserve"> </w:t>
      </w:r>
      <w:proofErr w:type="gramStart"/>
      <w:r w:rsidR="005E1EBC" w:rsidRPr="00C34982">
        <w:rPr>
          <w:sz w:val="20"/>
          <w:szCs w:val="20"/>
        </w:rPr>
        <w:t>comprise</w:t>
      </w:r>
      <w:proofErr w:type="gramEnd"/>
      <w:r w:rsidR="005E1EBC" w:rsidRPr="00C34982">
        <w:rPr>
          <w:sz w:val="20"/>
          <w:szCs w:val="20"/>
        </w:rPr>
        <w:t xml:space="preserve"> of 9% of cases and Anaplastic Astrocytoma</w:t>
      </w:r>
      <w:r w:rsidR="00C34982">
        <w:rPr>
          <w:sz w:val="20"/>
          <w:szCs w:val="20"/>
        </w:rPr>
        <w:t xml:space="preserve"> </w:t>
      </w:r>
      <w:r w:rsidR="005E1EBC" w:rsidRPr="00C34982">
        <w:rPr>
          <w:sz w:val="20"/>
          <w:szCs w:val="20"/>
        </w:rPr>
        <w:t xml:space="preserve">comprised of 6% of cases this data was compared with other western studies. Majority of patients (68%) underwent gross total </w:t>
      </w:r>
      <w:proofErr w:type="spellStart"/>
      <w:r w:rsidR="005E1EBC" w:rsidRPr="00C34982">
        <w:rPr>
          <w:sz w:val="20"/>
          <w:szCs w:val="20"/>
        </w:rPr>
        <w:t>reection</w:t>
      </w:r>
      <w:proofErr w:type="spellEnd"/>
      <w:r w:rsidR="005E1EBC" w:rsidRPr="00C34982">
        <w:rPr>
          <w:sz w:val="20"/>
          <w:szCs w:val="20"/>
        </w:rPr>
        <w:t xml:space="preserve"> of </w:t>
      </w:r>
      <w:proofErr w:type="spellStart"/>
      <w:r w:rsidR="005E1EBC" w:rsidRPr="00C34982">
        <w:rPr>
          <w:sz w:val="20"/>
          <w:szCs w:val="20"/>
        </w:rPr>
        <w:t>tumour</w:t>
      </w:r>
      <w:proofErr w:type="spellEnd"/>
      <w:r w:rsidR="005E1EBC" w:rsidRPr="00C34982">
        <w:rPr>
          <w:sz w:val="20"/>
          <w:szCs w:val="20"/>
        </w:rPr>
        <w:t xml:space="preserve"> while 325</w:t>
      </w:r>
      <w:r w:rsidR="00C34982">
        <w:rPr>
          <w:sz w:val="20"/>
          <w:szCs w:val="20"/>
        </w:rPr>
        <w:t xml:space="preserve"> </w:t>
      </w:r>
      <w:proofErr w:type="gramStart"/>
      <w:r w:rsidR="005E1EBC" w:rsidRPr="00C34982">
        <w:rPr>
          <w:sz w:val="20"/>
          <w:szCs w:val="20"/>
        </w:rPr>
        <w:t>patient</w:t>
      </w:r>
      <w:proofErr w:type="gramEnd"/>
      <w:r w:rsidR="005E1EBC" w:rsidRPr="00C34982">
        <w:rPr>
          <w:sz w:val="20"/>
          <w:szCs w:val="20"/>
        </w:rPr>
        <w:t xml:space="preserve"> underwent a subtotal Resection (STR).</w:t>
      </w:r>
      <w:r w:rsidR="00B25318" w:rsidRPr="00C34982">
        <w:rPr>
          <w:sz w:val="20"/>
          <w:szCs w:val="20"/>
        </w:rPr>
        <w:t xml:space="preserve"> </w:t>
      </w:r>
      <w:proofErr w:type="spellStart"/>
      <w:r w:rsidR="00B25318" w:rsidRPr="00C34982">
        <w:rPr>
          <w:sz w:val="20"/>
          <w:szCs w:val="20"/>
        </w:rPr>
        <w:t>Post operative</w:t>
      </w:r>
      <w:proofErr w:type="spellEnd"/>
      <w:r w:rsidR="00B25318" w:rsidRPr="00C34982">
        <w:rPr>
          <w:sz w:val="20"/>
          <w:szCs w:val="20"/>
        </w:rPr>
        <w:t xml:space="preserve"> complications such as </w:t>
      </w:r>
      <w:proofErr w:type="spellStart"/>
      <w:r w:rsidR="00B25318" w:rsidRPr="00C34982">
        <w:rPr>
          <w:sz w:val="20"/>
          <w:szCs w:val="20"/>
        </w:rPr>
        <w:t>Post operative</w:t>
      </w:r>
      <w:proofErr w:type="spellEnd"/>
      <w:r w:rsidR="00B25318" w:rsidRPr="00C34982">
        <w:rPr>
          <w:sz w:val="20"/>
          <w:szCs w:val="20"/>
        </w:rPr>
        <w:t xml:space="preserve"> </w:t>
      </w:r>
      <w:proofErr w:type="spellStart"/>
      <w:proofErr w:type="gramStart"/>
      <w:r w:rsidR="00B25318" w:rsidRPr="00C34982">
        <w:rPr>
          <w:sz w:val="20"/>
          <w:szCs w:val="20"/>
        </w:rPr>
        <w:t>haematoma</w:t>
      </w:r>
      <w:proofErr w:type="spellEnd"/>
      <w:r w:rsidR="00B25318" w:rsidRPr="00C34982">
        <w:rPr>
          <w:sz w:val="20"/>
          <w:szCs w:val="20"/>
        </w:rPr>
        <w:t xml:space="preserve"> ,</w:t>
      </w:r>
      <w:proofErr w:type="gramEnd"/>
      <w:r w:rsidR="00B25318" w:rsidRPr="00C34982">
        <w:rPr>
          <w:sz w:val="20"/>
          <w:szCs w:val="20"/>
        </w:rPr>
        <w:t xml:space="preserve"> CSF </w:t>
      </w:r>
      <w:proofErr w:type="spellStart"/>
      <w:r w:rsidR="00B25318" w:rsidRPr="00C34982">
        <w:rPr>
          <w:sz w:val="20"/>
          <w:szCs w:val="20"/>
        </w:rPr>
        <w:t>Leak,hydrocephalus</w:t>
      </w:r>
      <w:proofErr w:type="spellEnd"/>
      <w:r w:rsidR="00B25318" w:rsidRPr="00C34982">
        <w:rPr>
          <w:sz w:val="20"/>
          <w:szCs w:val="20"/>
        </w:rPr>
        <w:t>, seizure, new focal neurological deficit.</w:t>
      </w:r>
      <w:r w:rsidR="00B01143" w:rsidRPr="00C34982">
        <w:rPr>
          <w:sz w:val="20"/>
          <w:szCs w:val="20"/>
          <w:vertAlign w:val="superscript"/>
        </w:rPr>
        <w:t>[4]</w:t>
      </w:r>
    </w:p>
    <w:p w:rsidR="00CC31F9" w:rsidRPr="00C34982" w:rsidRDefault="00CC31F9" w:rsidP="00C34982">
      <w:pPr>
        <w:pStyle w:val="Default"/>
        <w:spacing w:line="360" w:lineRule="auto"/>
        <w:ind w:right="851"/>
        <w:jc w:val="both"/>
        <w:rPr>
          <w:sz w:val="20"/>
          <w:szCs w:val="20"/>
        </w:rPr>
      </w:pPr>
      <w:r w:rsidRPr="00C34982">
        <w:rPr>
          <w:b/>
          <w:sz w:val="20"/>
          <w:szCs w:val="20"/>
        </w:rPr>
        <w:t>Discussion</w:t>
      </w:r>
      <w:r w:rsidRPr="00C34982">
        <w:rPr>
          <w:sz w:val="20"/>
          <w:szCs w:val="20"/>
        </w:rPr>
        <w:t>:-</w:t>
      </w:r>
    </w:p>
    <w:p w:rsidR="00B25318" w:rsidRPr="00C34982" w:rsidRDefault="00B25318" w:rsidP="00C34982">
      <w:pPr>
        <w:autoSpaceDE w:val="0"/>
        <w:autoSpaceDN w:val="0"/>
        <w:adjustRightInd w:val="0"/>
        <w:spacing w:after="0" w:line="360" w:lineRule="auto"/>
        <w:jc w:val="both"/>
        <w:rPr>
          <w:sz w:val="20"/>
          <w:szCs w:val="20"/>
        </w:rPr>
      </w:pPr>
      <w:r w:rsidRPr="00C34982">
        <w:rPr>
          <w:sz w:val="20"/>
          <w:szCs w:val="20"/>
        </w:rPr>
        <w:t xml:space="preserve">WHO CNS5 2021 has taken a new approach to classify the </w:t>
      </w:r>
      <w:proofErr w:type="spellStart"/>
      <w:r w:rsidRPr="00C34982">
        <w:rPr>
          <w:sz w:val="20"/>
          <w:szCs w:val="20"/>
        </w:rPr>
        <w:t>Gliomas</w:t>
      </w:r>
      <w:proofErr w:type="spellEnd"/>
      <w:r w:rsidRPr="00C34982">
        <w:rPr>
          <w:sz w:val="20"/>
          <w:szCs w:val="20"/>
        </w:rPr>
        <w:t>,</w:t>
      </w:r>
      <w:r w:rsidR="00C34982">
        <w:rPr>
          <w:sz w:val="20"/>
          <w:szCs w:val="20"/>
        </w:rPr>
        <w:t xml:space="preserve"> </w:t>
      </w:r>
      <w:proofErr w:type="spellStart"/>
      <w:r w:rsidRPr="00C34982">
        <w:rPr>
          <w:sz w:val="20"/>
          <w:szCs w:val="20"/>
        </w:rPr>
        <w:t>Glioneuronal</w:t>
      </w:r>
      <w:proofErr w:type="spellEnd"/>
      <w:r w:rsidRPr="00C34982">
        <w:rPr>
          <w:sz w:val="20"/>
          <w:szCs w:val="20"/>
        </w:rPr>
        <w:t xml:space="preserve"> Tumors, and Neuronal Tumors, </w:t>
      </w:r>
      <w:proofErr w:type="spellStart"/>
      <w:r w:rsidRPr="00C34982">
        <w:rPr>
          <w:sz w:val="20"/>
          <w:szCs w:val="20"/>
        </w:rPr>
        <w:t>Gliomas</w:t>
      </w:r>
      <w:proofErr w:type="spellEnd"/>
      <w:r w:rsidRPr="00C34982">
        <w:rPr>
          <w:sz w:val="20"/>
          <w:szCs w:val="20"/>
        </w:rPr>
        <w:t xml:space="preserve"> are a diverse family of tumors with varying prognoses depending on grade and age. Fourteen newly recognized types have been added to the classification of </w:t>
      </w:r>
      <w:proofErr w:type="spellStart"/>
      <w:r w:rsidRPr="00C34982">
        <w:rPr>
          <w:sz w:val="20"/>
          <w:szCs w:val="20"/>
        </w:rPr>
        <w:t>Gliomas</w:t>
      </w:r>
      <w:proofErr w:type="spellEnd"/>
      <w:r w:rsidRPr="00C34982">
        <w:rPr>
          <w:sz w:val="20"/>
          <w:szCs w:val="20"/>
        </w:rPr>
        <w:t xml:space="preserve">, </w:t>
      </w:r>
      <w:proofErr w:type="spellStart"/>
      <w:r w:rsidRPr="00C34982">
        <w:rPr>
          <w:sz w:val="20"/>
          <w:szCs w:val="20"/>
        </w:rPr>
        <w:t>Glioneuronal</w:t>
      </w:r>
      <w:proofErr w:type="spellEnd"/>
      <w:r w:rsidRPr="00C34982">
        <w:rPr>
          <w:sz w:val="20"/>
          <w:szCs w:val="20"/>
        </w:rPr>
        <w:t xml:space="preserve"> Tumors, and Neuronal Tumor. — Importantly, WHO CNS5 recognizes the clinical and molecular distinctions between those diffuse </w:t>
      </w:r>
      <w:proofErr w:type="spellStart"/>
      <w:r w:rsidRPr="00C34982">
        <w:rPr>
          <w:sz w:val="20"/>
          <w:szCs w:val="20"/>
        </w:rPr>
        <w:t>gliomas</w:t>
      </w:r>
      <w:proofErr w:type="spellEnd"/>
      <w:r w:rsidRPr="00C34982">
        <w:rPr>
          <w:sz w:val="20"/>
          <w:szCs w:val="20"/>
        </w:rPr>
        <w:t xml:space="preserve"> that primarily occur in adults (termed “adult-type”) and those that occur primarily in children (termed “pediatric-type”)</w:t>
      </w:r>
      <w:proofErr w:type="gramStart"/>
      <w:r w:rsidRPr="00C34982">
        <w:rPr>
          <w:sz w:val="20"/>
          <w:szCs w:val="20"/>
        </w:rPr>
        <w:t>.</w:t>
      </w:r>
      <w:r w:rsidR="00B01143" w:rsidRPr="00C34982">
        <w:rPr>
          <w:sz w:val="20"/>
          <w:szCs w:val="20"/>
          <w:vertAlign w:val="superscript"/>
        </w:rPr>
        <w:t>[</w:t>
      </w:r>
      <w:proofErr w:type="gramEnd"/>
      <w:r w:rsidR="00B01143" w:rsidRPr="00C34982">
        <w:rPr>
          <w:sz w:val="20"/>
          <w:szCs w:val="20"/>
          <w:vertAlign w:val="superscript"/>
        </w:rPr>
        <w:t>5]</w:t>
      </w:r>
      <w:r w:rsidRPr="00C34982">
        <w:rPr>
          <w:sz w:val="20"/>
          <w:szCs w:val="20"/>
        </w:rPr>
        <w:t xml:space="preserve"> Note the use of the word “primarily” in the last sentence, since pediatric-type tumors may sometimes occur in adults, particularly young adults, and adult-type tumors may more rarely occur in children. The management of a patient with </w:t>
      </w:r>
      <w:proofErr w:type="spellStart"/>
      <w:r w:rsidRPr="00C34982">
        <w:rPr>
          <w:sz w:val="20"/>
          <w:szCs w:val="20"/>
        </w:rPr>
        <w:t>glioma</w:t>
      </w:r>
      <w:proofErr w:type="spellEnd"/>
      <w:r w:rsidRPr="00C34982">
        <w:rPr>
          <w:sz w:val="20"/>
          <w:szCs w:val="20"/>
        </w:rPr>
        <w:t xml:space="preserve"> begins with careful evaluation of the history and clinical findings. The physician needs to have a clear understanding of the symptoms and how they are affecting the patient's life. The potential impact of other</w:t>
      </w:r>
      <w:r w:rsidR="00B01143" w:rsidRPr="00C34982">
        <w:rPr>
          <w:sz w:val="20"/>
          <w:szCs w:val="20"/>
        </w:rPr>
        <w:t xml:space="preserve"> </w:t>
      </w:r>
      <w:r w:rsidRPr="00C34982">
        <w:rPr>
          <w:sz w:val="20"/>
          <w:szCs w:val="20"/>
        </w:rPr>
        <w:t xml:space="preserve">medical problems is also assessed. These survival data suggest that both low-grade and high-grade </w:t>
      </w:r>
      <w:proofErr w:type="spellStart"/>
      <w:r w:rsidRPr="00C34982">
        <w:rPr>
          <w:sz w:val="20"/>
          <w:szCs w:val="20"/>
        </w:rPr>
        <w:t>supratentorial</w:t>
      </w:r>
      <w:proofErr w:type="spellEnd"/>
      <w:r w:rsidRPr="00C34982">
        <w:rPr>
          <w:sz w:val="20"/>
          <w:szCs w:val="20"/>
        </w:rPr>
        <w:t xml:space="preserve"> </w:t>
      </w:r>
      <w:proofErr w:type="spellStart"/>
      <w:r w:rsidRPr="00C34982">
        <w:rPr>
          <w:sz w:val="20"/>
          <w:szCs w:val="20"/>
        </w:rPr>
        <w:t>gliomas</w:t>
      </w:r>
      <w:proofErr w:type="spellEnd"/>
      <w:r w:rsidRPr="00C34982">
        <w:rPr>
          <w:sz w:val="20"/>
          <w:szCs w:val="20"/>
        </w:rPr>
        <w:t xml:space="preserve"> have outcomes which are highly dependent upon histologic type</w:t>
      </w:r>
      <w:proofErr w:type="gramStart"/>
      <w:r w:rsidRPr="00C34982">
        <w:rPr>
          <w:sz w:val="20"/>
          <w:szCs w:val="20"/>
        </w:rPr>
        <w:t>.</w:t>
      </w:r>
      <w:r w:rsidR="00B01143" w:rsidRPr="00C34982">
        <w:rPr>
          <w:sz w:val="20"/>
          <w:szCs w:val="20"/>
          <w:vertAlign w:val="superscript"/>
        </w:rPr>
        <w:t>[</w:t>
      </w:r>
      <w:proofErr w:type="gramEnd"/>
      <w:r w:rsidR="00B01143" w:rsidRPr="00C34982">
        <w:rPr>
          <w:sz w:val="20"/>
          <w:szCs w:val="20"/>
          <w:vertAlign w:val="superscript"/>
        </w:rPr>
        <w:t>6]</w:t>
      </w:r>
      <w:r w:rsidRPr="00C34982">
        <w:rPr>
          <w:sz w:val="20"/>
          <w:szCs w:val="20"/>
        </w:rPr>
        <w:t xml:space="preserve"> Therapeutic strategies may need to be individualized based upon tumor grade and histologic type.</w:t>
      </w:r>
    </w:p>
    <w:p w:rsidR="00B25318" w:rsidRPr="00C34982" w:rsidRDefault="00B25318" w:rsidP="00C34982">
      <w:pPr>
        <w:autoSpaceDE w:val="0"/>
        <w:autoSpaceDN w:val="0"/>
        <w:adjustRightInd w:val="0"/>
        <w:spacing w:after="0" w:line="360" w:lineRule="auto"/>
        <w:jc w:val="both"/>
        <w:rPr>
          <w:sz w:val="20"/>
          <w:szCs w:val="20"/>
        </w:rPr>
      </w:pPr>
      <w:r w:rsidRPr="00C34982">
        <w:rPr>
          <w:sz w:val="20"/>
          <w:szCs w:val="20"/>
        </w:rPr>
        <w:t>Traditionally, CNS WHO tumor grades were written as Roman numerals.</w:t>
      </w:r>
      <w:r w:rsidR="00C34982">
        <w:rPr>
          <w:sz w:val="20"/>
          <w:szCs w:val="20"/>
        </w:rPr>
        <w:t xml:space="preserve"> </w:t>
      </w:r>
      <w:r w:rsidRPr="00C34982">
        <w:rPr>
          <w:sz w:val="20"/>
          <w:szCs w:val="20"/>
        </w:rPr>
        <w:t>However, the fifth-edition WHO Blue Books have emphasized more uniform</w:t>
      </w:r>
      <w:r w:rsidR="00C34982">
        <w:rPr>
          <w:sz w:val="20"/>
          <w:szCs w:val="20"/>
        </w:rPr>
        <w:t xml:space="preserve"> </w:t>
      </w:r>
      <w:r w:rsidRPr="00C34982">
        <w:rPr>
          <w:sz w:val="20"/>
          <w:szCs w:val="20"/>
        </w:rPr>
        <w:t>approaches to tumor classification and grading and have favored the use of Arabic numerals for grading, as is currently done for all the other organ systems.</w:t>
      </w:r>
      <w:r w:rsidR="00C34982">
        <w:rPr>
          <w:sz w:val="20"/>
          <w:szCs w:val="20"/>
        </w:rPr>
        <w:t xml:space="preserve"> </w:t>
      </w:r>
      <w:r w:rsidRPr="00C34982">
        <w:rPr>
          <w:sz w:val="20"/>
          <w:szCs w:val="20"/>
        </w:rPr>
        <w:t>Furthermore, a danger of using Roman numerals in a within-tumor grading system is that a “II” and a “III” or a “III” and a “IV” can be mistaken for one another and an uncaught typographical error could have clinical consequences</w:t>
      </w:r>
      <w:proofErr w:type="gramStart"/>
      <w:r w:rsidRPr="00C34982">
        <w:rPr>
          <w:sz w:val="20"/>
          <w:szCs w:val="20"/>
        </w:rPr>
        <w:t>.</w:t>
      </w:r>
      <w:r w:rsidR="00B01143" w:rsidRPr="00C34982">
        <w:rPr>
          <w:sz w:val="20"/>
          <w:szCs w:val="20"/>
          <w:vertAlign w:val="superscript"/>
        </w:rPr>
        <w:t>[</w:t>
      </w:r>
      <w:proofErr w:type="gramEnd"/>
      <w:r w:rsidR="00B01143" w:rsidRPr="00C34982">
        <w:rPr>
          <w:sz w:val="20"/>
          <w:szCs w:val="20"/>
          <w:vertAlign w:val="superscript"/>
        </w:rPr>
        <w:t>7]</w:t>
      </w:r>
      <w:r w:rsidRPr="00C34982">
        <w:rPr>
          <w:sz w:val="20"/>
          <w:szCs w:val="20"/>
        </w:rPr>
        <w:t xml:space="preserve"> This was less likely when each tumor type had a different name, </w:t>
      </w:r>
      <w:proofErr w:type="spellStart"/>
      <w:r w:rsidRPr="00C34982">
        <w:rPr>
          <w:sz w:val="20"/>
          <w:szCs w:val="20"/>
        </w:rPr>
        <w:t>eg</w:t>
      </w:r>
      <w:proofErr w:type="spellEnd"/>
      <w:r w:rsidRPr="00C34982">
        <w:rPr>
          <w:sz w:val="20"/>
          <w:szCs w:val="20"/>
        </w:rPr>
        <w:t xml:space="preserve">, “anaplastic” was present in addition to grade “III.” Given these considerations, WHO CNS5 has changed all CNS </w:t>
      </w:r>
      <w:proofErr w:type="spellStart"/>
      <w:r w:rsidRPr="00C34982">
        <w:rPr>
          <w:sz w:val="20"/>
          <w:szCs w:val="20"/>
        </w:rPr>
        <w:t>WHOtumor</w:t>
      </w:r>
      <w:proofErr w:type="spellEnd"/>
      <w:r w:rsidRPr="00C34982">
        <w:rPr>
          <w:sz w:val="20"/>
          <w:szCs w:val="20"/>
        </w:rPr>
        <w:t xml:space="preserve"> grades to Arabic numerals.</w:t>
      </w:r>
    </w:p>
    <w:p w:rsidR="00E15521" w:rsidRPr="00C34982" w:rsidRDefault="00B25318" w:rsidP="00C34982">
      <w:pPr>
        <w:pStyle w:val="Default"/>
        <w:spacing w:line="360" w:lineRule="auto"/>
        <w:ind w:right="851"/>
        <w:jc w:val="both"/>
        <w:rPr>
          <w:b/>
          <w:sz w:val="20"/>
          <w:szCs w:val="20"/>
        </w:rPr>
      </w:pPr>
      <w:r w:rsidRPr="00C34982">
        <w:rPr>
          <w:b/>
          <w:sz w:val="20"/>
          <w:szCs w:val="20"/>
        </w:rPr>
        <w:t>Con</w:t>
      </w:r>
      <w:r w:rsidR="00CC31F9" w:rsidRPr="00C34982">
        <w:rPr>
          <w:b/>
          <w:sz w:val="20"/>
          <w:szCs w:val="20"/>
        </w:rPr>
        <w:t>clusion:-</w:t>
      </w:r>
    </w:p>
    <w:p w:rsidR="00423F3C" w:rsidRPr="00C34982" w:rsidRDefault="00E15521" w:rsidP="00C34982">
      <w:pPr>
        <w:pStyle w:val="Default"/>
        <w:spacing w:line="360" w:lineRule="auto"/>
        <w:ind w:right="-170"/>
        <w:jc w:val="both"/>
        <w:rPr>
          <w:b/>
          <w:color w:val="241F20"/>
          <w:sz w:val="20"/>
          <w:szCs w:val="20"/>
        </w:rPr>
      </w:pPr>
      <w:r w:rsidRPr="00C34982">
        <w:rPr>
          <w:sz w:val="20"/>
          <w:szCs w:val="20"/>
        </w:rPr>
        <w:t xml:space="preserve">The factors that were independently associated with decreased functional </w:t>
      </w:r>
      <w:r w:rsidR="00C34982">
        <w:rPr>
          <w:sz w:val="20"/>
          <w:szCs w:val="20"/>
        </w:rPr>
        <w:t xml:space="preserve">independence were: older age at </w:t>
      </w:r>
      <w:r w:rsidRPr="00C34982">
        <w:rPr>
          <w:sz w:val="20"/>
          <w:szCs w:val="20"/>
        </w:rPr>
        <w:t>the time of surgery, coexistent Cardiovascular disease and incurring a new postoperative motor deficit</w:t>
      </w:r>
      <w:proofErr w:type="gramStart"/>
      <w:r w:rsidRPr="00C34982">
        <w:rPr>
          <w:sz w:val="20"/>
          <w:szCs w:val="20"/>
        </w:rPr>
        <w:t>.</w:t>
      </w:r>
      <w:r w:rsidR="00B01143" w:rsidRPr="00C34982">
        <w:rPr>
          <w:sz w:val="20"/>
          <w:szCs w:val="20"/>
          <w:vertAlign w:val="superscript"/>
        </w:rPr>
        <w:t>[</w:t>
      </w:r>
      <w:proofErr w:type="gramEnd"/>
      <w:r w:rsidR="00B01143" w:rsidRPr="00C34982">
        <w:rPr>
          <w:sz w:val="20"/>
          <w:szCs w:val="20"/>
          <w:vertAlign w:val="superscript"/>
        </w:rPr>
        <w:t>8]</w:t>
      </w:r>
      <w:r w:rsidR="00C34982">
        <w:rPr>
          <w:sz w:val="20"/>
          <w:szCs w:val="20"/>
        </w:rPr>
        <w:t xml:space="preserve"> </w:t>
      </w:r>
      <w:r w:rsidRPr="00C34982">
        <w:rPr>
          <w:sz w:val="20"/>
          <w:szCs w:val="20"/>
        </w:rPr>
        <w:t>A decline in functional status was independently associated with tumor recurrence.</w:t>
      </w:r>
    </w:p>
    <w:p w:rsidR="00452D35" w:rsidRDefault="00452D35" w:rsidP="00C34982">
      <w:pPr>
        <w:pStyle w:val="Default"/>
        <w:spacing w:line="360" w:lineRule="auto"/>
        <w:ind w:right="851"/>
        <w:jc w:val="both"/>
        <w:rPr>
          <w:b/>
          <w:color w:val="auto"/>
          <w:sz w:val="20"/>
          <w:szCs w:val="20"/>
        </w:rPr>
      </w:pPr>
    </w:p>
    <w:p w:rsidR="00C34982" w:rsidRPr="00C34982" w:rsidRDefault="00423F3C" w:rsidP="00C34982">
      <w:pPr>
        <w:pStyle w:val="Default"/>
        <w:spacing w:line="360" w:lineRule="auto"/>
        <w:ind w:right="851"/>
        <w:jc w:val="both"/>
        <w:rPr>
          <w:b/>
          <w:color w:val="auto"/>
          <w:sz w:val="20"/>
          <w:szCs w:val="20"/>
        </w:rPr>
      </w:pPr>
      <w:r w:rsidRPr="00C34982">
        <w:rPr>
          <w:b/>
          <w:color w:val="auto"/>
          <w:sz w:val="20"/>
          <w:szCs w:val="20"/>
        </w:rPr>
        <w:t>References:</w:t>
      </w:r>
    </w:p>
    <w:p w:rsidR="00423F3C" w:rsidRPr="00C34982" w:rsidRDefault="00C61AE7" w:rsidP="00C34982">
      <w:pPr>
        <w:autoSpaceDE w:val="0"/>
        <w:autoSpaceDN w:val="0"/>
        <w:adjustRightInd w:val="0"/>
        <w:spacing w:after="0" w:line="360" w:lineRule="auto"/>
        <w:jc w:val="both"/>
        <w:rPr>
          <w:sz w:val="18"/>
          <w:szCs w:val="18"/>
        </w:rPr>
      </w:pPr>
      <w:r w:rsidRPr="00C34982">
        <w:rPr>
          <w:b/>
          <w:bCs/>
          <w:sz w:val="18"/>
          <w:szCs w:val="18"/>
        </w:rPr>
        <w:t xml:space="preserve">1. </w:t>
      </w:r>
      <w:r w:rsidRPr="00C34982">
        <w:rPr>
          <w:sz w:val="18"/>
          <w:szCs w:val="18"/>
        </w:rPr>
        <w:t xml:space="preserve">Perry A, </w:t>
      </w:r>
      <w:proofErr w:type="spellStart"/>
      <w:r w:rsidRPr="00C34982">
        <w:rPr>
          <w:sz w:val="18"/>
          <w:szCs w:val="18"/>
        </w:rPr>
        <w:t>Wesseling</w:t>
      </w:r>
      <w:proofErr w:type="spellEnd"/>
      <w:r w:rsidRPr="00C34982">
        <w:rPr>
          <w:sz w:val="18"/>
          <w:szCs w:val="18"/>
        </w:rPr>
        <w:t xml:space="preserve"> P. Histologic classification of </w:t>
      </w:r>
      <w:proofErr w:type="spellStart"/>
      <w:r w:rsidRPr="00C34982">
        <w:rPr>
          <w:sz w:val="18"/>
          <w:szCs w:val="18"/>
        </w:rPr>
        <w:t>gliomas</w:t>
      </w:r>
      <w:proofErr w:type="spellEnd"/>
      <w:r w:rsidRPr="00C34982">
        <w:rPr>
          <w:sz w:val="18"/>
          <w:szCs w:val="18"/>
        </w:rPr>
        <w:t xml:space="preserve">. </w:t>
      </w:r>
      <w:proofErr w:type="spellStart"/>
      <w:r w:rsidRPr="00C34982">
        <w:rPr>
          <w:sz w:val="18"/>
          <w:szCs w:val="18"/>
        </w:rPr>
        <w:t>Handb</w:t>
      </w:r>
      <w:proofErr w:type="spellEnd"/>
      <w:r w:rsidRPr="00C34982">
        <w:rPr>
          <w:sz w:val="18"/>
          <w:szCs w:val="18"/>
        </w:rPr>
        <w:t xml:space="preserve"> </w:t>
      </w:r>
      <w:proofErr w:type="spellStart"/>
      <w:r w:rsidRPr="00C34982">
        <w:rPr>
          <w:sz w:val="18"/>
          <w:szCs w:val="18"/>
        </w:rPr>
        <w:t>Clin</w:t>
      </w:r>
      <w:proofErr w:type="spellEnd"/>
      <w:r w:rsidRPr="00C34982">
        <w:rPr>
          <w:sz w:val="18"/>
          <w:szCs w:val="18"/>
        </w:rPr>
        <w:t xml:space="preserve"> </w:t>
      </w:r>
      <w:proofErr w:type="spellStart"/>
      <w:r w:rsidRPr="00C34982">
        <w:rPr>
          <w:sz w:val="18"/>
          <w:szCs w:val="18"/>
        </w:rPr>
        <w:t>Neurol</w:t>
      </w:r>
      <w:proofErr w:type="spellEnd"/>
      <w:r w:rsidR="00C34982" w:rsidRPr="00C34982">
        <w:rPr>
          <w:sz w:val="18"/>
          <w:szCs w:val="18"/>
        </w:rPr>
        <w:t xml:space="preserve"> </w:t>
      </w:r>
      <w:r w:rsidRPr="00C34982">
        <w:rPr>
          <w:sz w:val="18"/>
          <w:szCs w:val="18"/>
        </w:rPr>
        <w:t>2016; 134: 71–95</w:t>
      </w:r>
    </w:p>
    <w:p w:rsidR="00C61AE7" w:rsidRPr="00C34982" w:rsidRDefault="00C61AE7" w:rsidP="00C34982">
      <w:pPr>
        <w:autoSpaceDE w:val="0"/>
        <w:autoSpaceDN w:val="0"/>
        <w:adjustRightInd w:val="0"/>
        <w:spacing w:after="0" w:line="360" w:lineRule="auto"/>
        <w:jc w:val="both"/>
        <w:rPr>
          <w:sz w:val="18"/>
          <w:szCs w:val="18"/>
        </w:rPr>
      </w:pPr>
      <w:r w:rsidRPr="00C34982">
        <w:rPr>
          <w:sz w:val="18"/>
          <w:szCs w:val="18"/>
        </w:rPr>
        <w:t xml:space="preserve">2. Black PM. Surgery for cerebral </w:t>
      </w:r>
      <w:proofErr w:type="spellStart"/>
      <w:r w:rsidRPr="00C34982">
        <w:rPr>
          <w:sz w:val="18"/>
          <w:szCs w:val="18"/>
        </w:rPr>
        <w:t>gliomas</w:t>
      </w:r>
      <w:proofErr w:type="spellEnd"/>
      <w:r w:rsidRPr="00C34982">
        <w:rPr>
          <w:sz w:val="18"/>
          <w:szCs w:val="18"/>
        </w:rPr>
        <w:t xml:space="preserve">: Past, present and future. </w:t>
      </w:r>
      <w:proofErr w:type="spellStart"/>
      <w:r w:rsidRPr="00C34982">
        <w:rPr>
          <w:sz w:val="18"/>
          <w:szCs w:val="18"/>
        </w:rPr>
        <w:t>Clin</w:t>
      </w:r>
      <w:proofErr w:type="spellEnd"/>
      <w:r w:rsidR="00C34982" w:rsidRPr="00C34982">
        <w:rPr>
          <w:sz w:val="18"/>
          <w:szCs w:val="18"/>
        </w:rPr>
        <w:t xml:space="preserve"> </w:t>
      </w:r>
      <w:proofErr w:type="spellStart"/>
      <w:r w:rsidRPr="00C34982">
        <w:rPr>
          <w:sz w:val="18"/>
          <w:szCs w:val="18"/>
        </w:rPr>
        <w:t>Neurosurg</w:t>
      </w:r>
      <w:proofErr w:type="spellEnd"/>
      <w:r w:rsidRPr="00C34982">
        <w:rPr>
          <w:sz w:val="18"/>
          <w:szCs w:val="18"/>
        </w:rPr>
        <w:t>. 1999</w:t>
      </w:r>
      <w:proofErr w:type="gramStart"/>
      <w:r w:rsidRPr="00C34982">
        <w:rPr>
          <w:sz w:val="18"/>
          <w:szCs w:val="18"/>
        </w:rPr>
        <w:t>;47:21</w:t>
      </w:r>
      <w:proofErr w:type="gramEnd"/>
      <w:r w:rsidRPr="00C34982">
        <w:rPr>
          <w:sz w:val="18"/>
          <w:szCs w:val="18"/>
        </w:rPr>
        <w:t>–45.</w:t>
      </w:r>
    </w:p>
    <w:p w:rsidR="00C61AE7" w:rsidRPr="00C34982" w:rsidRDefault="00C61AE7" w:rsidP="00C34982">
      <w:pPr>
        <w:autoSpaceDE w:val="0"/>
        <w:autoSpaceDN w:val="0"/>
        <w:adjustRightInd w:val="0"/>
        <w:spacing w:after="0" w:line="360" w:lineRule="auto"/>
        <w:jc w:val="both"/>
        <w:rPr>
          <w:sz w:val="18"/>
          <w:szCs w:val="18"/>
        </w:rPr>
      </w:pPr>
      <w:r w:rsidRPr="00C34982">
        <w:rPr>
          <w:sz w:val="18"/>
          <w:szCs w:val="18"/>
        </w:rPr>
        <w:lastRenderedPageBreak/>
        <w:t>3. CBTRUS. Statistical report: primary brain tumors in the United States, 1998-</w:t>
      </w:r>
      <w:r w:rsidR="00C34982" w:rsidRPr="00C34982">
        <w:rPr>
          <w:sz w:val="18"/>
          <w:szCs w:val="18"/>
        </w:rPr>
        <w:t xml:space="preserve"> </w:t>
      </w:r>
      <w:r w:rsidRPr="00C34982">
        <w:rPr>
          <w:sz w:val="18"/>
          <w:szCs w:val="18"/>
        </w:rPr>
        <w:t xml:space="preserve">2002. </w:t>
      </w:r>
      <w:proofErr w:type="gramStart"/>
      <w:r w:rsidRPr="00C34982">
        <w:rPr>
          <w:sz w:val="18"/>
          <w:szCs w:val="18"/>
        </w:rPr>
        <w:t>Published by the Central Brain Tumor Registry of the United States.</w:t>
      </w:r>
      <w:proofErr w:type="gramEnd"/>
      <w:r w:rsidR="00C34982" w:rsidRPr="00C34982">
        <w:rPr>
          <w:sz w:val="18"/>
          <w:szCs w:val="18"/>
        </w:rPr>
        <w:t xml:space="preserve"> </w:t>
      </w:r>
      <w:r w:rsidRPr="00C34982">
        <w:rPr>
          <w:sz w:val="18"/>
          <w:szCs w:val="18"/>
        </w:rPr>
        <w:t>Hinsdale, IL; 2005</w:t>
      </w:r>
    </w:p>
    <w:p w:rsidR="00C61AE7" w:rsidRPr="00C34982" w:rsidRDefault="00C61AE7" w:rsidP="00C34982">
      <w:pPr>
        <w:autoSpaceDE w:val="0"/>
        <w:autoSpaceDN w:val="0"/>
        <w:adjustRightInd w:val="0"/>
        <w:spacing w:after="0" w:line="360" w:lineRule="auto"/>
        <w:jc w:val="both"/>
        <w:rPr>
          <w:sz w:val="18"/>
          <w:szCs w:val="18"/>
        </w:rPr>
      </w:pPr>
      <w:r w:rsidRPr="00C34982">
        <w:rPr>
          <w:sz w:val="18"/>
          <w:szCs w:val="18"/>
        </w:rPr>
        <w:t xml:space="preserve">4. </w:t>
      </w:r>
      <w:proofErr w:type="spellStart"/>
      <w:r w:rsidRPr="00C34982">
        <w:rPr>
          <w:sz w:val="18"/>
          <w:szCs w:val="18"/>
        </w:rPr>
        <w:t>Deorah</w:t>
      </w:r>
      <w:proofErr w:type="spellEnd"/>
      <w:r w:rsidRPr="00C34982">
        <w:rPr>
          <w:sz w:val="18"/>
          <w:szCs w:val="18"/>
        </w:rPr>
        <w:t xml:space="preserve"> S, Lynch CF, </w:t>
      </w:r>
      <w:proofErr w:type="spellStart"/>
      <w:r w:rsidRPr="00C34982">
        <w:rPr>
          <w:sz w:val="18"/>
          <w:szCs w:val="18"/>
        </w:rPr>
        <w:t>Sibenaller</w:t>
      </w:r>
      <w:proofErr w:type="spellEnd"/>
      <w:r w:rsidRPr="00C34982">
        <w:rPr>
          <w:sz w:val="18"/>
          <w:szCs w:val="18"/>
        </w:rPr>
        <w:t xml:space="preserve"> ZA, et al. Trends in brain cancer incidence and survival in the United States: </w:t>
      </w:r>
      <w:proofErr w:type="spellStart"/>
      <w:r w:rsidRPr="00C34982">
        <w:rPr>
          <w:sz w:val="18"/>
          <w:szCs w:val="18"/>
        </w:rPr>
        <w:t>surveillance</w:t>
      </w:r>
      <w:proofErr w:type="gramStart"/>
      <w:r w:rsidRPr="00C34982">
        <w:rPr>
          <w:sz w:val="18"/>
          <w:szCs w:val="18"/>
        </w:rPr>
        <w:t>,epidemiology</w:t>
      </w:r>
      <w:proofErr w:type="spellEnd"/>
      <w:proofErr w:type="gramEnd"/>
      <w:r w:rsidRPr="00C34982">
        <w:rPr>
          <w:sz w:val="18"/>
          <w:szCs w:val="18"/>
        </w:rPr>
        <w:t>, and end results</w:t>
      </w:r>
      <w:r w:rsidR="00C34982" w:rsidRPr="00C34982">
        <w:rPr>
          <w:sz w:val="18"/>
          <w:szCs w:val="18"/>
        </w:rPr>
        <w:t xml:space="preserve"> </w:t>
      </w:r>
      <w:r w:rsidRPr="00C34982">
        <w:rPr>
          <w:sz w:val="18"/>
          <w:szCs w:val="18"/>
        </w:rPr>
        <w:t xml:space="preserve">program, 1973 to2001. </w:t>
      </w:r>
      <w:proofErr w:type="spellStart"/>
      <w:r w:rsidRPr="00C34982">
        <w:rPr>
          <w:sz w:val="18"/>
          <w:szCs w:val="18"/>
        </w:rPr>
        <w:t>Neurosurg</w:t>
      </w:r>
      <w:proofErr w:type="spellEnd"/>
      <w:r w:rsidRPr="00C34982">
        <w:rPr>
          <w:sz w:val="18"/>
          <w:szCs w:val="18"/>
        </w:rPr>
        <w:t xml:space="preserve"> Focus. 2006</w:t>
      </w:r>
      <w:proofErr w:type="gramStart"/>
      <w:r w:rsidRPr="00C34982">
        <w:rPr>
          <w:sz w:val="18"/>
          <w:szCs w:val="18"/>
        </w:rPr>
        <w:t>;20</w:t>
      </w:r>
      <w:proofErr w:type="gramEnd"/>
      <w:r w:rsidRPr="00C34982">
        <w:rPr>
          <w:sz w:val="18"/>
          <w:szCs w:val="18"/>
        </w:rPr>
        <w:t>(4):E1.</w:t>
      </w:r>
    </w:p>
    <w:p w:rsidR="00C61AE7" w:rsidRPr="00C34982" w:rsidRDefault="00C61AE7" w:rsidP="00C34982">
      <w:pPr>
        <w:autoSpaceDE w:val="0"/>
        <w:autoSpaceDN w:val="0"/>
        <w:adjustRightInd w:val="0"/>
        <w:spacing w:after="0" w:line="360" w:lineRule="auto"/>
        <w:jc w:val="both"/>
        <w:rPr>
          <w:sz w:val="18"/>
          <w:szCs w:val="18"/>
        </w:rPr>
      </w:pPr>
      <w:proofErr w:type="gramStart"/>
      <w:r w:rsidRPr="00C34982">
        <w:rPr>
          <w:sz w:val="18"/>
          <w:szCs w:val="18"/>
        </w:rPr>
        <w:t xml:space="preserve">5. Tsang RW, </w:t>
      </w:r>
      <w:proofErr w:type="spellStart"/>
      <w:r w:rsidRPr="00C34982">
        <w:rPr>
          <w:sz w:val="18"/>
          <w:szCs w:val="18"/>
        </w:rPr>
        <w:t>Laperriere</w:t>
      </w:r>
      <w:proofErr w:type="spellEnd"/>
      <w:r w:rsidRPr="00C34982">
        <w:rPr>
          <w:sz w:val="18"/>
          <w:szCs w:val="18"/>
        </w:rPr>
        <w:t xml:space="preserve"> NJ, Simpson WJ, et al. </w:t>
      </w:r>
      <w:proofErr w:type="spellStart"/>
      <w:r w:rsidRPr="00C34982">
        <w:rPr>
          <w:sz w:val="18"/>
          <w:szCs w:val="18"/>
        </w:rPr>
        <w:t>Gliomaarising</w:t>
      </w:r>
      <w:proofErr w:type="spellEnd"/>
      <w:r w:rsidRPr="00C34982">
        <w:rPr>
          <w:sz w:val="18"/>
          <w:szCs w:val="18"/>
        </w:rPr>
        <w:t xml:space="preserve"> after radiation</w:t>
      </w:r>
      <w:r w:rsidR="00C34982" w:rsidRPr="00C34982">
        <w:rPr>
          <w:sz w:val="18"/>
          <w:szCs w:val="18"/>
        </w:rPr>
        <w:t xml:space="preserve"> </w:t>
      </w:r>
      <w:r w:rsidRPr="00C34982">
        <w:rPr>
          <w:sz w:val="18"/>
          <w:szCs w:val="18"/>
        </w:rPr>
        <w:t xml:space="preserve">therapy for pituitary </w:t>
      </w:r>
      <w:proofErr w:type="spellStart"/>
      <w:r w:rsidRPr="00C34982">
        <w:rPr>
          <w:sz w:val="18"/>
          <w:szCs w:val="18"/>
        </w:rPr>
        <w:t>adenoma.A</w:t>
      </w:r>
      <w:proofErr w:type="spellEnd"/>
      <w:r w:rsidRPr="00C34982">
        <w:rPr>
          <w:sz w:val="18"/>
          <w:szCs w:val="18"/>
        </w:rPr>
        <w:t xml:space="preserve"> report of four patients and estimation of risk</w:t>
      </w:r>
      <w:r w:rsidR="00C34982" w:rsidRPr="00C34982">
        <w:rPr>
          <w:sz w:val="18"/>
          <w:szCs w:val="18"/>
        </w:rPr>
        <w:t xml:space="preserve"> </w:t>
      </w:r>
      <w:r w:rsidRPr="00C34982">
        <w:rPr>
          <w:sz w:val="18"/>
          <w:szCs w:val="18"/>
        </w:rPr>
        <w:t>Cancer.</w:t>
      </w:r>
      <w:proofErr w:type="gramEnd"/>
      <w:r w:rsidRPr="00C34982">
        <w:rPr>
          <w:sz w:val="18"/>
          <w:szCs w:val="18"/>
        </w:rPr>
        <w:t xml:space="preserve"> 1993</w:t>
      </w:r>
      <w:proofErr w:type="gramStart"/>
      <w:r w:rsidRPr="00C34982">
        <w:rPr>
          <w:sz w:val="18"/>
          <w:szCs w:val="18"/>
        </w:rPr>
        <w:t>;72</w:t>
      </w:r>
      <w:proofErr w:type="gramEnd"/>
      <w:r w:rsidRPr="00C34982">
        <w:rPr>
          <w:sz w:val="18"/>
          <w:szCs w:val="18"/>
        </w:rPr>
        <w:t>(7):2227–33.</w:t>
      </w:r>
    </w:p>
    <w:p w:rsidR="00C61AE7" w:rsidRPr="00C34982" w:rsidRDefault="00C61AE7" w:rsidP="00C34982">
      <w:pPr>
        <w:autoSpaceDE w:val="0"/>
        <w:autoSpaceDN w:val="0"/>
        <w:adjustRightInd w:val="0"/>
        <w:spacing w:after="0" w:line="360" w:lineRule="auto"/>
        <w:jc w:val="both"/>
        <w:rPr>
          <w:sz w:val="18"/>
          <w:szCs w:val="18"/>
        </w:rPr>
      </w:pPr>
      <w:r w:rsidRPr="00C34982">
        <w:rPr>
          <w:sz w:val="18"/>
          <w:szCs w:val="18"/>
        </w:rPr>
        <w:t xml:space="preserve">6. </w:t>
      </w:r>
      <w:proofErr w:type="spellStart"/>
      <w:r w:rsidRPr="00C34982">
        <w:rPr>
          <w:sz w:val="18"/>
          <w:szCs w:val="18"/>
        </w:rPr>
        <w:t>Menon</w:t>
      </w:r>
      <w:proofErr w:type="spellEnd"/>
      <w:r w:rsidRPr="00C34982">
        <w:rPr>
          <w:sz w:val="18"/>
          <w:szCs w:val="18"/>
        </w:rPr>
        <w:t xml:space="preserve"> G, Nair S, Rajesh BJ, et al. Malignant astrocytoma following</w:t>
      </w:r>
      <w:r w:rsidR="00C34982" w:rsidRPr="00C34982">
        <w:rPr>
          <w:sz w:val="18"/>
          <w:szCs w:val="18"/>
        </w:rPr>
        <w:t xml:space="preserve"> </w:t>
      </w:r>
      <w:r w:rsidRPr="00C34982">
        <w:rPr>
          <w:sz w:val="18"/>
          <w:szCs w:val="18"/>
        </w:rPr>
        <w:t xml:space="preserve">radiotherapy for </w:t>
      </w:r>
      <w:proofErr w:type="spellStart"/>
      <w:r w:rsidRPr="00C34982">
        <w:rPr>
          <w:sz w:val="18"/>
          <w:szCs w:val="18"/>
        </w:rPr>
        <w:t>craniopharyngioma</w:t>
      </w:r>
      <w:proofErr w:type="spellEnd"/>
      <w:r w:rsidRPr="00C34982">
        <w:rPr>
          <w:sz w:val="18"/>
          <w:szCs w:val="18"/>
        </w:rPr>
        <w:t>. J Can Res Ther.2007</w:t>
      </w:r>
      <w:proofErr w:type="gramStart"/>
      <w:r w:rsidRPr="00C34982">
        <w:rPr>
          <w:sz w:val="18"/>
          <w:szCs w:val="18"/>
        </w:rPr>
        <w:t>;3:50</w:t>
      </w:r>
      <w:proofErr w:type="gramEnd"/>
      <w:r w:rsidRPr="00C34982">
        <w:rPr>
          <w:sz w:val="18"/>
          <w:szCs w:val="18"/>
        </w:rPr>
        <w:t>–2.</w:t>
      </w:r>
    </w:p>
    <w:p w:rsidR="00C61AE7" w:rsidRPr="00C34982" w:rsidRDefault="00C61AE7" w:rsidP="00C34982">
      <w:pPr>
        <w:autoSpaceDE w:val="0"/>
        <w:autoSpaceDN w:val="0"/>
        <w:adjustRightInd w:val="0"/>
        <w:spacing w:after="0" w:line="360" w:lineRule="auto"/>
        <w:jc w:val="both"/>
        <w:rPr>
          <w:sz w:val="18"/>
          <w:szCs w:val="18"/>
        </w:rPr>
      </w:pPr>
      <w:r w:rsidRPr="00C34982">
        <w:rPr>
          <w:sz w:val="18"/>
          <w:szCs w:val="18"/>
        </w:rPr>
        <w:t>7.</w:t>
      </w:r>
      <w:r w:rsidR="00A36EFE" w:rsidRPr="00C34982">
        <w:rPr>
          <w:sz w:val="18"/>
          <w:szCs w:val="18"/>
        </w:rPr>
        <w:t xml:space="preserve"> Pollack IF, Finkelstein SD, Woods J, et al. Expression of p53 and prognosis in</w:t>
      </w:r>
      <w:r w:rsidR="00C34982" w:rsidRPr="00C34982">
        <w:rPr>
          <w:sz w:val="18"/>
          <w:szCs w:val="18"/>
        </w:rPr>
        <w:t xml:space="preserve"> </w:t>
      </w:r>
      <w:r w:rsidR="00A36EFE" w:rsidRPr="00C34982">
        <w:rPr>
          <w:sz w:val="18"/>
          <w:szCs w:val="18"/>
        </w:rPr>
        <w:t xml:space="preserve">children with malignant </w:t>
      </w:r>
      <w:proofErr w:type="spellStart"/>
      <w:r w:rsidR="00A36EFE" w:rsidRPr="00C34982">
        <w:rPr>
          <w:sz w:val="18"/>
          <w:szCs w:val="18"/>
        </w:rPr>
        <w:t>gliomas</w:t>
      </w:r>
      <w:proofErr w:type="spellEnd"/>
      <w:r w:rsidR="00A36EFE" w:rsidRPr="00C34982">
        <w:rPr>
          <w:sz w:val="18"/>
          <w:szCs w:val="18"/>
        </w:rPr>
        <w:t xml:space="preserve">. N </w:t>
      </w:r>
      <w:proofErr w:type="spellStart"/>
      <w:r w:rsidR="00A36EFE" w:rsidRPr="00C34982">
        <w:rPr>
          <w:sz w:val="18"/>
          <w:szCs w:val="18"/>
        </w:rPr>
        <w:t>Engl</w:t>
      </w:r>
      <w:proofErr w:type="spellEnd"/>
      <w:r w:rsidR="00A36EFE" w:rsidRPr="00C34982">
        <w:rPr>
          <w:sz w:val="18"/>
          <w:szCs w:val="18"/>
        </w:rPr>
        <w:t xml:space="preserve"> J Med. 2002</w:t>
      </w:r>
      <w:proofErr w:type="gramStart"/>
      <w:r w:rsidR="00A36EFE" w:rsidRPr="00C34982">
        <w:rPr>
          <w:sz w:val="18"/>
          <w:szCs w:val="18"/>
        </w:rPr>
        <w:t>;346</w:t>
      </w:r>
      <w:proofErr w:type="gramEnd"/>
      <w:r w:rsidR="00A36EFE" w:rsidRPr="00C34982">
        <w:rPr>
          <w:sz w:val="18"/>
          <w:szCs w:val="18"/>
        </w:rPr>
        <w:t>(6):420–7.</w:t>
      </w:r>
    </w:p>
    <w:p w:rsidR="00A36EFE" w:rsidRPr="00C34982" w:rsidRDefault="00A36EFE" w:rsidP="00C34982">
      <w:pPr>
        <w:autoSpaceDE w:val="0"/>
        <w:autoSpaceDN w:val="0"/>
        <w:adjustRightInd w:val="0"/>
        <w:spacing w:after="0" w:line="360" w:lineRule="auto"/>
        <w:jc w:val="both"/>
        <w:rPr>
          <w:sz w:val="18"/>
          <w:szCs w:val="18"/>
        </w:rPr>
      </w:pPr>
      <w:r w:rsidRPr="00C34982">
        <w:rPr>
          <w:sz w:val="18"/>
          <w:szCs w:val="18"/>
        </w:rPr>
        <w:t xml:space="preserve">8. </w:t>
      </w:r>
      <w:proofErr w:type="spellStart"/>
      <w:r w:rsidRPr="00C34982">
        <w:rPr>
          <w:sz w:val="18"/>
          <w:szCs w:val="18"/>
        </w:rPr>
        <w:t>Korshunov</w:t>
      </w:r>
      <w:proofErr w:type="spellEnd"/>
      <w:r w:rsidRPr="00C34982">
        <w:rPr>
          <w:sz w:val="18"/>
          <w:szCs w:val="18"/>
        </w:rPr>
        <w:t xml:space="preserve"> A, </w:t>
      </w:r>
      <w:proofErr w:type="spellStart"/>
      <w:r w:rsidRPr="00C34982">
        <w:rPr>
          <w:sz w:val="18"/>
          <w:szCs w:val="18"/>
        </w:rPr>
        <w:t>Sycheva</w:t>
      </w:r>
      <w:proofErr w:type="spellEnd"/>
      <w:r w:rsidRPr="00C34982">
        <w:rPr>
          <w:sz w:val="18"/>
          <w:szCs w:val="18"/>
        </w:rPr>
        <w:t xml:space="preserve"> R, </w:t>
      </w:r>
      <w:proofErr w:type="spellStart"/>
      <w:r w:rsidRPr="00C34982">
        <w:rPr>
          <w:sz w:val="18"/>
          <w:szCs w:val="18"/>
        </w:rPr>
        <w:t>Golanov</w:t>
      </w:r>
      <w:proofErr w:type="spellEnd"/>
      <w:r w:rsidRPr="00C34982">
        <w:rPr>
          <w:sz w:val="18"/>
          <w:szCs w:val="18"/>
        </w:rPr>
        <w:t xml:space="preserve"> A, et al. Gains at the1p36 chromosomal</w:t>
      </w:r>
      <w:r w:rsidR="00C34982" w:rsidRPr="00C34982">
        <w:rPr>
          <w:sz w:val="18"/>
          <w:szCs w:val="18"/>
        </w:rPr>
        <w:t xml:space="preserve"> </w:t>
      </w:r>
      <w:r w:rsidRPr="00C34982">
        <w:rPr>
          <w:sz w:val="18"/>
          <w:szCs w:val="18"/>
        </w:rPr>
        <w:t xml:space="preserve">region are associated with symptomatic </w:t>
      </w:r>
      <w:proofErr w:type="spellStart"/>
      <w:r w:rsidRPr="00C34982">
        <w:rPr>
          <w:sz w:val="18"/>
          <w:szCs w:val="18"/>
        </w:rPr>
        <w:t>leptomeningeal</w:t>
      </w:r>
      <w:proofErr w:type="spellEnd"/>
      <w:r w:rsidRPr="00C34982">
        <w:rPr>
          <w:sz w:val="18"/>
          <w:szCs w:val="18"/>
        </w:rPr>
        <w:t xml:space="preserve"> dissemination of</w:t>
      </w:r>
      <w:r w:rsidR="00C34982" w:rsidRPr="00C34982">
        <w:rPr>
          <w:sz w:val="18"/>
          <w:szCs w:val="18"/>
        </w:rPr>
        <w:t xml:space="preserve"> </w:t>
      </w:r>
      <w:proofErr w:type="spellStart"/>
      <w:r w:rsidRPr="00C34982">
        <w:rPr>
          <w:sz w:val="18"/>
          <w:szCs w:val="18"/>
        </w:rPr>
        <w:t>supratentorial</w:t>
      </w:r>
      <w:proofErr w:type="spellEnd"/>
      <w:r w:rsidRPr="00C34982">
        <w:rPr>
          <w:sz w:val="18"/>
          <w:szCs w:val="18"/>
        </w:rPr>
        <w:t xml:space="preserve"> </w:t>
      </w:r>
      <w:proofErr w:type="spellStart"/>
      <w:r w:rsidRPr="00C34982">
        <w:rPr>
          <w:sz w:val="18"/>
          <w:szCs w:val="18"/>
        </w:rPr>
        <w:t>glioblastomas</w:t>
      </w:r>
      <w:proofErr w:type="spellEnd"/>
      <w:r w:rsidRPr="00C34982">
        <w:rPr>
          <w:sz w:val="18"/>
          <w:szCs w:val="18"/>
        </w:rPr>
        <w:t xml:space="preserve">. </w:t>
      </w:r>
      <w:proofErr w:type="gramStart"/>
      <w:r w:rsidRPr="00C34982">
        <w:rPr>
          <w:sz w:val="18"/>
          <w:szCs w:val="18"/>
        </w:rPr>
        <w:t xml:space="preserve">Am J </w:t>
      </w:r>
      <w:proofErr w:type="spellStart"/>
      <w:r w:rsidRPr="00C34982">
        <w:rPr>
          <w:sz w:val="18"/>
          <w:szCs w:val="18"/>
        </w:rPr>
        <w:t>Clin</w:t>
      </w:r>
      <w:proofErr w:type="spellEnd"/>
      <w:r w:rsidRPr="00C34982">
        <w:rPr>
          <w:sz w:val="18"/>
          <w:szCs w:val="18"/>
        </w:rPr>
        <w:t xml:space="preserve"> </w:t>
      </w:r>
      <w:proofErr w:type="spellStart"/>
      <w:r w:rsidRPr="00C34982">
        <w:rPr>
          <w:sz w:val="18"/>
          <w:szCs w:val="18"/>
        </w:rPr>
        <w:t>Pathol</w:t>
      </w:r>
      <w:proofErr w:type="spellEnd"/>
      <w:r w:rsidRPr="00C34982">
        <w:rPr>
          <w:sz w:val="18"/>
          <w:szCs w:val="18"/>
        </w:rPr>
        <w:t>.</w:t>
      </w:r>
      <w:proofErr w:type="gramEnd"/>
      <w:r w:rsidRPr="00C34982">
        <w:rPr>
          <w:sz w:val="18"/>
          <w:szCs w:val="18"/>
        </w:rPr>
        <w:t xml:space="preserve"> 2007</w:t>
      </w:r>
      <w:proofErr w:type="gramStart"/>
      <w:r w:rsidRPr="00C34982">
        <w:rPr>
          <w:sz w:val="18"/>
          <w:szCs w:val="18"/>
        </w:rPr>
        <w:t>;127</w:t>
      </w:r>
      <w:proofErr w:type="gramEnd"/>
      <w:r w:rsidRPr="00C34982">
        <w:rPr>
          <w:sz w:val="18"/>
          <w:szCs w:val="18"/>
        </w:rPr>
        <w:t>(4):585–90.</w:t>
      </w:r>
    </w:p>
    <w:sectPr w:rsidR="00A36EFE" w:rsidRPr="00C34982" w:rsidSect="00452D35">
      <w:headerReference w:type="default" r:id="rId7"/>
      <w:footerReference w:type="default" r:id="rId8"/>
      <w:pgSz w:w="12240" w:h="15840"/>
      <w:pgMar w:top="1440" w:right="1440" w:bottom="1440" w:left="1440" w:header="720" w:footer="720" w:gutter="0"/>
      <w:pgNumType w:start="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89" w:rsidRDefault="00133A89" w:rsidP="00452D35">
      <w:pPr>
        <w:spacing w:after="0" w:line="240" w:lineRule="auto"/>
      </w:pPr>
      <w:r>
        <w:separator/>
      </w:r>
    </w:p>
  </w:endnote>
  <w:endnote w:type="continuationSeparator" w:id="0">
    <w:p w:rsidR="00133A89" w:rsidRDefault="00133A89" w:rsidP="0045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Lato">
    <w:altName w:val="Calibri"/>
    <w:charset w:val="00"/>
    <w:family w:val="swiss"/>
    <w:pitch w:val="variable"/>
    <w:sig w:usb0="00000001"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257764"/>
      <w:docPartObj>
        <w:docPartGallery w:val="Page Numbers (Bottom of Page)"/>
        <w:docPartUnique/>
      </w:docPartObj>
    </w:sdtPr>
    <w:sdtEndPr>
      <w:rPr>
        <w:noProof/>
      </w:rPr>
    </w:sdtEndPr>
    <w:sdtContent>
      <w:p w:rsidR="00452D35" w:rsidRDefault="00452D35">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rsidR="00452D35" w:rsidRPr="00B91B0B" w:rsidRDefault="00452D35" w:rsidP="00452D35">
    <w:pPr>
      <w:tabs>
        <w:tab w:val="center" w:pos="4513"/>
        <w:tab w:val="right" w:pos="9026"/>
      </w:tabs>
      <w:rPr>
        <w:rFonts w:ascii="Calibri" w:hAnsi="Calibri" w:cs="Calibri"/>
        <w:sz w:val="20"/>
        <w:szCs w:val="20"/>
      </w:rPr>
    </w:pPr>
    <w:r w:rsidRPr="00B91B0B">
      <w:rPr>
        <w:color w:val="000000"/>
        <w:sz w:val="20"/>
        <w:lang w:eastAsia="en-GB"/>
      </w:rPr>
      <w:t>www.ijbamr.com   P ISSN: 2250-284X, E ISSN: 2250-2858</w:t>
    </w:r>
  </w:p>
  <w:p w:rsidR="00452D35" w:rsidRDefault="00452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89" w:rsidRDefault="00133A89" w:rsidP="00452D35">
      <w:pPr>
        <w:spacing w:after="0" w:line="240" w:lineRule="auto"/>
      </w:pPr>
      <w:r>
        <w:separator/>
      </w:r>
    </w:p>
  </w:footnote>
  <w:footnote w:type="continuationSeparator" w:id="0">
    <w:p w:rsidR="00133A89" w:rsidRDefault="00133A89" w:rsidP="0045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35" w:rsidRPr="00452D35" w:rsidRDefault="00452D35" w:rsidP="00452D35">
    <w:pPr>
      <w:tabs>
        <w:tab w:val="left" w:pos="496"/>
        <w:tab w:val="center" w:pos="4680"/>
        <w:tab w:val="right" w:pos="9360"/>
      </w:tabs>
      <w:spacing w:after="0" w:line="240" w:lineRule="auto"/>
      <w:ind w:right="-567"/>
      <w:rPr>
        <w:rFonts w:ascii="Cambria" w:eastAsia="Cambria" w:hAnsi="Cambria" w:cs="Calibri"/>
        <w:sz w:val="20"/>
        <w:szCs w:val="20"/>
      </w:rPr>
    </w:pPr>
    <w:r w:rsidRPr="00452D35">
      <w:rPr>
        <w:rFonts w:ascii="Cambria" w:eastAsia="Cambria" w:hAnsi="Cambria" w:cs="Calibri"/>
        <w:sz w:val="20"/>
        <w:szCs w:val="20"/>
      </w:rPr>
      <w:t xml:space="preserve">Indian Journal of Basic and Applied Medical Research; March 2022: Vol.-11, Issue- 2, P. </w:t>
    </w:r>
    <w:r>
      <w:rPr>
        <w:rFonts w:ascii="Cambria" w:eastAsia="Cambria" w:hAnsi="Cambria" w:cs="Calibri"/>
        <w:sz w:val="20"/>
        <w:szCs w:val="20"/>
      </w:rPr>
      <w:t xml:space="preserve">80 – 85 </w:t>
    </w:r>
  </w:p>
  <w:p w:rsidR="00452D35" w:rsidRPr="00452D35" w:rsidRDefault="00452D35" w:rsidP="00452D35">
    <w:pPr>
      <w:tabs>
        <w:tab w:val="left" w:pos="496"/>
        <w:tab w:val="center" w:pos="4680"/>
        <w:tab w:val="right" w:pos="9360"/>
      </w:tabs>
      <w:spacing w:after="0" w:line="240" w:lineRule="auto"/>
      <w:ind w:right="-567"/>
      <w:rPr>
        <w:rFonts w:ascii="Cambria" w:eastAsia="Calibri" w:hAnsi="Cambria" w:cs="Calibri"/>
        <w:sz w:val="20"/>
        <w:szCs w:val="20"/>
      </w:rPr>
    </w:pPr>
    <w:r w:rsidRPr="00452D35">
      <w:rPr>
        <w:rFonts w:ascii="Cambria" w:eastAsia="Calibri" w:hAnsi="Cambria" w:cs="Calibri Light"/>
        <w:bCs/>
        <w:sz w:val="20"/>
        <w:szCs w:val="20"/>
        <w:shd w:val="clear" w:color="auto" w:fill="FFFFFF"/>
      </w:rPr>
      <w:t>DOI: 10.36855/IJBAMR/2022/5</w:t>
    </w:r>
    <w:r>
      <w:rPr>
        <w:rFonts w:ascii="Cambria" w:eastAsia="Calibri" w:hAnsi="Cambria" w:cs="Calibri Light"/>
        <w:bCs/>
        <w:sz w:val="20"/>
        <w:szCs w:val="20"/>
        <w:shd w:val="clear" w:color="auto" w:fill="FFFFFF"/>
      </w:rPr>
      <w:t>0215.55595</w:t>
    </w:r>
  </w:p>
  <w:p w:rsidR="00452D35" w:rsidRDefault="00452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37"/>
    <w:rsid w:val="00133A89"/>
    <w:rsid w:val="001F354B"/>
    <w:rsid w:val="002E7A55"/>
    <w:rsid w:val="003C0AD5"/>
    <w:rsid w:val="00423F3C"/>
    <w:rsid w:val="00452D35"/>
    <w:rsid w:val="005E1EBC"/>
    <w:rsid w:val="00837FB8"/>
    <w:rsid w:val="00A36EFE"/>
    <w:rsid w:val="00A75E87"/>
    <w:rsid w:val="00A90337"/>
    <w:rsid w:val="00B01143"/>
    <w:rsid w:val="00B25318"/>
    <w:rsid w:val="00C34982"/>
    <w:rsid w:val="00C61AE7"/>
    <w:rsid w:val="00CC31F9"/>
    <w:rsid w:val="00DA766A"/>
    <w:rsid w:val="00DC56B1"/>
    <w:rsid w:val="00DD54A4"/>
    <w:rsid w:val="00E15521"/>
    <w:rsid w:val="00F202FE"/>
    <w:rsid w:val="00F666FE"/>
    <w:rsid w:val="00F8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F3C"/>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A36EFE"/>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36EFE"/>
    <w:pPr>
      <w:spacing w:after="0"/>
    </w:pPr>
    <w:rPr>
      <w:rFonts w:ascii="Arial" w:eastAsia="Arial" w:hAnsi="Arial" w:cs="Arial"/>
      <w:szCs w:val="28"/>
    </w:rPr>
  </w:style>
  <w:style w:type="paragraph" w:styleId="NormalWeb">
    <w:name w:val="Normal (Web)"/>
    <w:basedOn w:val="Normal"/>
    <w:uiPriority w:val="99"/>
    <w:semiHidden/>
    <w:unhideWhenUsed/>
    <w:rsid w:val="00C3498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452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35"/>
  </w:style>
  <w:style w:type="paragraph" w:styleId="Footer">
    <w:name w:val="footer"/>
    <w:basedOn w:val="Normal"/>
    <w:link w:val="FooterChar"/>
    <w:uiPriority w:val="99"/>
    <w:unhideWhenUsed/>
    <w:rsid w:val="00452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35"/>
  </w:style>
  <w:style w:type="paragraph" w:styleId="BalloonText">
    <w:name w:val="Balloon Text"/>
    <w:basedOn w:val="Normal"/>
    <w:link w:val="BalloonTextChar"/>
    <w:uiPriority w:val="99"/>
    <w:semiHidden/>
    <w:unhideWhenUsed/>
    <w:rsid w:val="0045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F3C"/>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A36EFE"/>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36EFE"/>
    <w:pPr>
      <w:spacing w:after="0"/>
    </w:pPr>
    <w:rPr>
      <w:rFonts w:ascii="Arial" w:eastAsia="Arial" w:hAnsi="Arial" w:cs="Arial"/>
      <w:szCs w:val="28"/>
    </w:rPr>
  </w:style>
  <w:style w:type="paragraph" w:styleId="NormalWeb">
    <w:name w:val="Normal (Web)"/>
    <w:basedOn w:val="Normal"/>
    <w:uiPriority w:val="99"/>
    <w:semiHidden/>
    <w:unhideWhenUsed/>
    <w:rsid w:val="00C3498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452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35"/>
  </w:style>
  <w:style w:type="paragraph" w:styleId="Footer">
    <w:name w:val="footer"/>
    <w:basedOn w:val="Normal"/>
    <w:link w:val="FooterChar"/>
    <w:uiPriority w:val="99"/>
    <w:unhideWhenUsed/>
    <w:rsid w:val="00452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35"/>
  </w:style>
  <w:style w:type="paragraph" w:styleId="BalloonText">
    <w:name w:val="Balloon Text"/>
    <w:basedOn w:val="Normal"/>
    <w:link w:val="BalloonTextChar"/>
    <w:uiPriority w:val="99"/>
    <w:semiHidden/>
    <w:unhideWhenUsed/>
    <w:rsid w:val="0045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3</cp:revision>
  <cp:lastPrinted>2022-05-09T09:12:00Z</cp:lastPrinted>
  <dcterms:created xsi:type="dcterms:W3CDTF">2022-05-09T09:09:00Z</dcterms:created>
  <dcterms:modified xsi:type="dcterms:W3CDTF">2022-05-09T09:13:00Z</dcterms:modified>
</cp:coreProperties>
</file>