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3011FF" w:rsidRDefault="003011FF" w:rsidP="003011FF">
      <w:pPr>
        <w:spacing w:after="0" w:line="360" w:lineRule="auto"/>
        <w:rPr>
          <w:rFonts w:asciiTheme="majorHAnsi" w:hAnsiTheme="majorHAnsi" w:cs="Times New Roman"/>
          <w:b/>
          <w:sz w:val="24"/>
          <w:szCs w:val="24"/>
        </w:rPr>
      </w:pPr>
      <w:r w:rsidRPr="003011FF">
        <w:rPr>
          <w:rFonts w:asciiTheme="majorHAnsi" w:hAnsiTheme="majorHAnsi" w:cs="Times New Roman"/>
          <w:b/>
          <w:sz w:val="24"/>
          <w:szCs w:val="24"/>
          <w:highlight w:val="lightGray"/>
        </w:rPr>
        <w:t>Original article</w:t>
      </w:r>
      <w:r w:rsidR="003D1344" w:rsidRPr="003011FF">
        <w:rPr>
          <w:rFonts w:asciiTheme="majorHAnsi" w:hAnsiTheme="majorHAnsi" w:cs="Times New Roman"/>
          <w:b/>
          <w:sz w:val="24"/>
          <w:szCs w:val="24"/>
        </w:rPr>
        <w:br/>
      </w:r>
      <w:r w:rsidR="00E31219" w:rsidRPr="003011FF">
        <w:rPr>
          <w:rFonts w:asciiTheme="majorHAnsi" w:hAnsiTheme="majorHAnsi" w:cs="Times New Roman"/>
          <w:b/>
          <w:color w:val="0070C0"/>
          <w:sz w:val="28"/>
          <w:szCs w:val="28"/>
        </w:rPr>
        <w:t>Haemoglobin A1c and preoperative glycaemia as a decision tool to help minimise sternal wound complications: a retrospective study in off pump coronary artery bypass surgery</w:t>
      </w:r>
    </w:p>
    <w:p w:rsidR="003011FF" w:rsidRPr="00747466" w:rsidRDefault="003011FF" w:rsidP="003011FF">
      <w:pPr>
        <w:shd w:val="clear" w:color="auto" w:fill="FFFFFF"/>
        <w:spacing w:after="0" w:line="360" w:lineRule="auto"/>
        <w:outlineLvl w:val="1"/>
        <w:rPr>
          <w:rFonts w:asciiTheme="majorHAnsi" w:eastAsia="Times New Roman" w:hAnsiTheme="majorHAnsi" w:cs="Times New Roman"/>
          <w:b/>
          <w:bCs/>
          <w:color w:val="212121"/>
          <w:sz w:val="20"/>
          <w:szCs w:val="20"/>
          <w:lang w:eastAsia="en-IN"/>
        </w:rPr>
      </w:pPr>
      <w:r w:rsidRPr="00747466">
        <w:rPr>
          <w:rFonts w:asciiTheme="majorHAnsi" w:eastAsia="Times New Roman" w:hAnsiTheme="majorHAnsi" w:cs="Times New Roman"/>
          <w:b/>
          <w:bCs/>
          <w:color w:val="212121"/>
          <w:sz w:val="20"/>
          <w:szCs w:val="20"/>
          <w:lang w:eastAsia="en-IN"/>
        </w:rPr>
        <w:t>*Dr Girish G'</w:t>
      </w:r>
      <w:r w:rsidRPr="00747466">
        <w:rPr>
          <w:rFonts w:asciiTheme="majorHAnsi" w:eastAsia="Times New Roman" w:hAnsiTheme="majorHAnsi" w:cs="Times New Roman"/>
          <w:b/>
          <w:bCs/>
          <w:color w:val="212121"/>
          <w:sz w:val="20"/>
          <w:szCs w:val="20"/>
          <w:vertAlign w:val="superscript"/>
          <w:lang w:eastAsia="en-IN"/>
        </w:rPr>
        <w:t>1</w:t>
      </w:r>
      <w:r w:rsidRPr="00747466">
        <w:rPr>
          <w:rFonts w:asciiTheme="majorHAnsi" w:eastAsia="Times New Roman" w:hAnsiTheme="majorHAnsi" w:cs="Times New Roman"/>
          <w:b/>
          <w:bCs/>
          <w:color w:val="212121"/>
          <w:sz w:val="20"/>
          <w:szCs w:val="20"/>
          <w:lang w:eastAsia="en-IN"/>
        </w:rPr>
        <w:t xml:space="preserve">, </w:t>
      </w:r>
      <w:r w:rsidRPr="00747466">
        <w:rPr>
          <w:rFonts w:asciiTheme="majorHAnsi" w:eastAsia="Times New Roman" w:hAnsiTheme="majorHAnsi" w:cs="Times New Roman"/>
          <w:b/>
          <w:bCs/>
          <w:color w:val="212121"/>
          <w:sz w:val="20"/>
          <w:szCs w:val="20"/>
          <w:lang w:eastAsia="en-IN"/>
        </w:rPr>
        <w:t>Dr Sayyed Eh</w:t>
      </w:r>
      <w:r w:rsidRPr="00747466">
        <w:rPr>
          <w:rFonts w:asciiTheme="majorHAnsi" w:eastAsia="Times New Roman" w:hAnsiTheme="majorHAnsi" w:cs="Times New Roman"/>
          <w:b/>
          <w:bCs/>
          <w:color w:val="212121"/>
          <w:sz w:val="20"/>
          <w:szCs w:val="20"/>
          <w:lang w:eastAsia="en-IN"/>
        </w:rPr>
        <w:t xml:space="preserve">tesham Hussain Naqvi </w:t>
      </w:r>
      <w:r w:rsidRPr="00747466">
        <w:rPr>
          <w:rFonts w:asciiTheme="majorHAnsi" w:eastAsia="Times New Roman" w:hAnsiTheme="majorHAnsi" w:cs="Times New Roman"/>
          <w:b/>
          <w:bCs/>
          <w:color w:val="212121"/>
          <w:sz w:val="20"/>
          <w:szCs w:val="20"/>
          <w:vertAlign w:val="superscript"/>
          <w:lang w:eastAsia="en-IN"/>
        </w:rPr>
        <w:t>2</w:t>
      </w:r>
      <w:r w:rsidRPr="00747466">
        <w:rPr>
          <w:rFonts w:asciiTheme="majorHAnsi" w:eastAsia="Times New Roman" w:hAnsiTheme="majorHAnsi" w:cs="Times New Roman"/>
          <w:b/>
          <w:bCs/>
          <w:color w:val="212121"/>
          <w:sz w:val="20"/>
          <w:szCs w:val="20"/>
          <w:lang w:eastAsia="en-IN"/>
        </w:rPr>
        <w:t xml:space="preserve">, </w:t>
      </w:r>
      <w:r w:rsidRPr="00747466">
        <w:rPr>
          <w:rFonts w:asciiTheme="majorHAnsi" w:eastAsia="Times New Roman" w:hAnsiTheme="majorHAnsi" w:cs="Times New Roman"/>
          <w:b/>
          <w:bCs/>
          <w:color w:val="212121"/>
          <w:sz w:val="20"/>
          <w:szCs w:val="20"/>
          <w:lang w:eastAsia="en-IN"/>
        </w:rPr>
        <w:t>Dr Lakshmi Sinha'</w:t>
      </w:r>
      <w:r w:rsidRPr="00747466">
        <w:rPr>
          <w:rFonts w:asciiTheme="majorHAnsi" w:eastAsia="Times New Roman" w:hAnsiTheme="majorHAnsi" w:cs="Times New Roman"/>
          <w:b/>
          <w:bCs/>
          <w:color w:val="212121"/>
          <w:sz w:val="20"/>
          <w:szCs w:val="20"/>
          <w:vertAlign w:val="superscript"/>
          <w:lang w:eastAsia="en-IN"/>
        </w:rPr>
        <w:t>3</w:t>
      </w:r>
      <w:r w:rsidRPr="00747466">
        <w:rPr>
          <w:rFonts w:asciiTheme="majorHAnsi" w:eastAsia="Times New Roman" w:hAnsiTheme="majorHAnsi" w:cs="Times New Roman"/>
          <w:b/>
          <w:bCs/>
          <w:color w:val="212121"/>
          <w:sz w:val="20"/>
          <w:szCs w:val="20"/>
          <w:lang w:eastAsia="en-IN"/>
        </w:rPr>
        <w:t xml:space="preserve">,  </w:t>
      </w:r>
    </w:p>
    <w:p w:rsidR="003011FF" w:rsidRPr="00747466" w:rsidRDefault="003011FF" w:rsidP="003011FF">
      <w:pPr>
        <w:shd w:val="clear" w:color="auto" w:fill="FFFFFF"/>
        <w:spacing w:after="0" w:line="360" w:lineRule="auto"/>
        <w:outlineLvl w:val="1"/>
        <w:rPr>
          <w:rFonts w:asciiTheme="majorHAnsi" w:eastAsia="Times New Roman" w:hAnsiTheme="majorHAnsi" w:cs="Times New Roman"/>
          <w:b/>
          <w:bCs/>
          <w:color w:val="212121"/>
          <w:sz w:val="20"/>
          <w:szCs w:val="20"/>
          <w:lang w:eastAsia="en-IN"/>
        </w:rPr>
      </w:pPr>
      <w:r w:rsidRPr="00747466">
        <w:rPr>
          <w:rFonts w:asciiTheme="majorHAnsi" w:eastAsia="Times New Roman" w:hAnsiTheme="majorHAnsi" w:cs="Times New Roman"/>
          <w:b/>
          <w:bCs/>
          <w:color w:val="212121"/>
          <w:sz w:val="20"/>
          <w:szCs w:val="20"/>
          <w:lang w:eastAsia="en-IN"/>
        </w:rPr>
        <w:t>Dr Muzaffar Ali'</w:t>
      </w:r>
      <w:r w:rsidRPr="00747466">
        <w:rPr>
          <w:rFonts w:asciiTheme="majorHAnsi" w:eastAsia="Times New Roman" w:hAnsiTheme="majorHAnsi" w:cs="Times New Roman"/>
          <w:b/>
          <w:bCs/>
          <w:color w:val="212121"/>
          <w:sz w:val="20"/>
          <w:szCs w:val="20"/>
          <w:vertAlign w:val="superscript"/>
          <w:lang w:eastAsia="en-IN"/>
        </w:rPr>
        <w:t>4</w:t>
      </w:r>
      <w:r w:rsidRPr="00747466">
        <w:rPr>
          <w:rFonts w:asciiTheme="majorHAnsi" w:eastAsia="Times New Roman" w:hAnsiTheme="majorHAnsi" w:cs="Times New Roman"/>
          <w:b/>
          <w:bCs/>
          <w:color w:val="212121"/>
          <w:sz w:val="20"/>
          <w:szCs w:val="20"/>
          <w:lang w:eastAsia="en-IN"/>
        </w:rPr>
        <w:t xml:space="preserve">,   Dr Muhammad Abid </w:t>
      </w:r>
      <w:r w:rsidRPr="00747466">
        <w:rPr>
          <w:rFonts w:asciiTheme="majorHAnsi" w:eastAsia="Times New Roman" w:hAnsiTheme="majorHAnsi" w:cs="Times New Roman"/>
          <w:b/>
          <w:bCs/>
          <w:color w:val="212121"/>
          <w:sz w:val="20"/>
          <w:szCs w:val="20"/>
          <w:lang w:eastAsia="en-IN"/>
        </w:rPr>
        <w:t>G</w:t>
      </w:r>
      <w:r w:rsidRPr="00747466">
        <w:rPr>
          <w:rFonts w:asciiTheme="majorHAnsi" w:eastAsia="Times New Roman" w:hAnsiTheme="majorHAnsi" w:cs="Times New Roman"/>
          <w:b/>
          <w:bCs/>
          <w:color w:val="212121"/>
          <w:sz w:val="20"/>
          <w:szCs w:val="20"/>
          <w:lang w:eastAsia="en-IN"/>
        </w:rPr>
        <w:t>eelani'</w:t>
      </w:r>
      <w:r w:rsidRPr="00747466">
        <w:rPr>
          <w:rFonts w:asciiTheme="majorHAnsi" w:eastAsia="Times New Roman" w:hAnsiTheme="majorHAnsi" w:cs="Times New Roman"/>
          <w:b/>
          <w:bCs/>
          <w:color w:val="212121"/>
          <w:sz w:val="20"/>
          <w:szCs w:val="20"/>
          <w:vertAlign w:val="superscript"/>
          <w:lang w:eastAsia="en-IN"/>
        </w:rPr>
        <w:t>5</w:t>
      </w:r>
    </w:p>
    <w:p w:rsidR="003011FF" w:rsidRPr="003011FF" w:rsidRDefault="003011FF" w:rsidP="003011FF">
      <w:pPr>
        <w:shd w:val="clear" w:color="auto" w:fill="FFFFFF"/>
        <w:spacing w:after="0" w:line="360" w:lineRule="auto"/>
        <w:jc w:val="center"/>
        <w:outlineLvl w:val="1"/>
        <w:rPr>
          <w:rFonts w:asciiTheme="majorHAnsi" w:eastAsia="Times New Roman" w:hAnsiTheme="majorHAnsi" w:cs="Times New Roman"/>
          <w:bCs/>
          <w:color w:val="212121"/>
          <w:sz w:val="24"/>
          <w:szCs w:val="24"/>
          <w:lang w:eastAsia="en-IN"/>
        </w:rPr>
      </w:pPr>
    </w:p>
    <w:p w:rsidR="003011FF" w:rsidRPr="00747466" w:rsidRDefault="003011FF" w:rsidP="003011FF">
      <w:pPr>
        <w:shd w:val="clear" w:color="auto" w:fill="FFFFFF"/>
        <w:spacing w:after="0" w:line="360" w:lineRule="auto"/>
        <w:outlineLvl w:val="1"/>
        <w:rPr>
          <w:rFonts w:asciiTheme="majorHAnsi" w:eastAsia="Times New Roman" w:hAnsiTheme="majorHAnsi" w:cs="Times New Roman"/>
          <w:bCs/>
          <w:color w:val="212121"/>
          <w:sz w:val="18"/>
          <w:szCs w:val="18"/>
          <w:lang w:eastAsia="en-IN"/>
        </w:rPr>
      </w:pPr>
      <w:r w:rsidRPr="00747466">
        <w:rPr>
          <w:rFonts w:asciiTheme="majorHAnsi" w:eastAsia="Times New Roman" w:hAnsiTheme="majorHAnsi" w:cs="Times New Roman"/>
          <w:bCs/>
          <w:color w:val="212121"/>
          <w:sz w:val="18"/>
          <w:szCs w:val="18"/>
          <w:vertAlign w:val="superscript"/>
          <w:lang w:eastAsia="en-IN"/>
        </w:rPr>
        <w:t>1,3,4</w:t>
      </w:r>
      <w:r w:rsidRPr="00747466">
        <w:rPr>
          <w:rFonts w:asciiTheme="majorHAnsi" w:eastAsia="Times New Roman" w:hAnsiTheme="majorHAnsi" w:cs="Times New Roman"/>
          <w:bCs/>
          <w:color w:val="212121"/>
          <w:sz w:val="18"/>
          <w:szCs w:val="18"/>
          <w:lang w:eastAsia="en-IN"/>
        </w:rPr>
        <w:t xml:space="preserve">- Mch Senior Resident, </w:t>
      </w:r>
      <w:r w:rsidRPr="00747466">
        <w:rPr>
          <w:rFonts w:asciiTheme="majorHAnsi" w:eastAsia="Times New Roman" w:hAnsiTheme="majorHAnsi" w:cs="Times New Roman"/>
          <w:bCs/>
          <w:color w:val="212121"/>
          <w:sz w:val="18"/>
          <w:szCs w:val="18"/>
          <w:lang w:eastAsia="en-IN"/>
        </w:rPr>
        <w:t>CTVS D</w:t>
      </w:r>
      <w:r w:rsidRPr="00747466">
        <w:rPr>
          <w:rFonts w:asciiTheme="majorHAnsi" w:eastAsia="Times New Roman" w:hAnsiTheme="majorHAnsi" w:cs="Times New Roman"/>
          <w:bCs/>
          <w:color w:val="212121"/>
          <w:sz w:val="18"/>
          <w:szCs w:val="18"/>
          <w:lang w:eastAsia="en-IN"/>
        </w:rPr>
        <w:t xml:space="preserve">epartment, </w:t>
      </w:r>
      <w:r w:rsidRPr="00747466">
        <w:rPr>
          <w:rFonts w:asciiTheme="majorHAnsi" w:eastAsia="Times New Roman" w:hAnsiTheme="majorHAnsi" w:cs="Times New Roman"/>
          <w:bCs/>
          <w:color w:val="212121"/>
          <w:sz w:val="18"/>
          <w:szCs w:val="18"/>
          <w:lang w:eastAsia="en-IN"/>
        </w:rPr>
        <w:t>GB Pant Institute of Post Graduate Medical Education and R</w:t>
      </w:r>
      <w:r w:rsidRPr="00747466">
        <w:rPr>
          <w:rFonts w:asciiTheme="majorHAnsi" w:eastAsia="Times New Roman" w:hAnsiTheme="majorHAnsi" w:cs="Times New Roman"/>
          <w:bCs/>
          <w:color w:val="212121"/>
          <w:sz w:val="18"/>
          <w:szCs w:val="18"/>
          <w:lang w:eastAsia="en-IN"/>
        </w:rPr>
        <w:t>esearch(GIPMER), New Delhi, India</w:t>
      </w:r>
    </w:p>
    <w:p w:rsidR="003011FF" w:rsidRPr="00747466" w:rsidRDefault="003011FF" w:rsidP="003011FF">
      <w:pPr>
        <w:shd w:val="clear" w:color="auto" w:fill="FFFFFF"/>
        <w:spacing w:after="0" w:line="360" w:lineRule="auto"/>
        <w:outlineLvl w:val="1"/>
        <w:rPr>
          <w:rFonts w:asciiTheme="majorHAnsi" w:eastAsia="Times New Roman" w:hAnsiTheme="majorHAnsi" w:cs="Times New Roman"/>
          <w:bCs/>
          <w:color w:val="212121"/>
          <w:sz w:val="18"/>
          <w:szCs w:val="18"/>
          <w:lang w:eastAsia="en-IN"/>
        </w:rPr>
      </w:pPr>
      <w:r w:rsidRPr="00747466">
        <w:rPr>
          <w:rFonts w:asciiTheme="majorHAnsi" w:eastAsia="Times New Roman" w:hAnsiTheme="majorHAnsi" w:cs="Times New Roman"/>
          <w:bCs/>
          <w:color w:val="212121"/>
          <w:sz w:val="18"/>
          <w:szCs w:val="18"/>
          <w:vertAlign w:val="superscript"/>
          <w:lang w:eastAsia="en-IN"/>
        </w:rPr>
        <w:t>2</w:t>
      </w:r>
      <w:r w:rsidRPr="00747466">
        <w:rPr>
          <w:rFonts w:asciiTheme="majorHAnsi" w:eastAsia="Times New Roman" w:hAnsiTheme="majorHAnsi" w:cs="Times New Roman"/>
          <w:bCs/>
          <w:color w:val="212121"/>
          <w:sz w:val="18"/>
          <w:szCs w:val="18"/>
          <w:lang w:eastAsia="en-IN"/>
        </w:rPr>
        <w:t xml:space="preserve">-Associate professor , </w:t>
      </w:r>
      <w:r w:rsidRPr="00747466">
        <w:rPr>
          <w:rFonts w:asciiTheme="majorHAnsi" w:eastAsia="Times New Roman" w:hAnsiTheme="majorHAnsi" w:cs="Times New Roman"/>
          <w:bCs/>
          <w:color w:val="212121"/>
          <w:sz w:val="18"/>
          <w:szCs w:val="18"/>
          <w:lang w:eastAsia="en-IN"/>
        </w:rPr>
        <w:t>CTVS Department, GB Pant Institute of Post Graduate Medical Education and Research(GIPMER), New Delhi, India</w:t>
      </w:r>
    </w:p>
    <w:p w:rsidR="00747466" w:rsidRPr="00747466" w:rsidRDefault="003011FF" w:rsidP="00747466">
      <w:pPr>
        <w:shd w:val="clear" w:color="auto" w:fill="FFFFFF"/>
        <w:spacing w:after="0" w:line="360" w:lineRule="auto"/>
        <w:outlineLvl w:val="1"/>
        <w:rPr>
          <w:rFonts w:asciiTheme="majorHAnsi" w:eastAsia="Times New Roman" w:hAnsiTheme="majorHAnsi" w:cs="Times New Roman"/>
          <w:bCs/>
          <w:color w:val="212121"/>
          <w:sz w:val="18"/>
          <w:szCs w:val="18"/>
          <w:lang w:eastAsia="en-IN"/>
        </w:rPr>
      </w:pPr>
      <w:r w:rsidRPr="00747466">
        <w:rPr>
          <w:rFonts w:asciiTheme="majorHAnsi" w:eastAsia="Times New Roman" w:hAnsiTheme="majorHAnsi" w:cs="Times New Roman"/>
          <w:bCs/>
          <w:color w:val="212121"/>
          <w:sz w:val="18"/>
          <w:szCs w:val="18"/>
          <w:vertAlign w:val="superscript"/>
          <w:lang w:eastAsia="en-IN"/>
        </w:rPr>
        <w:t>5</w:t>
      </w:r>
      <w:r w:rsidRPr="00747466">
        <w:rPr>
          <w:rFonts w:asciiTheme="majorHAnsi" w:eastAsia="Times New Roman" w:hAnsiTheme="majorHAnsi" w:cs="Times New Roman"/>
          <w:bCs/>
          <w:color w:val="212121"/>
          <w:sz w:val="18"/>
          <w:szCs w:val="18"/>
          <w:lang w:eastAsia="en-IN"/>
        </w:rPr>
        <w:t xml:space="preserve">-Director and Professor, Head </w:t>
      </w:r>
      <w:r w:rsidR="00747466" w:rsidRPr="00747466">
        <w:rPr>
          <w:rFonts w:asciiTheme="majorHAnsi" w:eastAsia="Times New Roman" w:hAnsiTheme="majorHAnsi" w:cs="Times New Roman"/>
          <w:bCs/>
          <w:color w:val="212121"/>
          <w:sz w:val="18"/>
          <w:szCs w:val="18"/>
          <w:lang w:eastAsia="en-IN"/>
        </w:rPr>
        <w:t>of CTVS Department, GB Pant Institute of Post Graduate Medical Education and Research (GIPMER), New Delhi, India</w:t>
      </w:r>
    </w:p>
    <w:p w:rsidR="003011FF" w:rsidRPr="00747466" w:rsidRDefault="003011FF" w:rsidP="003011FF">
      <w:pPr>
        <w:shd w:val="clear" w:color="auto" w:fill="FFFFFF"/>
        <w:spacing w:after="0" w:line="360" w:lineRule="auto"/>
        <w:outlineLvl w:val="1"/>
        <w:rPr>
          <w:rFonts w:asciiTheme="majorHAnsi" w:eastAsia="Times New Roman" w:hAnsiTheme="majorHAnsi" w:cs="Times New Roman"/>
          <w:bCs/>
          <w:color w:val="212121"/>
          <w:sz w:val="18"/>
          <w:szCs w:val="18"/>
          <w:lang w:eastAsia="en-IN"/>
        </w:rPr>
      </w:pPr>
      <w:r w:rsidRPr="00747466">
        <w:rPr>
          <w:rFonts w:asciiTheme="majorHAnsi" w:eastAsia="Times New Roman" w:hAnsiTheme="majorHAnsi" w:cs="Times New Roman"/>
          <w:bCs/>
          <w:color w:val="212121"/>
          <w:sz w:val="18"/>
          <w:szCs w:val="18"/>
          <w:lang w:eastAsia="en-IN"/>
        </w:rPr>
        <w:t>Corresponding author*</w:t>
      </w:r>
    </w:p>
    <w:p w:rsidR="003011FF" w:rsidRDefault="003011FF" w:rsidP="00BF2D83">
      <w:pPr>
        <w:shd w:val="clear" w:color="auto" w:fill="FFFFFF"/>
        <w:spacing w:after="0" w:line="360" w:lineRule="auto"/>
        <w:jc w:val="both"/>
        <w:outlineLvl w:val="1"/>
        <w:rPr>
          <w:rFonts w:ascii="Times New Roman" w:eastAsia="Times New Roman" w:hAnsi="Times New Roman" w:cs="Times New Roman"/>
          <w:b/>
          <w:bCs/>
          <w:color w:val="212121"/>
          <w:sz w:val="24"/>
          <w:szCs w:val="24"/>
          <w:lang w:eastAsia="en-IN"/>
        </w:rPr>
      </w:pPr>
    </w:p>
    <w:p w:rsidR="003011FF" w:rsidRDefault="003011FF" w:rsidP="00BF2D83">
      <w:pPr>
        <w:shd w:val="clear" w:color="auto" w:fill="FFFFFF"/>
        <w:spacing w:after="0" w:line="360" w:lineRule="auto"/>
        <w:jc w:val="both"/>
        <w:outlineLvl w:val="1"/>
        <w:rPr>
          <w:rFonts w:ascii="Times New Roman" w:eastAsia="Times New Roman" w:hAnsi="Times New Roman" w:cs="Times New Roman"/>
          <w:b/>
          <w:bCs/>
          <w:color w:val="212121"/>
          <w:sz w:val="24"/>
          <w:szCs w:val="24"/>
          <w:lang w:eastAsia="en-IN"/>
        </w:rPr>
      </w:pPr>
    </w:p>
    <w:p w:rsidR="00E31219" w:rsidRPr="00747466" w:rsidRDefault="00E31219" w:rsidP="00BF2D83">
      <w:pPr>
        <w:shd w:val="clear" w:color="auto" w:fill="FFFFFF"/>
        <w:spacing w:after="0" w:line="360" w:lineRule="auto"/>
        <w:jc w:val="both"/>
        <w:outlineLvl w:val="1"/>
        <w:rPr>
          <w:rFonts w:ascii="Times New Roman" w:eastAsia="Times New Roman" w:hAnsi="Times New Roman" w:cs="Times New Roman"/>
          <w:b/>
          <w:bCs/>
          <w:color w:val="212121"/>
          <w:sz w:val="20"/>
          <w:szCs w:val="20"/>
          <w:lang w:eastAsia="en-IN"/>
        </w:rPr>
      </w:pPr>
      <w:r w:rsidRPr="00747466">
        <w:rPr>
          <w:rFonts w:ascii="Times New Roman" w:eastAsia="Times New Roman" w:hAnsi="Times New Roman" w:cs="Times New Roman"/>
          <w:b/>
          <w:bCs/>
          <w:color w:val="212121"/>
          <w:sz w:val="20"/>
          <w:szCs w:val="20"/>
          <w:lang w:eastAsia="en-IN"/>
        </w:rPr>
        <w:t xml:space="preserve">Abstract: </w:t>
      </w:r>
    </w:p>
    <w:p w:rsidR="00E31219" w:rsidRPr="00747466" w:rsidRDefault="00E31219" w:rsidP="00BF2D83">
      <w:pPr>
        <w:shd w:val="clear" w:color="auto" w:fill="FFFFFF"/>
        <w:spacing w:after="0" w:line="360" w:lineRule="auto"/>
        <w:jc w:val="both"/>
        <w:rPr>
          <w:rFonts w:ascii="Times New Roman" w:eastAsia="Times New Roman" w:hAnsi="Times New Roman" w:cs="Times New Roman"/>
          <w:sz w:val="18"/>
          <w:szCs w:val="18"/>
          <w:lang w:eastAsia="en-IN"/>
        </w:rPr>
      </w:pPr>
      <w:r w:rsidRPr="00747466">
        <w:rPr>
          <w:rFonts w:ascii="Times New Roman" w:eastAsia="Times New Roman" w:hAnsi="Times New Roman" w:cs="Times New Roman"/>
          <w:b/>
          <w:bCs/>
          <w:sz w:val="18"/>
          <w:szCs w:val="18"/>
          <w:lang w:eastAsia="en-IN"/>
        </w:rPr>
        <w:t>Background: </w:t>
      </w:r>
      <w:r w:rsidR="00AE5AF0" w:rsidRPr="00747466">
        <w:rPr>
          <w:rFonts w:ascii="Times New Roman" w:eastAsia="Times New Roman" w:hAnsi="Times New Roman" w:cs="Times New Roman"/>
          <w:sz w:val="18"/>
          <w:szCs w:val="18"/>
          <w:lang w:eastAsia="en-IN"/>
        </w:rPr>
        <w:t xml:space="preserve">It is not yet clear how hemoglobin A1c (HbA1c) and preoperative glycemia can be used in clinical decision-making to prevent </w:t>
      </w:r>
      <w:r w:rsidR="009F1A0E" w:rsidRPr="00747466">
        <w:rPr>
          <w:rFonts w:ascii="Times New Roman" w:eastAsia="Times New Roman" w:hAnsi="Times New Roman" w:cs="Times New Roman"/>
          <w:sz w:val="18"/>
          <w:szCs w:val="18"/>
          <w:lang w:eastAsia="en-IN"/>
        </w:rPr>
        <w:t xml:space="preserve">sternal wound </w:t>
      </w:r>
      <w:r w:rsidR="00AE5AF0" w:rsidRPr="00747466">
        <w:rPr>
          <w:rFonts w:ascii="Times New Roman" w:eastAsia="Times New Roman" w:hAnsi="Times New Roman" w:cs="Times New Roman"/>
          <w:sz w:val="18"/>
          <w:szCs w:val="18"/>
          <w:lang w:eastAsia="en-IN"/>
        </w:rPr>
        <w:t>complications following off-pump coronary bypass grafting (OPCAB).</w:t>
      </w:r>
    </w:p>
    <w:p w:rsidR="00E31219" w:rsidRPr="00747466" w:rsidRDefault="00E31219" w:rsidP="00BF2D83">
      <w:pPr>
        <w:shd w:val="clear" w:color="auto" w:fill="FFFFFF"/>
        <w:spacing w:after="0" w:line="360" w:lineRule="auto"/>
        <w:jc w:val="both"/>
        <w:rPr>
          <w:rFonts w:ascii="Times New Roman" w:eastAsia="Times New Roman" w:hAnsi="Times New Roman" w:cs="Times New Roman"/>
          <w:sz w:val="18"/>
          <w:szCs w:val="18"/>
          <w:lang w:eastAsia="en-IN"/>
        </w:rPr>
      </w:pPr>
      <w:r w:rsidRPr="00747466">
        <w:rPr>
          <w:rFonts w:ascii="Times New Roman" w:eastAsia="Times New Roman" w:hAnsi="Times New Roman" w:cs="Times New Roman"/>
          <w:b/>
          <w:bCs/>
          <w:sz w:val="18"/>
          <w:szCs w:val="18"/>
          <w:lang w:eastAsia="en-IN"/>
        </w:rPr>
        <w:t>Methods: </w:t>
      </w:r>
      <w:r w:rsidRPr="00747466">
        <w:rPr>
          <w:rFonts w:ascii="Times New Roman" w:eastAsia="Times New Roman" w:hAnsi="Times New Roman" w:cs="Times New Roman"/>
          <w:sz w:val="18"/>
          <w:szCs w:val="18"/>
          <w:lang w:eastAsia="en-IN"/>
        </w:rPr>
        <w:t xml:space="preserve">We conducted a retrospective study of 50 consecutive patients who underwent OPCAB surgery. The associations of HbA1c and preoperative glycemia with incidence and grade of SWC were analysed. </w:t>
      </w:r>
    </w:p>
    <w:p w:rsidR="00A64159" w:rsidRPr="00747466" w:rsidRDefault="00E31219" w:rsidP="00BF2D83">
      <w:pPr>
        <w:shd w:val="clear" w:color="auto" w:fill="FFFFFF"/>
        <w:spacing w:after="0" w:line="360" w:lineRule="auto"/>
        <w:jc w:val="both"/>
        <w:rPr>
          <w:rFonts w:ascii="Times New Roman" w:eastAsia="Times New Roman" w:hAnsi="Times New Roman" w:cs="Times New Roman"/>
          <w:b/>
          <w:bCs/>
          <w:sz w:val="18"/>
          <w:szCs w:val="18"/>
          <w:lang w:eastAsia="en-IN"/>
        </w:rPr>
      </w:pPr>
      <w:r w:rsidRPr="00747466">
        <w:rPr>
          <w:rFonts w:ascii="Times New Roman" w:eastAsia="Times New Roman" w:hAnsi="Times New Roman" w:cs="Times New Roman"/>
          <w:b/>
          <w:bCs/>
          <w:sz w:val="18"/>
          <w:szCs w:val="18"/>
          <w:lang w:eastAsia="en-IN"/>
        </w:rPr>
        <w:t>Results: </w:t>
      </w:r>
      <w:r w:rsidR="00A64159" w:rsidRPr="00747466">
        <w:rPr>
          <w:rFonts w:ascii="Times New Roman" w:eastAsia="Times New Roman" w:hAnsi="Times New Roman" w:cs="Times New Roman"/>
          <w:bCs/>
          <w:sz w:val="18"/>
          <w:szCs w:val="18"/>
          <w:lang w:eastAsia="en-IN"/>
        </w:rPr>
        <w:t xml:space="preserve">Preoperative HbA1c was &lt;7% in 25 patients ( Group A) and ≥7.0% in 25 patients ( Group B ) Patients in the high HbA1c group were younger, with greater preoperative serum glucose levels 150 mg/dL vs 124 mg/Dl ( </w:t>
      </w:r>
      <w:r w:rsidR="00A64159" w:rsidRPr="00747466">
        <w:rPr>
          <w:rFonts w:ascii="Times New Roman" w:eastAsia="Times New Roman" w:hAnsi="Times New Roman" w:cs="Times New Roman"/>
          <w:bCs/>
          <w:i/>
          <w:iCs/>
          <w:sz w:val="18"/>
          <w:szCs w:val="18"/>
          <w:lang w:eastAsia="en-IN"/>
        </w:rPr>
        <w:t>P</w:t>
      </w:r>
      <w:r w:rsidR="00A64159" w:rsidRPr="00747466">
        <w:rPr>
          <w:rFonts w:ascii="Times New Roman" w:eastAsia="Times New Roman" w:hAnsi="Times New Roman" w:cs="Times New Roman"/>
          <w:bCs/>
          <w:sz w:val="18"/>
          <w:szCs w:val="18"/>
          <w:lang w:eastAsia="en-IN"/>
        </w:rPr>
        <w:t> &lt; .001) and more frequent history of preoperative insulin use (18% vs 8%, </w:t>
      </w:r>
      <w:r w:rsidR="00A64159" w:rsidRPr="00747466">
        <w:rPr>
          <w:rFonts w:ascii="Times New Roman" w:eastAsia="Times New Roman" w:hAnsi="Times New Roman" w:cs="Times New Roman"/>
          <w:bCs/>
          <w:i/>
          <w:iCs/>
          <w:sz w:val="18"/>
          <w:szCs w:val="18"/>
          <w:lang w:eastAsia="en-IN"/>
        </w:rPr>
        <w:t>P</w:t>
      </w:r>
      <w:r w:rsidR="00A64159" w:rsidRPr="00747466">
        <w:rPr>
          <w:rFonts w:ascii="Times New Roman" w:eastAsia="Times New Roman" w:hAnsi="Times New Roman" w:cs="Times New Roman"/>
          <w:bCs/>
          <w:sz w:val="18"/>
          <w:szCs w:val="18"/>
          <w:lang w:eastAsia="en-IN"/>
        </w:rPr>
        <w:t xml:space="preserve"> &lt;.001) Hypertension and CCF was found more significant in Group B than A . Incidence of composite of postoperative morbidity and mortality endpoints was greater in patients with HbA1c ≥7.0% (22% vs 14%, P = .043). Perioperative time-weighted average glucose concentration was also greater in patients with HbA1c ≥7.0%, whereas the CV did not show any difference. </w:t>
      </w:r>
    </w:p>
    <w:p w:rsidR="00E31219" w:rsidRPr="00747466" w:rsidRDefault="00E31219" w:rsidP="00BF2D83">
      <w:pPr>
        <w:shd w:val="clear" w:color="auto" w:fill="FFFFFF"/>
        <w:spacing w:after="0" w:line="360" w:lineRule="auto"/>
        <w:jc w:val="both"/>
        <w:rPr>
          <w:rFonts w:ascii="Times New Roman" w:eastAsia="Times New Roman" w:hAnsi="Times New Roman" w:cs="Times New Roman"/>
          <w:sz w:val="18"/>
          <w:szCs w:val="18"/>
          <w:lang w:eastAsia="en-IN"/>
        </w:rPr>
      </w:pPr>
      <w:r w:rsidRPr="00747466">
        <w:rPr>
          <w:rFonts w:ascii="Times New Roman" w:eastAsia="Times New Roman" w:hAnsi="Times New Roman" w:cs="Times New Roman"/>
          <w:b/>
          <w:bCs/>
          <w:sz w:val="18"/>
          <w:szCs w:val="18"/>
          <w:lang w:eastAsia="en-IN"/>
        </w:rPr>
        <w:t>Conclusions: </w:t>
      </w:r>
      <w:r w:rsidR="00AE5AF0" w:rsidRPr="00747466">
        <w:rPr>
          <w:rFonts w:ascii="Times New Roman" w:eastAsia="Times New Roman" w:hAnsi="Times New Roman" w:cs="Times New Roman"/>
          <w:sz w:val="18"/>
          <w:szCs w:val="18"/>
          <w:lang w:eastAsia="en-IN"/>
        </w:rPr>
        <w:t>Under certain conditions, HbA1c and glycemia are associated with SWC following OPCAB. These findings help to plan the process with minimal SWC risk.</w:t>
      </w:r>
    </w:p>
    <w:p w:rsidR="00E31219" w:rsidRPr="00747466" w:rsidRDefault="00E31219" w:rsidP="00BF2D83">
      <w:pPr>
        <w:shd w:val="clear" w:color="auto" w:fill="FFFFFF"/>
        <w:spacing w:after="0" w:line="360" w:lineRule="auto"/>
        <w:jc w:val="both"/>
        <w:rPr>
          <w:rFonts w:ascii="Times New Roman" w:eastAsia="Times New Roman" w:hAnsi="Times New Roman" w:cs="Times New Roman"/>
          <w:sz w:val="18"/>
          <w:szCs w:val="18"/>
          <w:lang w:eastAsia="en-IN"/>
        </w:rPr>
      </w:pPr>
      <w:r w:rsidRPr="00747466">
        <w:rPr>
          <w:rFonts w:ascii="Times New Roman" w:eastAsia="Times New Roman" w:hAnsi="Times New Roman" w:cs="Times New Roman"/>
          <w:b/>
          <w:bCs/>
          <w:sz w:val="18"/>
          <w:szCs w:val="18"/>
          <w:lang w:eastAsia="en-IN"/>
        </w:rPr>
        <w:t>Keywords: </w:t>
      </w:r>
      <w:r w:rsidRPr="00747466">
        <w:rPr>
          <w:rFonts w:ascii="Times New Roman" w:eastAsia="Times New Roman" w:hAnsi="Times New Roman" w:cs="Times New Roman"/>
          <w:sz w:val="18"/>
          <w:szCs w:val="18"/>
          <w:lang w:eastAsia="en-IN"/>
        </w:rPr>
        <w:t>Diabetes mellitus , HbA1c, OPCAB, Sternal wound complications, Sternal wound infections.</w:t>
      </w:r>
    </w:p>
    <w:p w:rsidR="00E31219" w:rsidRPr="00747466" w:rsidRDefault="00E31219" w:rsidP="00BF2D83">
      <w:pPr>
        <w:spacing w:after="0" w:line="360" w:lineRule="auto"/>
        <w:jc w:val="both"/>
        <w:rPr>
          <w:rFonts w:ascii="Times New Roman" w:hAnsi="Times New Roman" w:cs="Times New Roman"/>
          <w:sz w:val="18"/>
          <w:szCs w:val="18"/>
        </w:rPr>
      </w:pPr>
    </w:p>
    <w:p w:rsidR="00E31219" w:rsidRPr="00747466" w:rsidRDefault="00E31219" w:rsidP="00BF2D83">
      <w:pPr>
        <w:spacing w:after="0" w:line="360" w:lineRule="auto"/>
        <w:jc w:val="both"/>
        <w:rPr>
          <w:rFonts w:ascii="Times New Roman" w:hAnsi="Times New Roman" w:cs="Times New Roman"/>
          <w:sz w:val="20"/>
          <w:szCs w:val="20"/>
        </w:rPr>
      </w:pPr>
    </w:p>
    <w:p w:rsidR="003D1344" w:rsidRPr="00747466" w:rsidRDefault="00E31219" w:rsidP="00BF2D83">
      <w:pPr>
        <w:shd w:val="clear" w:color="auto" w:fill="FFFFFF"/>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Introduction:</w:t>
      </w:r>
    </w:p>
    <w:p w:rsidR="00BF2D83" w:rsidRPr="00747466" w:rsidRDefault="00BF2D83" w:rsidP="00BF2D83">
      <w:pPr>
        <w:shd w:val="clear" w:color="auto" w:fill="FFFFFF"/>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xml:space="preserve">Diabetes mellitus (DM) is a very common disease in patients undergoing coronary artery bypass graft surgery (CABG) which is known to have serious side effects. However, not all patients with DM have heart surgery who are at increased risk of adverse outcomes. Several studies focusing on factors influencing increased risk, particularly glycemic control, which may be variable, have reported conflicting results. Glycated hemoglobin (HbA1c) level, a well-known indicator of long-term glycemic control for the last 3 to 4 months, has been reported to be associated with dysfunction of small blood vessels, resulting in organ damage. investigated in different categories of surgical patients. From the perspective of short-term glycemic control, perioperative </w:t>
      </w:r>
      <w:r w:rsidRPr="00747466">
        <w:rPr>
          <w:rFonts w:ascii="Times New Roman" w:eastAsia="Times New Roman" w:hAnsi="Times New Roman" w:cs="Times New Roman"/>
          <w:sz w:val="20"/>
          <w:szCs w:val="20"/>
          <w:lang w:eastAsia="en-IN"/>
        </w:rPr>
        <w:lastRenderedPageBreak/>
        <w:t>hyperglycemia and increased glycemic variability were closely associated with adverse outcomes in cardiac surgery patients. (1,2,3)</w:t>
      </w:r>
    </w:p>
    <w:p w:rsidR="00BF2D83" w:rsidRPr="00747466" w:rsidRDefault="00BF2D83" w:rsidP="00BF2D83">
      <w:pPr>
        <w:shd w:val="clear" w:color="auto" w:fill="FFFFFF"/>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xml:space="preserve">It is not yet clear how hemoglobin A1c (HbA1c) and preoperative glycemia can be used in clinical decision-making to prevent </w:t>
      </w:r>
      <w:r w:rsidR="009F1A0E" w:rsidRPr="00747466">
        <w:rPr>
          <w:rFonts w:ascii="Times New Roman" w:eastAsia="Times New Roman" w:hAnsi="Times New Roman" w:cs="Times New Roman"/>
          <w:sz w:val="20"/>
          <w:szCs w:val="20"/>
          <w:lang w:eastAsia="en-IN"/>
        </w:rPr>
        <w:t xml:space="preserve">sternal wound </w:t>
      </w:r>
      <w:r w:rsidRPr="00747466">
        <w:rPr>
          <w:rFonts w:ascii="Times New Roman" w:eastAsia="Times New Roman" w:hAnsi="Times New Roman" w:cs="Times New Roman"/>
          <w:sz w:val="20"/>
          <w:szCs w:val="20"/>
          <w:lang w:eastAsia="en-IN"/>
        </w:rPr>
        <w:t>complications following off-pump coronary bypass grafting (OPCAB). There seems to be a number of diabetic variables regarding glycemic control to improve the outcome of surgery. The aim of the study was to evaluate the impact of preoperative glycated hemoglobin (HbA1c) level on diabetic patients receiving off-pump coronary bypass (OPCAB) differences in perioperative glycemic differences and adverse effect.</w:t>
      </w:r>
    </w:p>
    <w:p w:rsidR="00E31219" w:rsidRPr="00747466" w:rsidRDefault="00E31219" w:rsidP="00BF2D83">
      <w:pPr>
        <w:shd w:val="clear" w:color="auto" w:fill="FFFFFF"/>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Methodology:</w:t>
      </w:r>
    </w:p>
    <w:p w:rsidR="00A64159" w:rsidRPr="00747466" w:rsidRDefault="00A64159" w:rsidP="00BF2D83">
      <w:pPr>
        <w:shd w:val="clear" w:color="auto" w:fill="FFFFFF"/>
        <w:spacing w:after="0" w:line="360" w:lineRule="auto"/>
        <w:jc w:val="both"/>
        <w:rPr>
          <w:rFonts w:ascii="Times New Roman" w:eastAsia="Times New Roman" w:hAnsi="Times New Roman" w:cs="Times New Roman"/>
          <w:bCs/>
          <w:sz w:val="20"/>
          <w:szCs w:val="20"/>
          <w:lang w:eastAsia="en-IN"/>
        </w:rPr>
      </w:pPr>
      <w:r w:rsidRPr="00747466">
        <w:rPr>
          <w:rFonts w:ascii="Times New Roman" w:eastAsia="Times New Roman" w:hAnsi="Times New Roman" w:cs="Times New Roman"/>
          <w:bCs/>
          <w:sz w:val="20"/>
          <w:szCs w:val="20"/>
          <w:lang w:eastAsia="en-IN"/>
        </w:rPr>
        <w:t xml:space="preserve">Present study was conducted in our department in last one year. Retrospectively we collected all data and was analysed. Sample size was estimated with the help of expert. We divided patients in two groups depending on HBA1C level either less than 7 ( Group A) and more than 7 ( Group B) </w:t>
      </w:r>
    </w:p>
    <w:p w:rsidR="00A64159" w:rsidRPr="00747466" w:rsidRDefault="00E31219" w:rsidP="00BF2D83">
      <w:pPr>
        <w:shd w:val="clear" w:color="auto" w:fill="FFFFFF"/>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b/>
          <w:bCs/>
          <w:sz w:val="20"/>
          <w:szCs w:val="20"/>
          <w:lang w:eastAsia="en-IN"/>
        </w:rPr>
        <w:t> </w:t>
      </w:r>
      <w:r w:rsidRPr="00747466">
        <w:rPr>
          <w:rFonts w:ascii="Times New Roman" w:eastAsia="Times New Roman" w:hAnsi="Times New Roman" w:cs="Times New Roman"/>
          <w:sz w:val="20"/>
          <w:szCs w:val="20"/>
          <w:lang w:eastAsia="en-IN"/>
        </w:rPr>
        <w:t xml:space="preserve">We conducted a retrospective study of 50 consecutive patients who underwent OPCAB surgery. The associations of HbA1c and preoperative glycemia with incidence and grade of SWC were analysed. </w:t>
      </w:r>
    </w:p>
    <w:p w:rsidR="003D1344" w:rsidRPr="00747466" w:rsidRDefault="00E31219" w:rsidP="00BF2D83">
      <w:pPr>
        <w:shd w:val="clear" w:color="auto" w:fill="FFFFFF"/>
        <w:spacing w:after="0" w:line="360" w:lineRule="auto"/>
        <w:jc w:val="both"/>
        <w:rPr>
          <w:rFonts w:ascii="Times New Roman" w:eastAsia="Times New Roman" w:hAnsi="Times New Roman" w:cs="Times New Roman"/>
          <w:sz w:val="20"/>
          <w:szCs w:val="20"/>
          <w:lang w:eastAsia="en-IN"/>
        </w:rPr>
      </w:pPr>
      <w:r w:rsidRPr="00747466">
        <w:rPr>
          <w:rFonts w:ascii="Times New Roman" w:hAnsi="Times New Roman" w:cs="Times New Roman"/>
          <w:sz w:val="20"/>
          <w:szCs w:val="20"/>
          <w:shd w:val="clear" w:color="auto" w:fill="FFFFFF"/>
        </w:rPr>
        <w:t xml:space="preserve">The perioperative goal of glycemic control was &lt;180 mg/dL. Patients were divided into 2 groups according to HbA1c level (&lt;7.0% or ≥7.0%). Glycemic variability during surgery and up to 24 hours after surgery was assessed by coefficient of variation (CV). </w:t>
      </w:r>
    </w:p>
    <w:p w:rsidR="00E31219" w:rsidRPr="00747466" w:rsidRDefault="00E31219" w:rsidP="00BF2D83">
      <w:pPr>
        <w:shd w:val="clear" w:color="auto" w:fill="FFFFFF"/>
        <w:spacing w:after="0" w:line="360" w:lineRule="auto"/>
        <w:jc w:val="both"/>
        <w:rPr>
          <w:rFonts w:ascii="Times New Roman" w:eastAsia="Times New Roman" w:hAnsi="Times New Roman" w:cs="Times New Roman"/>
          <w:b/>
          <w:bCs/>
          <w:sz w:val="20"/>
          <w:szCs w:val="20"/>
          <w:lang w:eastAsia="en-IN"/>
        </w:rPr>
      </w:pPr>
      <w:r w:rsidRPr="00747466">
        <w:rPr>
          <w:rFonts w:ascii="Times New Roman" w:hAnsi="Times New Roman" w:cs="Times New Roman"/>
          <w:sz w:val="20"/>
          <w:szCs w:val="20"/>
          <w:shd w:val="clear" w:color="auto" w:fill="FFFFFF"/>
        </w:rPr>
        <w:t>Primary outcome was defined as composite of postoperative permanent stroke, prolonged ventilation, deep sternal wound infection, renal failure, reoperation, and 30-day mortality.</w:t>
      </w:r>
    </w:p>
    <w:p w:rsidR="00747466" w:rsidRDefault="00747466" w:rsidP="00BF2D83">
      <w:pPr>
        <w:spacing w:after="0" w:line="360" w:lineRule="auto"/>
        <w:jc w:val="both"/>
        <w:outlineLvl w:val="2"/>
        <w:rPr>
          <w:rFonts w:ascii="Times New Roman" w:eastAsia="Times New Roman" w:hAnsi="Times New Roman" w:cs="Times New Roman"/>
          <w:b/>
          <w:spacing w:val="-2"/>
          <w:sz w:val="20"/>
          <w:szCs w:val="20"/>
          <w:lang w:eastAsia="en-IN"/>
        </w:rPr>
      </w:pPr>
    </w:p>
    <w:p w:rsidR="003D1344" w:rsidRPr="00747466" w:rsidRDefault="003D1344" w:rsidP="00BF2D83">
      <w:pPr>
        <w:spacing w:after="0" w:line="360" w:lineRule="auto"/>
        <w:jc w:val="both"/>
        <w:outlineLvl w:val="2"/>
        <w:rPr>
          <w:rFonts w:ascii="Times New Roman" w:eastAsia="Times New Roman" w:hAnsi="Times New Roman" w:cs="Times New Roman"/>
          <w:b/>
          <w:spacing w:val="-2"/>
          <w:sz w:val="20"/>
          <w:szCs w:val="20"/>
          <w:lang w:eastAsia="en-IN"/>
        </w:rPr>
      </w:pPr>
      <w:r w:rsidRPr="00747466">
        <w:rPr>
          <w:rFonts w:ascii="Times New Roman" w:eastAsia="Times New Roman" w:hAnsi="Times New Roman" w:cs="Times New Roman"/>
          <w:b/>
          <w:spacing w:val="-2"/>
          <w:sz w:val="20"/>
          <w:szCs w:val="20"/>
          <w:lang w:eastAsia="en-IN"/>
        </w:rPr>
        <w:t xml:space="preserve">Table 1 - </w:t>
      </w:r>
      <w:r w:rsidRPr="00747466">
        <w:rPr>
          <w:rFonts w:ascii="Times New Roman" w:eastAsia="Times New Roman" w:hAnsi="Times New Roman" w:cs="Times New Roman"/>
          <w:b/>
          <w:sz w:val="20"/>
          <w:szCs w:val="20"/>
          <w:lang w:eastAsia="en-IN"/>
        </w:rPr>
        <w:t>Grading of sternal wound complications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4"/>
        <w:gridCol w:w="5197"/>
      </w:tblGrid>
      <w:tr w:rsidR="00BF2D83" w:rsidRPr="00747466" w:rsidTr="003D1344">
        <w:tc>
          <w:tcPr>
            <w:tcW w:w="0" w:type="auto"/>
            <w:vMerge w:val="restart"/>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Grade 1: Minor</w:t>
            </w: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Superficial wound problem: local redness or minimal drainage</w:t>
            </w:r>
          </w:p>
        </w:tc>
      </w:tr>
      <w:tr w:rsidR="00BF2D83" w:rsidRPr="00747466" w:rsidTr="003D1344">
        <w:tc>
          <w:tcPr>
            <w:tcW w:w="0" w:type="auto"/>
            <w:vMerge/>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Conservative approach, spontaneous healing</w:t>
            </w:r>
          </w:p>
        </w:tc>
      </w:tr>
      <w:tr w:rsidR="00BF2D83" w:rsidRPr="00747466" w:rsidTr="003D1344">
        <w:tc>
          <w:tcPr>
            <w:tcW w:w="0" w:type="auto"/>
            <w:vMerge w:val="restart"/>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Grade 2: Superficial</w:t>
            </w: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Wound infection: positive culture</w:t>
            </w:r>
          </w:p>
        </w:tc>
      </w:tr>
      <w:tr w:rsidR="00BF2D83" w:rsidRPr="00747466" w:rsidTr="003D1344">
        <w:tc>
          <w:tcPr>
            <w:tcW w:w="0" w:type="auto"/>
            <w:vMerge/>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Antibiotic treatment</w:t>
            </w:r>
          </w:p>
        </w:tc>
      </w:tr>
      <w:tr w:rsidR="00BF2D83" w:rsidRPr="00747466" w:rsidTr="003D1344">
        <w:tc>
          <w:tcPr>
            <w:tcW w:w="0" w:type="auto"/>
            <w:vMerge w:val="restart"/>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Grade 3: Moderate</w:t>
            </w: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Deep wound infection: dehiscence</w:t>
            </w:r>
          </w:p>
        </w:tc>
      </w:tr>
      <w:tr w:rsidR="00BF2D83" w:rsidRPr="00747466" w:rsidTr="003D1344">
        <w:tc>
          <w:tcPr>
            <w:tcW w:w="0" w:type="auto"/>
            <w:vMerge/>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Need for drainage, debridement, or VAC</w:t>
            </w:r>
          </w:p>
        </w:tc>
      </w:tr>
      <w:tr w:rsidR="00BF2D83" w:rsidRPr="00747466" w:rsidTr="003D1344">
        <w:tc>
          <w:tcPr>
            <w:tcW w:w="0" w:type="auto"/>
            <w:vMerge w:val="restart"/>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Grade 4: Severe</w:t>
            </w: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Mediastinitis or mechanical sternal dehiscence</w:t>
            </w:r>
          </w:p>
        </w:tc>
      </w:tr>
      <w:tr w:rsidR="00BF2D83" w:rsidRPr="00747466" w:rsidTr="003D1344">
        <w:tc>
          <w:tcPr>
            <w:tcW w:w="0" w:type="auto"/>
            <w:vMerge/>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p>
        </w:tc>
        <w:tc>
          <w:tcPr>
            <w:tcW w:w="0" w:type="auto"/>
            <w:tcMar>
              <w:top w:w="48" w:type="dxa"/>
              <w:left w:w="96" w:type="dxa"/>
              <w:bottom w:w="48" w:type="dxa"/>
              <w:right w:w="96" w:type="dxa"/>
            </w:tcMar>
            <w:vAlign w:val="center"/>
            <w:hideMark/>
          </w:tcPr>
          <w:p w:rsidR="003D1344" w:rsidRPr="00747466" w:rsidRDefault="003D1344"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Refixation of the sternum or omentoplasty</w:t>
            </w:r>
          </w:p>
        </w:tc>
      </w:tr>
    </w:tbl>
    <w:p w:rsidR="00E31219" w:rsidRPr="00747466" w:rsidRDefault="00E31219"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E31219" w:rsidRPr="00747466" w:rsidRDefault="00E31219" w:rsidP="00BF2D83">
      <w:pPr>
        <w:shd w:val="clear" w:color="auto" w:fill="FFFFFF"/>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Results: </w:t>
      </w:r>
    </w:p>
    <w:p w:rsidR="00707B58" w:rsidRPr="00747466" w:rsidRDefault="00707B58" w:rsidP="00BF2D83">
      <w:pPr>
        <w:shd w:val="clear" w:color="auto" w:fill="FFFFFF"/>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Table 2 - Preoperative characteristics of patients summery </w:t>
      </w:r>
    </w:p>
    <w:tbl>
      <w:tblPr>
        <w:tblW w:w="43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04"/>
        <w:gridCol w:w="2206"/>
        <w:gridCol w:w="2201"/>
        <w:gridCol w:w="1163"/>
      </w:tblGrid>
      <w:tr w:rsidR="00BF2D83" w:rsidRPr="00747466" w:rsidTr="00BF2D83">
        <w:trPr>
          <w:trHeight w:val="311"/>
          <w:tblHeader/>
          <w:tblCellSpacing w:w="0" w:type="dxa"/>
        </w:trPr>
        <w:tc>
          <w:tcPr>
            <w:tcW w:w="0" w:type="auto"/>
            <w:shd w:val="clear" w:color="auto" w:fill="FFFFFF"/>
            <w:tcMar>
              <w:top w:w="300" w:type="dxa"/>
              <w:left w:w="240" w:type="dxa"/>
              <w:bottom w:w="225"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b/>
                <w:bCs/>
                <w:sz w:val="20"/>
                <w:szCs w:val="20"/>
                <w:lang w:eastAsia="en-IN"/>
              </w:rPr>
            </w:pPr>
          </w:p>
        </w:tc>
        <w:tc>
          <w:tcPr>
            <w:tcW w:w="0" w:type="auto"/>
            <w:shd w:val="clear" w:color="auto" w:fill="FFFFFF"/>
            <w:tcMar>
              <w:top w:w="300" w:type="dxa"/>
              <w:left w:w="240" w:type="dxa"/>
              <w:bottom w:w="225"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HbA1c &lt;7% n = 25</w:t>
            </w:r>
          </w:p>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 Mean </w:t>
            </w:r>
            <w:r w:rsidRPr="00747466">
              <w:rPr>
                <w:rFonts w:ascii="Times New Roman" w:eastAsia="Times New Roman" w:hAnsi="Times New Roman" w:cs="Times New Roman"/>
                <w:b/>
                <w:bCs/>
                <w:sz w:val="20"/>
                <w:szCs w:val="20"/>
                <w:u w:val="single"/>
                <w:lang w:eastAsia="en-IN"/>
              </w:rPr>
              <w:t>+</w:t>
            </w:r>
            <w:r w:rsidRPr="00747466">
              <w:rPr>
                <w:rFonts w:ascii="Times New Roman" w:eastAsia="Times New Roman" w:hAnsi="Times New Roman" w:cs="Times New Roman"/>
                <w:b/>
                <w:bCs/>
                <w:sz w:val="20"/>
                <w:szCs w:val="20"/>
                <w:lang w:eastAsia="en-IN"/>
              </w:rPr>
              <w:t>SD )</w:t>
            </w:r>
          </w:p>
        </w:tc>
        <w:tc>
          <w:tcPr>
            <w:tcW w:w="0" w:type="auto"/>
            <w:shd w:val="clear" w:color="auto" w:fill="FFFFFF"/>
            <w:tcMar>
              <w:top w:w="300" w:type="dxa"/>
              <w:left w:w="240" w:type="dxa"/>
              <w:bottom w:w="225"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HbA1c ≥7% n = 25</w:t>
            </w:r>
          </w:p>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 Mean </w:t>
            </w:r>
            <w:r w:rsidRPr="00747466">
              <w:rPr>
                <w:rFonts w:ascii="Times New Roman" w:eastAsia="Times New Roman" w:hAnsi="Times New Roman" w:cs="Times New Roman"/>
                <w:b/>
                <w:bCs/>
                <w:sz w:val="20"/>
                <w:szCs w:val="20"/>
                <w:u w:val="single"/>
                <w:lang w:eastAsia="en-IN"/>
              </w:rPr>
              <w:t>+</w:t>
            </w:r>
            <w:r w:rsidRPr="00747466">
              <w:rPr>
                <w:rFonts w:ascii="Times New Roman" w:eastAsia="Times New Roman" w:hAnsi="Times New Roman" w:cs="Times New Roman"/>
                <w:b/>
                <w:bCs/>
                <w:sz w:val="20"/>
                <w:szCs w:val="20"/>
                <w:lang w:eastAsia="en-IN"/>
              </w:rPr>
              <w:t>SD )</w:t>
            </w:r>
          </w:p>
        </w:tc>
        <w:tc>
          <w:tcPr>
            <w:tcW w:w="0" w:type="auto"/>
            <w:shd w:val="clear" w:color="auto" w:fill="FFFFFF"/>
            <w:tcMar>
              <w:top w:w="300" w:type="dxa"/>
              <w:left w:w="240" w:type="dxa"/>
              <w:bottom w:w="225"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i/>
                <w:iCs/>
                <w:sz w:val="20"/>
                <w:szCs w:val="20"/>
                <w:lang w:eastAsia="en-IN"/>
              </w:rPr>
              <w:t>P</w:t>
            </w:r>
            <w:r w:rsidRPr="00747466">
              <w:rPr>
                <w:rFonts w:ascii="Times New Roman" w:eastAsia="Times New Roman" w:hAnsi="Times New Roman" w:cs="Times New Roman"/>
                <w:b/>
                <w:bCs/>
                <w:sz w:val="20"/>
                <w:szCs w:val="20"/>
                <w:lang w:eastAsia="en-IN"/>
              </w:rPr>
              <w:t> value</w:t>
            </w:r>
          </w:p>
        </w:tc>
      </w:tr>
      <w:tr w:rsidR="00BF2D83" w:rsidRPr="00747466" w:rsidTr="00BF2D83">
        <w:trPr>
          <w:trHeight w:val="254"/>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w:t>
            </w:r>
            <w:r w:rsidR="00F562C9" w:rsidRPr="00747466">
              <w:rPr>
                <w:rFonts w:ascii="Times New Roman" w:eastAsia="Times New Roman" w:hAnsi="Times New Roman" w:cs="Times New Roman"/>
                <w:sz w:val="20"/>
                <w:szCs w:val="20"/>
                <w:lang w:eastAsia="en-IN"/>
              </w:rPr>
              <w:t xml:space="preserve">Age ( In years ) </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63 ± 6</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62</w:t>
            </w:r>
            <w:r w:rsidR="00707B58" w:rsidRPr="00747466">
              <w:rPr>
                <w:rFonts w:ascii="Times New Roman" w:eastAsia="Times New Roman" w:hAnsi="Times New Roman" w:cs="Times New Roman"/>
                <w:sz w:val="20"/>
                <w:szCs w:val="20"/>
                <w:lang w:eastAsia="en-IN"/>
              </w:rPr>
              <w:t> ± 7</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.012</w:t>
            </w:r>
          </w:p>
        </w:tc>
      </w:tr>
      <w:tr w:rsidR="00BF2D83" w:rsidRPr="00747466" w:rsidTr="00BF2D83">
        <w:trPr>
          <w:trHeight w:val="151"/>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w:t>
            </w:r>
            <w:r w:rsidRPr="00747466">
              <w:rPr>
                <w:rFonts w:ascii="Times New Roman" w:eastAsia="Times New Roman" w:hAnsi="Times New Roman" w:cs="Times New Roman"/>
                <w:sz w:val="20"/>
                <w:szCs w:val="20"/>
                <w:lang w:eastAsia="en-IN"/>
              </w:rPr>
              <w:t>Emergency</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 (4%)</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2 (8%)</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.0.034</w:t>
            </w:r>
          </w:p>
        </w:tc>
      </w:tr>
      <w:tr w:rsidR="00BF2D83" w:rsidRPr="00747466" w:rsidTr="00BF2D83">
        <w:trPr>
          <w:trHeight w:val="156"/>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w:t>
            </w:r>
            <w:r w:rsidR="00F562C9" w:rsidRPr="00747466">
              <w:rPr>
                <w:rFonts w:ascii="Times New Roman" w:eastAsia="Times New Roman" w:hAnsi="Times New Roman" w:cs="Times New Roman"/>
                <w:sz w:val="20"/>
                <w:szCs w:val="20"/>
                <w:lang w:eastAsia="en-IN"/>
              </w:rPr>
              <w:t xml:space="preserve">Body surface area ( </w:t>
            </w:r>
            <w:r w:rsidRPr="00747466">
              <w:rPr>
                <w:rFonts w:ascii="Times New Roman" w:eastAsia="Times New Roman" w:hAnsi="Times New Roman" w:cs="Times New Roman"/>
                <w:sz w:val="20"/>
                <w:szCs w:val="20"/>
                <w:lang w:eastAsia="en-IN"/>
              </w:rPr>
              <w:t>m</w:t>
            </w:r>
            <w:r w:rsidRPr="00747466">
              <w:rPr>
                <w:rFonts w:ascii="Times New Roman" w:eastAsia="Times New Roman" w:hAnsi="Times New Roman" w:cs="Times New Roman"/>
                <w:sz w:val="20"/>
                <w:szCs w:val="20"/>
                <w:vertAlign w:val="superscript"/>
                <w:lang w:eastAsia="en-IN"/>
              </w:rPr>
              <w:t>2</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1.71 ± 0.12</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1.71 ± 0.37</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.67</w:t>
            </w:r>
          </w:p>
        </w:tc>
      </w:tr>
      <w:tr w:rsidR="00BF2D83" w:rsidRPr="00747466" w:rsidTr="00BF2D83">
        <w:trPr>
          <w:trHeight w:val="151"/>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w:t>
            </w:r>
            <w:r w:rsidRPr="00747466">
              <w:rPr>
                <w:rFonts w:ascii="Times New Roman" w:eastAsia="Times New Roman" w:hAnsi="Times New Roman" w:cs="Times New Roman"/>
                <w:sz w:val="20"/>
                <w:szCs w:val="20"/>
                <w:lang w:eastAsia="en-IN"/>
              </w:rPr>
              <w:t>Hypertension</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18 (72%)</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20 (80%)</w:t>
            </w:r>
          </w:p>
        </w:tc>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.0.003</w:t>
            </w:r>
          </w:p>
        </w:tc>
      </w:tr>
      <w:tr w:rsidR="00BF2D83" w:rsidRPr="00747466" w:rsidTr="00BF2D83">
        <w:trPr>
          <w:trHeight w:val="156"/>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w:t>
            </w:r>
            <w:r w:rsidRPr="00747466">
              <w:rPr>
                <w:rFonts w:ascii="Times New Roman" w:eastAsia="Times New Roman" w:hAnsi="Times New Roman" w:cs="Times New Roman"/>
                <w:sz w:val="20"/>
                <w:szCs w:val="20"/>
                <w:lang w:eastAsia="en-IN"/>
              </w:rPr>
              <w:t>Congestive heart failure</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5 (20</w:t>
            </w:r>
            <w:r w:rsidR="00707B58" w:rsidRPr="00747466">
              <w:rPr>
                <w:rFonts w:ascii="Times New Roman" w:eastAsia="Times New Roman" w:hAnsi="Times New Roman" w:cs="Times New Roman"/>
                <w:sz w:val="20"/>
                <w:szCs w:val="20"/>
                <w:lang w:eastAsia="en-IN"/>
              </w:rPr>
              <w:t>%)</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6 (24</w:t>
            </w:r>
            <w:r w:rsidR="00707B58" w:rsidRPr="00747466">
              <w:rPr>
                <w:rFonts w:ascii="Times New Roman" w:eastAsia="Times New Roman" w:hAnsi="Times New Roman" w:cs="Times New Roman"/>
                <w:sz w:val="20"/>
                <w:szCs w:val="20"/>
                <w:lang w:eastAsia="en-IN"/>
              </w:rPr>
              <w:t>%)</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.065</w:t>
            </w:r>
          </w:p>
        </w:tc>
      </w:tr>
      <w:tr w:rsidR="00BF2D83" w:rsidRPr="00747466" w:rsidTr="00BF2D83">
        <w:trPr>
          <w:trHeight w:val="160"/>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 </w:t>
            </w:r>
            <w:r w:rsidRPr="00747466">
              <w:rPr>
                <w:rFonts w:ascii="Times New Roman" w:eastAsia="Times New Roman" w:hAnsi="Times New Roman" w:cs="Times New Roman"/>
                <w:sz w:val="20"/>
                <w:szCs w:val="20"/>
                <w:lang w:eastAsia="en-IN"/>
              </w:rPr>
              <w:t>Chronic kidney disease</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3(12</w:t>
            </w:r>
            <w:r w:rsidR="00707B58" w:rsidRPr="00747466">
              <w:rPr>
                <w:rFonts w:ascii="Times New Roman" w:eastAsia="Times New Roman" w:hAnsi="Times New Roman" w:cs="Times New Roman"/>
                <w:sz w:val="20"/>
                <w:szCs w:val="20"/>
                <w:lang w:eastAsia="en-IN"/>
              </w:rPr>
              <w:t>%)</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4(16</w:t>
            </w:r>
            <w:r w:rsidR="00707B58" w:rsidRPr="00747466">
              <w:rPr>
                <w:rFonts w:ascii="Times New Roman" w:eastAsia="Times New Roman" w:hAnsi="Times New Roman" w:cs="Times New Roman"/>
                <w:sz w:val="20"/>
                <w:szCs w:val="20"/>
                <w:lang w:eastAsia="en-IN"/>
              </w:rPr>
              <w:t>%)</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.56</w:t>
            </w:r>
          </w:p>
        </w:tc>
      </w:tr>
    </w:tbl>
    <w:p w:rsidR="00F562C9" w:rsidRPr="00747466" w:rsidRDefault="00F562C9" w:rsidP="00BF2D83">
      <w:pPr>
        <w:spacing w:after="0" w:line="360" w:lineRule="auto"/>
        <w:jc w:val="both"/>
        <w:rPr>
          <w:rFonts w:ascii="Times New Roman" w:hAnsi="Times New Roman" w:cs="Times New Roman"/>
          <w:sz w:val="20"/>
          <w:szCs w:val="20"/>
          <w:shd w:val="clear" w:color="auto" w:fill="FFFFFF"/>
        </w:rPr>
      </w:pPr>
    </w:p>
    <w:p w:rsidR="00707B58" w:rsidRPr="00747466" w:rsidRDefault="00707B58"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P</w:t>
      </w:r>
      <w:r w:rsidR="003B6D28" w:rsidRPr="00747466">
        <w:rPr>
          <w:rFonts w:ascii="Times New Roman" w:hAnsi="Times New Roman" w:cs="Times New Roman"/>
          <w:sz w:val="20"/>
          <w:szCs w:val="20"/>
          <w:shd w:val="clear" w:color="auto" w:fill="FFFFFF"/>
        </w:rPr>
        <w:t xml:space="preserve">reoperative HbA1c was &lt;7% in </w:t>
      </w:r>
      <w:r w:rsidR="00F562C9" w:rsidRPr="00747466">
        <w:rPr>
          <w:rFonts w:ascii="Times New Roman" w:hAnsi="Times New Roman" w:cs="Times New Roman"/>
          <w:sz w:val="20"/>
          <w:szCs w:val="20"/>
          <w:shd w:val="clear" w:color="auto" w:fill="FFFFFF"/>
        </w:rPr>
        <w:t xml:space="preserve">25 patients ( Group A) </w:t>
      </w:r>
      <w:r w:rsidR="003B6D28" w:rsidRPr="00747466">
        <w:rPr>
          <w:rFonts w:ascii="Times New Roman" w:hAnsi="Times New Roman" w:cs="Times New Roman"/>
          <w:sz w:val="20"/>
          <w:szCs w:val="20"/>
          <w:shd w:val="clear" w:color="auto" w:fill="FFFFFF"/>
        </w:rPr>
        <w:t xml:space="preserve">and ≥7.0% in </w:t>
      </w:r>
      <w:r w:rsidR="00F562C9" w:rsidRPr="00747466">
        <w:rPr>
          <w:rFonts w:ascii="Times New Roman" w:hAnsi="Times New Roman" w:cs="Times New Roman"/>
          <w:sz w:val="20"/>
          <w:szCs w:val="20"/>
          <w:shd w:val="clear" w:color="auto" w:fill="FFFFFF"/>
        </w:rPr>
        <w:t xml:space="preserve">25 </w:t>
      </w:r>
      <w:r w:rsidR="003B6D28" w:rsidRPr="00747466">
        <w:rPr>
          <w:rFonts w:ascii="Times New Roman" w:hAnsi="Times New Roman" w:cs="Times New Roman"/>
          <w:sz w:val="20"/>
          <w:szCs w:val="20"/>
          <w:shd w:val="clear" w:color="auto" w:fill="FFFFFF"/>
        </w:rPr>
        <w:t xml:space="preserve">patients </w:t>
      </w:r>
      <w:r w:rsidR="00F562C9" w:rsidRPr="00747466">
        <w:rPr>
          <w:rFonts w:ascii="Times New Roman" w:hAnsi="Times New Roman" w:cs="Times New Roman"/>
          <w:sz w:val="20"/>
          <w:szCs w:val="20"/>
          <w:shd w:val="clear" w:color="auto" w:fill="FFFFFF"/>
        </w:rPr>
        <w:t xml:space="preserve">( Group B ) </w:t>
      </w:r>
    </w:p>
    <w:p w:rsidR="00707B58" w:rsidRPr="00747466" w:rsidRDefault="003B6D28"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 xml:space="preserve">Patients in the high HbA1c group were younger, with greater preoperative serum glucose levels </w:t>
      </w:r>
      <w:r w:rsidR="00F562C9" w:rsidRPr="00747466">
        <w:rPr>
          <w:rFonts w:ascii="Times New Roman" w:hAnsi="Times New Roman" w:cs="Times New Roman"/>
          <w:sz w:val="20"/>
          <w:szCs w:val="20"/>
          <w:shd w:val="clear" w:color="auto" w:fill="FFFFFF"/>
        </w:rPr>
        <w:t>150</w:t>
      </w:r>
      <w:r w:rsidRPr="00747466">
        <w:rPr>
          <w:rFonts w:ascii="Times New Roman" w:hAnsi="Times New Roman" w:cs="Times New Roman"/>
          <w:sz w:val="20"/>
          <w:szCs w:val="20"/>
          <w:shd w:val="clear" w:color="auto" w:fill="FFFFFF"/>
        </w:rPr>
        <w:t xml:space="preserve"> </w:t>
      </w:r>
      <w:r w:rsidR="00F562C9" w:rsidRPr="00747466">
        <w:rPr>
          <w:rFonts w:ascii="Times New Roman" w:hAnsi="Times New Roman" w:cs="Times New Roman"/>
          <w:sz w:val="20"/>
          <w:szCs w:val="20"/>
          <w:shd w:val="clear" w:color="auto" w:fill="FFFFFF"/>
        </w:rPr>
        <w:t xml:space="preserve">mg/dL vs 124 mg/Dl ( </w:t>
      </w:r>
      <w:r w:rsidRPr="00747466">
        <w:rPr>
          <w:rStyle w:val="Emphasis"/>
          <w:rFonts w:ascii="Times New Roman" w:hAnsi="Times New Roman" w:cs="Times New Roman"/>
          <w:sz w:val="20"/>
          <w:szCs w:val="20"/>
          <w:shd w:val="clear" w:color="auto" w:fill="FFFFFF"/>
        </w:rPr>
        <w:t>P</w:t>
      </w:r>
      <w:r w:rsidRPr="00747466">
        <w:rPr>
          <w:rFonts w:ascii="Times New Roman" w:hAnsi="Times New Roman" w:cs="Times New Roman"/>
          <w:sz w:val="20"/>
          <w:szCs w:val="20"/>
          <w:shd w:val="clear" w:color="auto" w:fill="FFFFFF"/>
        </w:rPr>
        <w:t> &lt; .001) and more frequent history</w:t>
      </w:r>
      <w:r w:rsidR="00F562C9" w:rsidRPr="00747466">
        <w:rPr>
          <w:rFonts w:ascii="Times New Roman" w:hAnsi="Times New Roman" w:cs="Times New Roman"/>
          <w:sz w:val="20"/>
          <w:szCs w:val="20"/>
          <w:shd w:val="clear" w:color="auto" w:fill="FFFFFF"/>
        </w:rPr>
        <w:t xml:space="preserve"> of preoperative insulin use (18% vs 8</w:t>
      </w:r>
      <w:r w:rsidRPr="00747466">
        <w:rPr>
          <w:rFonts w:ascii="Times New Roman" w:hAnsi="Times New Roman" w:cs="Times New Roman"/>
          <w:sz w:val="20"/>
          <w:szCs w:val="20"/>
          <w:shd w:val="clear" w:color="auto" w:fill="FFFFFF"/>
        </w:rPr>
        <w:t>%, </w:t>
      </w:r>
      <w:r w:rsidRPr="00747466">
        <w:rPr>
          <w:rStyle w:val="Emphasis"/>
          <w:rFonts w:ascii="Times New Roman" w:hAnsi="Times New Roman" w:cs="Times New Roman"/>
          <w:sz w:val="20"/>
          <w:szCs w:val="20"/>
          <w:shd w:val="clear" w:color="auto" w:fill="FFFFFF"/>
        </w:rPr>
        <w:t>P</w:t>
      </w:r>
      <w:r w:rsidRPr="00747466">
        <w:rPr>
          <w:rFonts w:ascii="Times New Roman" w:hAnsi="Times New Roman" w:cs="Times New Roman"/>
          <w:sz w:val="20"/>
          <w:szCs w:val="20"/>
          <w:shd w:val="clear" w:color="auto" w:fill="FFFFFF"/>
        </w:rPr>
        <w:t xml:space="preserve"> &lt;.001) </w:t>
      </w:r>
    </w:p>
    <w:p w:rsidR="00F562C9" w:rsidRPr="00747466" w:rsidRDefault="00F562C9"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 xml:space="preserve">Hypertension and CCF was found more significant in Group B than A . </w:t>
      </w:r>
    </w:p>
    <w:p w:rsidR="003D1344" w:rsidRPr="00747466" w:rsidRDefault="00F562C9"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 xml:space="preserve">Other </w:t>
      </w:r>
      <w:r w:rsidR="003B6D28" w:rsidRPr="00747466">
        <w:rPr>
          <w:rFonts w:ascii="Times New Roman" w:hAnsi="Times New Roman" w:cs="Times New Roman"/>
          <w:sz w:val="20"/>
          <w:szCs w:val="20"/>
          <w:shd w:val="clear" w:color="auto" w:fill="FFFFFF"/>
        </w:rPr>
        <w:t>characteristics including comorbidities were similar between the groups.</w:t>
      </w:r>
      <w:r w:rsidRPr="00747466">
        <w:rPr>
          <w:rFonts w:ascii="Times New Roman" w:hAnsi="Times New Roman" w:cs="Times New Roman"/>
          <w:sz w:val="20"/>
          <w:szCs w:val="20"/>
          <w:shd w:val="clear" w:color="auto" w:fill="FFFFFF"/>
        </w:rPr>
        <w:t xml:space="preserve"> </w:t>
      </w:r>
    </w:p>
    <w:p w:rsidR="00BF2D83" w:rsidRPr="00747466" w:rsidRDefault="00BF2D83"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BF2D83" w:rsidRPr="00747466" w:rsidRDefault="00BF2D83"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BF2D83" w:rsidRDefault="00BF2D83"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47466" w:rsidRPr="00747466" w:rsidRDefault="00747466"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07B58" w:rsidRPr="00747466" w:rsidRDefault="00F562C9" w:rsidP="00BF2D83">
      <w:pPr>
        <w:shd w:val="clear" w:color="auto" w:fill="FFFFFF"/>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Table 3 - </w:t>
      </w:r>
      <w:r w:rsidR="00707B58" w:rsidRPr="00747466">
        <w:rPr>
          <w:rFonts w:ascii="Times New Roman" w:eastAsia="Times New Roman" w:hAnsi="Times New Roman" w:cs="Times New Roman"/>
          <w:b/>
          <w:bCs/>
          <w:sz w:val="20"/>
          <w:szCs w:val="20"/>
          <w:lang w:eastAsia="en-IN"/>
        </w:rPr>
        <w:t>Glycemic variables during operation and 24 hours postoperatively</w:t>
      </w:r>
    </w:p>
    <w:tbl>
      <w:tblPr>
        <w:tblW w:w="414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88"/>
        <w:gridCol w:w="1938"/>
        <w:gridCol w:w="1934"/>
        <w:gridCol w:w="1545"/>
      </w:tblGrid>
      <w:tr w:rsidR="00BF2D83" w:rsidRPr="00747466" w:rsidTr="00BF2D83">
        <w:trPr>
          <w:trHeight w:val="636"/>
          <w:tblHeader/>
          <w:tblCellSpacing w:w="0" w:type="dxa"/>
        </w:trPr>
        <w:tc>
          <w:tcPr>
            <w:tcW w:w="0" w:type="auto"/>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Variable</w:t>
            </w:r>
          </w:p>
        </w:tc>
        <w:tc>
          <w:tcPr>
            <w:tcW w:w="0" w:type="auto"/>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HbA1c &lt;7% n = 25</w:t>
            </w:r>
          </w:p>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 Mean </w:t>
            </w:r>
            <w:r w:rsidRPr="00747466">
              <w:rPr>
                <w:rFonts w:ascii="Times New Roman" w:eastAsia="Times New Roman" w:hAnsi="Times New Roman" w:cs="Times New Roman"/>
                <w:b/>
                <w:bCs/>
                <w:sz w:val="20"/>
                <w:szCs w:val="20"/>
                <w:u w:val="single"/>
                <w:lang w:eastAsia="en-IN"/>
              </w:rPr>
              <w:t>+</w:t>
            </w:r>
            <w:r w:rsidRPr="00747466">
              <w:rPr>
                <w:rFonts w:ascii="Times New Roman" w:eastAsia="Times New Roman" w:hAnsi="Times New Roman" w:cs="Times New Roman"/>
                <w:b/>
                <w:bCs/>
                <w:sz w:val="20"/>
                <w:szCs w:val="20"/>
                <w:lang w:eastAsia="en-IN"/>
              </w:rPr>
              <w:t>SD )</w:t>
            </w:r>
          </w:p>
        </w:tc>
        <w:tc>
          <w:tcPr>
            <w:tcW w:w="0" w:type="auto"/>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HbA1c ≥7% n = 25</w:t>
            </w:r>
          </w:p>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 Mean </w:t>
            </w:r>
            <w:r w:rsidRPr="00747466">
              <w:rPr>
                <w:rFonts w:ascii="Times New Roman" w:eastAsia="Times New Roman" w:hAnsi="Times New Roman" w:cs="Times New Roman"/>
                <w:b/>
                <w:bCs/>
                <w:sz w:val="20"/>
                <w:szCs w:val="20"/>
                <w:u w:val="single"/>
                <w:lang w:eastAsia="en-IN"/>
              </w:rPr>
              <w:t>+</w:t>
            </w:r>
            <w:r w:rsidRPr="00747466">
              <w:rPr>
                <w:rFonts w:ascii="Times New Roman" w:eastAsia="Times New Roman" w:hAnsi="Times New Roman" w:cs="Times New Roman"/>
                <w:b/>
                <w:bCs/>
                <w:sz w:val="20"/>
                <w:szCs w:val="20"/>
                <w:lang w:eastAsia="en-IN"/>
              </w:rPr>
              <w:t>SD )</w:t>
            </w:r>
          </w:p>
        </w:tc>
        <w:tc>
          <w:tcPr>
            <w:tcW w:w="977" w:type="pct"/>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i/>
                <w:iCs/>
                <w:sz w:val="20"/>
                <w:szCs w:val="20"/>
                <w:lang w:eastAsia="en-IN"/>
              </w:rPr>
              <w:t>P</w:t>
            </w:r>
            <w:r w:rsidRPr="00747466">
              <w:rPr>
                <w:rFonts w:ascii="Times New Roman" w:eastAsia="Times New Roman" w:hAnsi="Times New Roman" w:cs="Times New Roman"/>
                <w:b/>
                <w:bCs/>
                <w:sz w:val="20"/>
                <w:szCs w:val="20"/>
                <w:lang w:eastAsia="en-IN"/>
              </w:rPr>
              <w:t> value</w:t>
            </w:r>
          </w:p>
        </w:tc>
      </w:tr>
      <w:tr w:rsidR="00BF2D83" w:rsidRPr="00747466" w:rsidTr="00BF2D83">
        <w:trPr>
          <w:trHeight w:val="318"/>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Mean glucose, mg/dL</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162</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180</w:t>
            </w:r>
          </w:p>
        </w:tc>
        <w:tc>
          <w:tcPr>
            <w:tcW w:w="977" w:type="pct"/>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&lt;.001</w:t>
            </w:r>
          </w:p>
        </w:tc>
      </w:tr>
      <w:tr w:rsidR="00BF2D83" w:rsidRPr="00747466" w:rsidTr="00BF2D83">
        <w:trPr>
          <w:trHeight w:val="309"/>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Perioperative use of insulin</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15(60%)</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20(80%)</w:t>
            </w:r>
          </w:p>
        </w:tc>
        <w:tc>
          <w:tcPr>
            <w:tcW w:w="977" w:type="pct"/>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&lt;.001</w:t>
            </w:r>
          </w:p>
        </w:tc>
      </w:tr>
      <w:tr w:rsidR="00BF2D83" w:rsidRPr="00747466" w:rsidTr="00BF2D83">
        <w:trPr>
          <w:trHeight w:val="327"/>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Hyperglycemic event, %</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5(20%)</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8(32%)</w:t>
            </w:r>
          </w:p>
        </w:tc>
        <w:tc>
          <w:tcPr>
            <w:tcW w:w="977" w:type="pct"/>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&lt;.001</w:t>
            </w:r>
          </w:p>
        </w:tc>
      </w:tr>
    </w:tbl>
    <w:p w:rsidR="00707B58" w:rsidRPr="00747466" w:rsidRDefault="00707B58" w:rsidP="00BF2D83">
      <w:pPr>
        <w:shd w:val="clear" w:color="auto" w:fill="FFFFFF"/>
        <w:spacing w:after="0" w:line="360" w:lineRule="auto"/>
        <w:jc w:val="both"/>
        <w:rPr>
          <w:rFonts w:ascii="Times New Roman" w:eastAsia="Times New Roman" w:hAnsi="Times New Roman" w:cs="Times New Roman"/>
          <w:b/>
          <w:bCs/>
          <w:sz w:val="20"/>
          <w:szCs w:val="20"/>
          <w:lang w:eastAsia="en-IN"/>
        </w:rPr>
      </w:pPr>
    </w:p>
    <w:p w:rsidR="00707B58" w:rsidRPr="00747466" w:rsidRDefault="00707B58" w:rsidP="00BF2D83">
      <w:pPr>
        <w:shd w:val="clear" w:color="auto" w:fill="FFFFFF"/>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Table 4Comparison of postoperative outcomes</w:t>
      </w:r>
    </w:p>
    <w:tbl>
      <w:tblPr>
        <w:tblW w:w="414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79"/>
        <w:gridCol w:w="1442"/>
        <w:gridCol w:w="1463"/>
        <w:gridCol w:w="2021"/>
      </w:tblGrid>
      <w:tr w:rsidR="00BF2D83" w:rsidRPr="00747466" w:rsidTr="00BF2D83">
        <w:trPr>
          <w:trHeight w:val="880"/>
          <w:tblHeader/>
          <w:tblCellSpacing w:w="0" w:type="dxa"/>
        </w:trPr>
        <w:tc>
          <w:tcPr>
            <w:tcW w:w="0" w:type="auto"/>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Variable</w:t>
            </w:r>
          </w:p>
        </w:tc>
        <w:tc>
          <w:tcPr>
            <w:tcW w:w="0" w:type="auto"/>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HbA1c &lt;7% n = 25</w:t>
            </w:r>
          </w:p>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 Mean </w:t>
            </w:r>
            <w:r w:rsidRPr="00747466">
              <w:rPr>
                <w:rFonts w:ascii="Times New Roman" w:eastAsia="Times New Roman" w:hAnsi="Times New Roman" w:cs="Times New Roman"/>
                <w:b/>
                <w:bCs/>
                <w:sz w:val="20"/>
                <w:szCs w:val="20"/>
                <w:u w:val="single"/>
                <w:lang w:eastAsia="en-IN"/>
              </w:rPr>
              <w:t>+</w:t>
            </w:r>
            <w:r w:rsidRPr="00747466">
              <w:rPr>
                <w:rFonts w:ascii="Times New Roman" w:eastAsia="Times New Roman" w:hAnsi="Times New Roman" w:cs="Times New Roman"/>
                <w:b/>
                <w:bCs/>
                <w:sz w:val="20"/>
                <w:szCs w:val="20"/>
                <w:lang w:eastAsia="en-IN"/>
              </w:rPr>
              <w:t>SD )</w:t>
            </w:r>
          </w:p>
        </w:tc>
        <w:tc>
          <w:tcPr>
            <w:tcW w:w="0" w:type="auto"/>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HbA1c ≥7% n = 25</w:t>
            </w:r>
          </w:p>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sz w:val="20"/>
                <w:szCs w:val="20"/>
                <w:lang w:eastAsia="en-IN"/>
              </w:rPr>
              <w:t xml:space="preserve">( Mean </w:t>
            </w:r>
            <w:r w:rsidRPr="00747466">
              <w:rPr>
                <w:rFonts w:ascii="Times New Roman" w:eastAsia="Times New Roman" w:hAnsi="Times New Roman" w:cs="Times New Roman"/>
                <w:b/>
                <w:bCs/>
                <w:sz w:val="20"/>
                <w:szCs w:val="20"/>
                <w:u w:val="single"/>
                <w:lang w:eastAsia="en-IN"/>
              </w:rPr>
              <w:t>+</w:t>
            </w:r>
            <w:r w:rsidRPr="00747466">
              <w:rPr>
                <w:rFonts w:ascii="Times New Roman" w:eastAsia="Times New Roman" w:hAnsi="Times New Roman" w:cs="Times New Roman"/>
                <w:b/>
                <w:bCs/>
                <w:sz w:val="20"/>
                <w:szCs w:val="20"/>
                <w:lang w:eastAsia="en-IN"/>
              </w:rPr>
              <w:t>SD )</w:t>
            </w:r>
          </w:p>
        </w:tc>
        <w:tc>
          <w:tcPr>
            <w:tcW w:w="1278" w:type="pct"/>
            <w:shd w:val="clear" w:color="auto" w:fill="FFFFFF"/>
            <w:tcMar>
              <w:top w:w="300" w:type="dxa"/>
              <w:left w:w="240" w:type="dxa"/>
              <w:bottom w:w="225" w:type="dxa"/>
              <w:right w:w="240" w:type="dxa"/>
            </w:tcMar>
            <w:vAlign w:val="center"/>
            <w:hideMark/>
          </w:tcPr>
          <w:p w:rsidR="00F562C9" w:rsidRPr="00747466" w:rsidRDefault="00F562C9" w:rsidP="00BF2D83">
            <w:pPr>
              <w:spacing w:after="0" w:line="360" w:lineRule="auto"/>
              <w:jc w:val="both"/>
              <w:rPr>
                <w:rFonts w:ascii="Times New Roman" w:eastAsia="Times New Roman" w:hAnsi="Times New Roman" w:cs="Times New Roman"/>
                <w:b/>
                <w:bCs/>
                <w:sz w:val="20"/>
                <w:szCs w:val="20"/>
                <w:lang w:eastAsia="en-IN"/>
              </w:rPr>
            </w:pPr>
            <w:r w:rsidRPr="00747466">
              <w:rPr>
                <w:rFonts w:ascii="Times New Roman" w:eastAsia="Times New Roman" w:hAnsi="Times New Roman" w:cs="Times New Roman"/>
                <w:b/>
                <w:bCs/>
                <w:i/>
                <w:iCs/>
                <w:sz w:val="20"/>
                <w:szCs w:val="20"/>
                <w:lang w:eastAsia="en-IN"/>
              </w:rPr>
              <w:t>P</w:t>
            </w:r>
            <w:r w:rsidRPr="00747466">
              <w:rPr>
                <w:rFonts w:ascii="Times New Roman" w:eastAsia="Times New Roman" w:hAnsi="Times New Roman" w:cs="Times New Roman"/>
                <w:b/>
                <w:bCs/>
                <w:sz w:val="20"/>
                <w:szCs w:val="20"/>
                <w:lang w:eastAsia="en-IN"/>
              </w:rPr>
              <w:t> value</w:t>
            </w:r>
          </w:p>
        </w:tc>
      </w:tr>
      <w:tr w:rsidR="00BF2D83" w:rsidRPr="00747466" w:rsidTr="00BF2D83">
        <w:trPr>
          <w:trHeight w:val="296"/>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Composite morbidity/mortality</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4(16%)</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7(28%0</w:t>
            </w:r>
          </w:p>
        </w:tc>
        <w:tc>
          <w:tcPr>
            <w:tcW w:w="1278" w:type="pct"/>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.032</w:t>
            </w:r>
          </w:p>
        </w:tc>
      </w:tr>
      <w:tr w:rsidR="00BF2D83" w:rsidRPr="00747466" w:rsidTr="00BF2D83">
        <w:trPr>
          <w:trHeight w:val="288"/>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Renal failure</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1(4%)</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3(12%)</w:t>
            </w:r>
          </w:p>
        </w:tc>
        <w:tc>
          <w:tcPr>
            <w:tcW w:w="1278" w:type="pct"/>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.0034</w:t>
            </w:r>
          </w:p>
        </w:tc>
      </w:tr>
      <w:tr w:rsidR="00BF2D83" w:rsidRPr="00747466" w:rsidTr="00BF2D83">
        <w:trPr>
          <w:trHeight w:val="296"/>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Permanent stroke</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 (4</w:t>
            </w:r>
            <w:r w:rsidR="00707B58" w:rsidRPr="00747466">
              <w:rPr>
                <w:rFonts w:ascii="Times New Roman" w:eastAsia="Times New Roman" w:hAnsi="Times New Roman" w:cs="Times New Roman"/>
                <w:sz w:val="20"/>
                <w:szCs w:val="20"/>
                <w:lang w:eastAsia="en-IN"/>
              </w:rPr>
              <w:t>%)</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2 (8</w:t>
            </w:r>
            <w:r w:rsidR="00707B58" w:rsidRPr="00747466">
              <w:rPr>
                <w:rFonts w:ascii="Times New Roman" w:eastAsia="Times New Roman" w:hAnsi="Times New Roman" w:cs="Times New Roman"/>
                <w:sz w:val="20"/>
                <w:szCs w:val="20"/>
                <w:lang w:eastAsia="en-IN"/>
              </w:rPr>
              <w:t>%)</w:t>
            </w:r>
          </w:p>
        </w:tc>
        <w:tc>
          <w:tcPr>
            <w:tcW w:w="1278" w:type="pct"/>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.051</w:t>
            </w:r>
          </w:p>
        </w:tc>
      </w:tr>
      <w:tr w:rsidR="00BF2D83" w:rsidRPr="00747466" w:rsidTr="00BF2D83">
        <w:trPr>
          <w:trHeight w:val="296"/>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Mortality</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1(4%)</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2(8%)</w:t>
            </w:r>
          </w:p>
        </w:tc>
        <w:tc>
          <w:tcPr>
            <w:tcW w:w="1278" w:type="pct"/>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.0021</w:t>
            </w:r>
          </w:p>
        </w:tc>
      </w:tr>
      <w:tr w:rsidR="00BF2D83" w:rsidRPr="00747466" w:rsidTr="00BF2D83">
        <w:trPr>
          <w:trHeight w:val="296"/>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Average d</w:t>
            </w:r>
            <w:r w:rsidR="00707B58" w:rsidRPr="00747466">
              <w:rPr>
                <w:rFonts w:ascii="Times New Roman" w:eastAsia="Times New Roman" w:hAnsi="Times New Roman" w:cs="Times New Roman"/>
                <w:sz w:val="20"/>
                <w:szCs w:val="20"/>
                <w:lang w:eastAsia="en-IN"/>
              </w:rPr>
              <w:t>uratio</w:t>
            </w:r>
            <w:r w:rsidR="00F562C9" w:rsidRPr="00747466">
              <w:rPr>
                <w:rFonts w:ascii="Times New Roman" w:eastAsia="Times New Roman" w:hAnsi="Times New Roman" w:cs="Times New Roman"/>
                <w:sz w:val="20"/>
                <w:szCs w:val="20"/>
                <w:lang w:eastAsia="en-IN"/>
              </w:rPr>
              <w:t xml:space="preserve">n of intensive care unit stay ( In days) </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2</w:t>
            </w:r>
          </w:p>
        </w:tc>
        <w:tc>
          <w:tcPr>
            <w:tcW w:w="0" w:type="auto"/>
            <w:shd w:val="clear" w:color="auto" w:fill="FFFFFF"/>
            <w:tcMar>
              <w:top w:w="240" w:type="dxa"/>
              <w:left w:w="240" w:type="dxa"/>
              <w:bottom w:w="240" w:type="dxa"/>
              <w:right w:w="240" w:type="dxa"/>
            </w:tcMar>
            <w:vAlign w:val="center"/>
            <w:hideMark/>
          </w:tcPr>
          <w:p w:rsidR="00707B58" w:rsidRPr="00747466" w:rsidRDefault="00F562C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2</w:t>
            </w:r>
          </w:p>
        </w:tc>
        <w:tc>
          <w:tcPr>
            <w:tcW w:w="1278" w:type="pct"/>
            <w:shd w:val="clear" w:color="auto" w:fill="FFFFFF"/>
            <w:tcMar>
              <w:top w:w="240" w:type="dxa"/>
              <w:left w:w="240" w:type="dxa"/>
              <w:bottom w:w="240" w:type="dxa"/>
              <w:right w:w="240" w:type="dxa"/>
            </w:tcMar>
            <w:vAlign w:val="center"/>
            <w:hideMark/>
          </w:tcPr>
          <w:p w:rsidR="00707B58"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.69</w:t>
            </w:r>
          </w:p>
        </w:tc>
      </w:tr>
      <w:tr w:rsidR="00BF2D83" w:rsidRPr="00747466" w:rsidTr="00BF2D83">
        <w:trPr>
          <w:trHeight w:val="102"/>
          <w:tblCellSpacing w:w="0" w:type="dxa"/>
        </w:trPr>
        <w:tc>
          <w:tcPr>
            <w:tcW w:w="0" w:type="auto"/>
            <w:shd w:val="clear" w:color="auto" w:fill="FFFFFF"/>
            <w:tcMar>
              <w:top w:w="240" w:type="dxa"/>
              <w:left w:w="240" w:type="dxa"/>
              <w:bottom w:w="240" w:type="dxa"/>
              <w:right w:w="240" w:type="dxa"/>
            </w:tcMar>
            <w:vAlign w:val="center"/>
            <w:hideMark/>
          </w:tcPr>
          <w:p w:rsidR="00707B58"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Average d</w:t>
            </w:r>
            <w:r w:rsidR="00707B58" w:rsidRPr="00747466">
              <w:rPr>
                <w:rFonts w:ascii="Times New Roman" w:eastAsia="Times New Roman" w:hAnsi="Times New Roman" w:cs="Times New Roman"/>
                <w:sz w:val="20"/>
                <w:szCs w:val="20"/>
                <w:lang w:eastAsia="en-IN"/>
              </w:rPr>
              <w:t>uration of hospitalization, d</w:t>
            </w:r>
          </w:p>
        </w:tc>
        <w:tc>
          <w:tcPr>
            <w:tcW w:w="0" w:type="auto"/>
            <w:shd w:val="clear" w:color="auto" w:fill="FFFFFF"/>
            <w:tcMar>
              <w:top w:w="240" w:type="dxa"/>
              <w:left w:w="240" w:type="dxa"/>
              <w:bottom w:w="240" w:type="dxa"/>
              <w:right w:w="240" w:type="dxa"/>
            </w:tcMar>
            <w:vAlign w:val="center"/>
            <w:hideMark/>
          </w:tcPr>
          <w:p w:rsidR="00707B58"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10</w:t>
            </w:r>
          </w:p>
        </w:tc>
        <w:tc>
          <w:tcPr>
            <w:tcW w:w="0" w:type="auto"/>
            <w:shd w:val="clear" w:color="auto" w:fill="FFFFFF"/>
            <w:tcMar>
              <w:top w:w="240" w:type="dxa"/>
              <w:left w:w="240" w:type="dxa"/>
              <w:bottom w:w="240" w:type="dxa"/>
              <w:right w:w="240" w:type="dxa"/>
            </w:tcMar>
            <w:vAlign w:val="center"/>
            <w:hideMark/>
          </w:tcPr>
          <w:p w:rsidR="00707B58"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10</w:t>
            </w:r>
          </w:p>
        </w:tc>
        <w:tc>
          <w:tcPr>
            <w:tcW w:w="1278" w:type="pct"/>
            <w:shd w:val="clear" w:color="auto" w:fill="FFFFFF"/>
            <w:tcMar>
              <w:top w:w="240" w:type="dxa"/>
              <w:left w:w="240" w:type="dxa"/>
              <w:bottom w:w="240" w:type="dxa"/>
              <w:right w:w="240" w:type="dxa"/>
            </w:tcMar>
            <w:vAlign w:val="center"/>
            <w:hideMark/>
          </w:tcPr>
          <w:p w:rsidR="00707B58" w:rsidRPr="00747466" w:rsidRDefault="00707B58"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.163</w:t>
            </w:r>
          </w:p>
        </w:tc>
      </w:tr>
      <w:tr w:rsidR="00BF2D83" w:rsidRPr="00747466" w:rsidTr="00BF2D83">
        <w:trPr>
          <w:trHeight w:val="102"/>
          <w:tblCellSpacing w:w="0" w:type="dxa"/>
        </w:trPr>
        <w:tc>
          <w:tcPr>
            <w:tcW w:w="0" w:type="auto"/>
            <w:shd w:val="clear" w:color="auto" w:fill="FFFFFF"/>
            <w:tcMar>
              <w:top w:w="240" w:type="dxa"/>
              <w:left w:w="240" w:type="dxa"/>
              <w:bottom w:w="240" w:type="dxa"/>
              <w:right w:w="240" w:type="dxa"/>
            </w:tcMar>
            <w:vAlign w:val="center"/>
          </w:tcPr>
          <w:p w:rsidR="00A64159"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Sternal wound complications (%)</w:t>
            </w:r>
          </w:p>
        </w:tc>
        <w:tc>
          <w:tcPr>
            <w:tcW w:w="0" w:type="auto"/>
            <w:shd w:val="clear" w:color="auto" w:fill="FFFFFF"/>
            <w:tcMar>
              <w:top w:w="240" w:type="dxa"/>
              <w:left w:w="240" w:type="dxa"/>
              <w:bottom w:w="240" w:type="dxa"/>
              <w:right w:w="240" w:type="dxa"/>
            </w:tcMar>
            <w:vAlign w:val="center"/>
          </w:tcPr>
          <w:p w:rsidR="00A64159"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w:t>
            </w:r>
          </w:p>
        </w:tc>
        <w:tc>
          <w:tcPr>
            <w:tcW w:w="0" w:type="auto"/>
            <w:shd w:val="clear" w:color="auto" w:fill="FFFFFF"/>
            <w:tcMar>
              <w:top w:w="240" w:type="dxa"/>
              <w:left w:w="240" w:type="dxa"/>
              <w:bottom w:w="240" w:type="dxa"/>
              <w:right w:w="240" w:type="dxa"/>
            </w:tcMar>
            <w:vAlign w:val="center"/>
          </w:tcPr>
          <w:p w:rsidR="00A64159"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1(4%)</w:t>
            </w:r>
          </w:p>
        </w:tc>
        <w:tc>
          <w:tcPr>
            <w:tcW w:w="1278" w:type="pct"/>
            <w:shd w:val="clear" w:color="auto" w:fill="FFFFFF"/>
            <w:tcMar>
              <w:top w:w="240" w:type="dxa"/>
              <w:left w:w="240" w:type="dxa"/>
              <w:bottom w:w="240" w:type="dxa"/>
              <w:right w:w="240" w:type="dxa"/>
            </w:tcMar>
            <w:vAlign w:val="center"/>
          </w:tcPr>
          <w:p w:rsidR="00A64159" w:rsidRPr="00747466" w:rsidRDefault="00A64159" w:rsidP="00BF2D83">
            <w:pPr>
              <w:spacing w:after="0" w:line="360" w:lineRule="auto"/>
              <w:jc w:val="both"/>
              <w:rPr>
                <w:rFonts w:ascii="Times New Roman" w:eastAsia="Times New Roman" w:hAnsi="Times New Roman" w:cs="Times New Roman"/>
                <w:sz w:val="20"/>
                <w:szCs w:val="20"/>
                <w:lang w:eastAsia="en-IN"/>
              </w:rPr>
            </w:pPr>
            <w:r w:rsidRPr="00747466">
              <w:rPr>
                <w:rFonts w:ascii="Times New Roman" w:eastAsia="Times New Roman" w:hAnsi="Times New Roman" w:cs="Times New Roman"/>
                <w:sz w:val="20"/>
                <w:szCs w:val="20"/>
                <w:lang w:eastAsia="en-IN"/>
              </w:rPr>
              <w:t>0.0032</w:t>
            </w:r>
          </w:p>
        </w:tc>
      </w:tr>
    </w:tbl>
    <w:p w:rsidR="00A64159" w:rsidRPr="00747466" w:rsidRDefault="00A64159" w:rsidP="00BF2D83">
      <w:pPr>
        <w:spacing w:after="0" w:line="360" w:lineRule="auto"/>
        <w:jc w:val="both"/>
        <w:rPr>
          <w:rFonts w:ascii="Times New Roman" w:hAnsi="Times New Roman" w:cs="Times New Roman"/>
          <w:sz w:val="20"/>
          <w:szCs w:val="20"/>
          <w:shd w:val="clear" w:color="auto" w:fill="FFFFFF"/>
        </w:rPr>
      </w:pPr>
    </w:p>
    <w:p w:rsidR="00A64159" w:rsidRPr="00747466" w:rsidRDefault="00A64159"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 xml:space="preserve">In our study , overall morbidity and mortality was significantly more in group B than group A </w:t>
      </w:r>
      <w:r w:rsidR="00747466">
        <w:rPr>
          <w:rFonts w:ascii="Times New Roman" w:hAnsi="Times New Roman" w:cs="Times New Roman"/>
          <w:sz w:val="20"/>
          <w:szCs w:val="20"/>
          <w:shd w:val="clear" w:color="auto" w:fill="FFFFFF"/>
        </w:rPr>
        <w:t xml:space="preserve"> . </w:t>
      </w:r>
      <w:r w:rsidR="003D1344" w:rsidRPr="00747466">
        <w:rPr>
          <w:rFonts w:ascii="Times New Roman" w:hAnsi="Times New Roman" w:cs="Times New Roman"/>
          <w:sz w:val="20"/>
          <w:szCs w:val="20"/>
          <w:shd w:val="clear" w:color="auto" w:fill="FFFFFF"/>
        </w:rPr>
        <w:t xml:space="preserve">Incidence of composite of postoperative morbidity and mortality endpoints was greater </w:t>
      </w:r>
      <w:r w:rsidRPr="00747466">
        <w:rPr>
          <w:rFonts w:ascii="Times New Roman" w:hAnsi="Times New Roman" w:cs="Times New Roman"/>
          <w:sz w:val="20"/>
          <w:szCs w:val="20"/>
          <w:shd w:val="clear" w:color="auto" w:fill="FFFFFF"/>
        </w:rPr>
        <w:t>in patients with HbA1c ≥7.0% (22% vs 14%, P = .043</w:t>
      </w:r>
      <w:r w:rsidR="003D1344" w:rsidRPr="00747466">
        <w:rPr>
          <w:rFonts w:ascii="Times New Roman" w:hAnsi="Times New Roman" w:cs="Times New Roman"/>
          <w:sz w:val="20"/>
          <w:szCs w:val="20"/>
          <w:shd w:val="clear" w:color="auto" w:fill="FFFFFF"/>
        </w:rPr>
        <w:t xml:space="preserve">). </w:t>
      </w:r>
      <w:r w:rsidR="00BF2D83" w:rsidRPr="00747466">
        <w:rPr>
          <w:rFonts w:ascii="Times New Roman" w:hAnsi="Times New Roman" w:cs="Times New Roman"/>
          <w:sz w:val="20"/>
          <w:szCs w:val="20"/>
          <w:shd w:val="clear" w:color="auto" w:fill="FFFFFF"/>
        </w:rPr>
        <w:t xml:space="preserve"> </w:t>
      </w:r>
      <w:r w:rsidR="003D1344" w:rsidRPr="00747466">
        <w:rPr>
          <w:rFonts w:ascii="Times New Roman" w:hAnsi="Times New Roman" w:cs="Times New Roman"/>
          <w:sz w:val="20"/>
          <w:szCs w:val="20"/>
          <w:shd w:val="clear" w:color="auto" w:fill="FFFFFF"/>
        </w:rPr>
        <w:t xml:space="preserve">Perioperative time-weighted average glucose concentration was also greater in patients with HbA1c ≥7.0%, whereas the CV did not show any difference. </w:t>
      </w:r>
      <w:r w:rsidRPr="00747466">
        <w:rPr>
          <w:rFonts w:ascii="Times New Roman" w:hAnsi="Times New Roman" w:cs="Times New Roman"/>
          <w:sz w:val="20"/>
          <w:szCs w:val="20"/>
          <w:shd w:val="clear" w:color="auto" w:fill="FFFFFF"/>
        </w:rPr>
        <w:t xml:space="preserve">Incidence of Sternal wound complication was noted in one patient ( 4%) in Group B only. </w:t>
      </w:r>
    </w:p>
    <w:p w:rsidR="00E31219" w:rsidRPr="00747466" w:rsidRDefault="00E31219" w:rsidP="00BF2D83">
      <w:pPr>
        <w:spacing w:after="0" w:line="360" w:lineRule="auto"/>
        <w:jc w:val="both"/>
        <w:rPr>
          <w:rFonts w:ascii="Times New Roman" w:hAnsi="Times New Roman" w:cs="Times New Roman"/>
          <w:b/>
          <w:sz w:val="20"/>
          <w:szCs w:val="20"/>
          <w:shd w:val="clear" w:color="auto" w:fill="FFFFFF"/>
        </w:rPr>
      </w:pPr>
      <w:r w:rsidRPr="00747466">
        <w:rPr>
          <w:rFonts w:ascii="Times New Roman" w:hAnsi="Times New Roman" w:cs="Times New Roman"/>
          <w:b/>
          <w:sz w:val="20"/>
          <w:szCs w:val="20"/>
          <w:shd w:val="clear" w:color="auto" w:fill="FFFFFF"/>
        </w:rPr>
        <w:t xml:space="preserve">Discussion: </w:t>
      </w:r>
    </w:p>
    <w:p w:rsidR="00BF2D83" w:rsidRPr="00747466" w:rsidRDefault="00BF2D83" w:rsidP="00BF2D83">
      <w:pPr>
        <w:spacing w:after="0" w:line="360" w:lineRule="auto"/>
        <w:jc w:val="both"/>
        <w:rPr>
          <w:rFonts w:ascii="Times New Roman" w:eastAsia="Times New Roman" w:hAnsi="Times New Roman" w:cs="Times New Roman"/>
          <w:sz w:val="20"/>
          <w:szCs w:val="20"/>
          <w:shd w:val="clear" w:color="auto" w:fill="FFFFFF"/>
          <w:lang w:eastAsia="en-IN"/>
        </w:rPr>
      </w:pPr>
      <w:r w:rsidRPr="00747466">
        <w:rPr>
          <w:rFonts w:ascii="Times New Roman" w:eastAsia="Times New Roman" w:hAnsi="Times New Roman" w:cs="Times New Roman"/>
          <w:sz w:val="20"/>
          <w:szCs w:val="20"/>
          <w:shd w:val="clear" w:color="auto" w:fill="FFFFFF"/>
          <w:lang w:eastAsia="en-IN"/>
        </w:rPr>
        <w:t>DM, HbA1c, and perioperative glycemic control are closely related, independent or related mutations, which have been shown to have a negative effect on outcome after cardiac surgery using the following basic methods. DM is known to damage endothelial function and increase oxidative stress and inflammation; Chronic hyperglycemia, characterized by an increase in HbA1C levels, has been shown to exacerbate cell damage. Interestingly, we found significant correlations between age group and HbA1c association with SWC: high HbA1c was significantly associated with higher SWC incidence in patients aged &lt;70 years, while there was no association in patients ≥70 years of age.</w:t>
      </w:r>
    </w:p>
    <w:p w:rsidR="00A64159" w:rsidRPr="00747466" w:rsidRDefault="003D1344"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 xml:space="preserve">        </w:t>
      </w:r>
      <w:r w:rsidR="00A64159" w:rsidRPr="00747466">
        <w:rPr>
          <w:rFonts w:ascii="Times New Roman" w:hAnsi="Times New Roman" w:cs="Times New Roman"/>
          <w:sz w:val="20"/>
          <w:szCs w:val="20"/>
          <w:shd w:val="clear" w:color="auto" w:fill="FFFFFF"/>
        </w:rPr>
        <w:t xml:space="preserve">In our study , Preoperative HbA1c was &lt;7% in 25 patients ( Group A) and ≥7.0% in 25 patients ( Group B ) Patients in the high HbA1c group were younger, with greater preoperative serum glucose levels 150 mg/dL vs 124 mg/Dl ( </w:t>
      </w:r>
      <w:r w:rsidR="00A64159" w:rsidRPr="00747466">
        <w:rPr>
          <w:rFonts w:ascii="Times New Roman" w:hAnsi="Times New Roman" w:cs="Times New Roman"/>
          <w:i/>
          <w:iCs/>
          <w:sz w:val="20"/>
          <w:szCs w:val="20"/>
          <w:shd w:val="clear" w:color="auto" w:fill="FFFFFF"/>
        </w:rPr>
        <w:t>P</w:t>
      </w:r>
      <w:r w:rsidR="00A64159" w:rsidRPr="00747466">
        <w:rPr>
          <w:rFonts w:ascii="Times New Roman" w:hAnsi="Times New Roman" w:cs="Times New Roman"/>
          <w:sz w:val="20"/>
          <w:szCs w:val="20"/>
          <w:shd w:val="clear" w:color="auto" w:fill="FFFFFF"/>
        </w:rPr>
        <w:t> &lt; .001) and more frequent history of preoperative insulin use (18% vs 8%, </w:t>
      </w:r>
      <w:r w:rsidR="00A64159" w:rsidRPr="00747466">
        <w:rPr>
          <w:rFonts w:ascii="Times New Roman" w:hAnsi="Times New Roman" w:cs="Times New Roman"/>
          <w:i/>
          <w:iCs/>
          <w:sz w:val="20"/>
          <w:szCs w:val="20"/>
          <w:shd w:val="clear" w:color="auto" w:fill="FFFFFF"/>
        </w:rPr>
        <w:t>P</w:t>
      </w:r>
      <w:r w:rsidR="00A64159" w:rsidRPr="00747466">
        <w:rPr>
          <w:rFonts w:ascii="Times New Roman" w:hAnsi="Times New Roman" w:cs="Times New Roman"/>
          <w:sz w:val="20"/>
          <w:szCs w:val="20"/>
          <w:shd w:val="clear" w:color="auto" w:fill="FFFFFF"/>
        </w:rPr>
        <w:t xml:space="preserve"> &lt;.001) Hypertension and CCF was found more significant in Group B than A . Incidence of composite of postoperative morbidity and mortality endpoints was greater in patients with HbA1c ≥7.0% (22% vs 14%, P = .043). Perioperative time-weighted average glucose concentration was also greater in patients with HbA1c ≥7.0%, whereas the CV did not show any difference. </w:t>
      </w:r>
    </w:p>
    <w:p w:rsidR="00BF2D83" w:rsidRPr="00747466" w:rsidRDefault="00BF2D83"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 xml:space="preserve">Since glycemia is more sensitive to temporary changes than HbA1c, it was expected to contain less predictable SWC after surgery. This was confirmed by our finding that in the whole study group, none of our models showed an association between pre-surgical glycemia and the incidence or degree of SWC. However, after studying the terms of interaction, we were able to show that glycemia was associated with SWC under certain conditions. First, glycemia was found to be a useful predictor in an emergency situation. The pressure associated with emergency intervention is known to cause temporary disruption of blood glucose profiles, which may obscure their predictive data [21]. In the case of emergency surgery, HbA1c can therefore be a better marker as it is stable and easily reflects chronic blood glucose levels. </w:t>
      </w:r>
      <w:r w:rsidR="009F1A0E" w:rsidRPr="00747466">
        <w:rPr>
          <w:rFonts w:ascii="Times New Roman" w:hAnsi="Times New Roman" w:cs="Times New Roman"/>
          <w:sz w:val="20"/>
          <w:szCs w:val="20"/>
          <w:shd w:val="clear" w:color="auto" w:fill="FFFFFF"/>
        </w:rPr>
        <w:t>Glycemia was significantly associated with SWC in diabetic patients with a BMI &lt; 30</w:t>
      </w:r>
      <w:r w:rsidRPr="00747466">
        <w:rPr>
          <w:rFonts w:ascii="Times New Roman" w:hAnsi="Times New Roman" w:cs="Times New Roman"/>
          <w:sz w:val="20"/>
          <w:szCs w:val="20"/>
          <w:shd w:val="clear" w:color="auto" w:fill="FFFFFF"/>
        </w:rPr>
        <w:t>[13]. Similarly, a combination of high risk factors in obese patients (BMI&gt; 30) with diabetes can lead to a reduction in the effect of glycemia on SWC.</w:t>
      </w:r>
    </w:p>
    <w:p w:rsidR="00BF2D83" w:rsidRPr="00747466" w:rsidRDefault="00BF2D83"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 xml:space="preserve">       In general, elevated HbA1c is strongly associated with high levels and SWC levels following OPCAB in diabetic patients, whereas glycemia is absent. However, the association of HbA1c with SWC appears to be insignificant in patients older than 70 years. In addition, glycemia may be a useful predictor of SWC under certain conditions: in patients undergoing emergency surgery, in patients with grafting diabetic patients, and in diabetic patients with a BMI &lt;30.</w:t>
      </w:r>
    </w:p>
    <w:p w:rsidR="00BF2D83" w:rsidRPr="00747466" w:rsidRDefault="00BF2D83" w:rsidP="00BF2D83">
      <w:pPr>
        <w:spacing w:after="0" w:line="360" w:lineRule="auto"/>
        <w:jc w:val="both"/>
        <w:rPr>
          <w:rFonts w:ascii="Times New Roman" w:hAnsi="Times New Roman" w:cs="Times New Roman"/>
          <w:b/>
          <w:sz w:val="20"/>
          <w:szCs w:val="20"/>
          <w:shd w:val="clear" w:color="auto" w:fill="FFFFFF"/>
        </w:rPr>
      </w:pPr>
      <w:r w:rsidRPr="00747466">
        <w:rPr>
          <w:rFonts w:ascii="Times New Roman" w:hAnsi="Times New Roman" w:cs="Times New Roman"/>
          <w:b/>
          <w:sz w:val="20"/>
          <w:szCs w:val="20"/>
          <w:shd w:val="clear" w:color="auto" w:fill="FFFFFF"/>
        </w:rPr>
        <w:t xml:space="preserve">Study limitations: </w:t>
      </w:r>
    </w:p>
    <w:p w:rsidR="003D1344" w:rsidRPr="00747466" w:rsidRDefault="00BF2D83" w:rsidP="00BF2D83">
      <w:pPr>
        <w:spacing w:after="0" w:line="360" w:lineRule="auto"/>
        <w:jc w:val="both"/>
        <w:rPr>
          <w:rFonts w:ascii="Times New Roman" w:hAnsi="Times New Roman" w:cs="Times New Roman"/>
          <w:sz w:val="20"/>
          <w:szCs w:val="20"/>
          <w:shd w:val="clear" w:color="auto" w:fill="FFFFFF"/>
        </w:rPr>
      </w:pPr>
      <w:r w:rsidRPr="00747466">
        <w:rPr>
          <w:rFonts w:ascii="Times New Roman" w:hAnsi="Times New Roman" w:cs="Times New Roman"/>
          <w:sz w:val="20"/>
          <w:szCs w:val="20"/>
          <w:shd w:val="clear" w:color="auto" w:fill="FFFFFF"/>
        </w:rPr>
        <w:t>This study has some limitations. This was a retrospective study and could easily be confusing.</w:t>
      </w:r>
    </w:p>
    <w:p w:rsidR="00747466" w:rsidRDefault="00747466" w:rsidP="00BF2D83">
      <w:pPr>
        <w:spacing w:after="0" w:line="360" w:lineRule="auto"/>
        <w:jc w:val="both"/>
        <w:rPr>
          <w:rFonts w:ascii="Times New Roman" w:hAnsi="Times New Roman" w:cs="Times New Roman"/>
          <w:b/>
          <w:sz w:val="20"/>
          <w:szCs w:val="20"/>
          <w:shd w:val="clear" w:color="auto" w:fill="FFFFFF"/>
        </w:rPr>
      </w:pPr>
      <w:bookmarkStart w:id="0" w:name="_GoBack"/>
      <w:bookmarkEnd w:id="0"/>
    </w:p>
    <w:p w:rsidR="003D1344" w:rsidRPr="00747466" w:rsidRDefault="003D1344" w:rsidP="00BF2D83">
      <w:pPr>
        <w:spacing w:after="0" w:line="360" w:lineRule="auto"/>
        <w:jc w:val="both"/>
        <w:rPr>
          <w:rFonts w:ascii="Times New Roman" w:hAnsi="Times New Roman" w:cs="Times New Roman"/>
          <w:b/>
          <w:sz w:val="20"/>
          <w:szCs w:val="20"/>
          <w:shd w:val="clear" w:color="auto" w:fill="FFFFFF"/>
        </w:rPr>
      </w:pPr>
      <w:r w:rsidRPr="00747466">
        <w:rPr>
          <w:rFonts w:ascii="Times New Roman" w:hAnsi="Times New Roman" w:cs="Times New Roman"/>
          <w:b/>
          <w:sz w:val="20"/>
          <w:szCs w:val="20"/>
          <w:shd w:val="clear" w:color="auto" w:fill="FFFFFF"/>
        </w:rPr>
        <w:t xml:space="preserve">References: </w:t>
      </w:r>
    </w:p>
    <w:p w:rsidR="00E31219" w:rsidRPr="00747466" w:rsidRDefault="003D1344" w:rsidP="00747466">
      <w:pPr>
        <w:pStyle w:val="ListParagraph"/>
        <w:numPr>
          <w:ilvl w:val="0"/>
          <w:numId w:val="3"/>
        </w:numPr>
        <w:shd w:val="clear" w:color="auto" w:fill="FFFFFF"/>
        <w:spacing w:after="0" w:line="360" w:lineRule="auto"/>
        <w:ind w:left="714" w:hanging="357"/>
        <w:rPr>
          <w:rFonts w:ascii="Times New Roman" w:eastAsia="Times New Roman" w:hAnsi="Times New Roman" w:cs="Times New Roman"/>
          <w:sz w:val="18"/>
          <w:szCs w:val="18"/>
          <w:lang w:eastAsia="en-IN"/>
        </w:rPr>
      </w:pPr>
      <w:r w:rsidRPr="00747466">
        <w:rPr>
          <w:rFonts w:ascii="Times New Roman" w:eastAsia="Times New Roman" w:hAnsi="Times New Roman" w:cs="Times New Roman"/>
          <w:sz w:val="18"/>
          <w:szCs w:val="18"/>
          <w:lang w:eastAsia="en-IN"/>
        </w:rPr>
        <w:t>Duncan A.E. , Abd-Elsayed A., Maheshwari A., Xu M., Soltesz E., Koch C.G.</w:t>
      </w:r>
      <w:r w:rsidRPr="00747466">
        <w:rPr>
          <w:rFonts w:ascii="Times New Roman" w:eastAsia="Times New Roman" w:hAnsi="Times New Roman" w:cs="Times New Roman"/>
          <w:bCs/>
          <w:sz w:val="18"/>
          <w:szCs w:val="18"/>
          <w:lang w:eastAsia="en-IN"/>
        </w:rPr>
        <w:t>Role of intraoperative and postoperative blood glucose concentrations in predicting outcomes after cardiac surgery.</w:t>
      </w:r>
      <w:r w:rsidRPr="00747466">
        <w:rPr>
          <w:rFonts w:ascii="Times New Roman" w:eastAsia="Times New Roman" w:hAnsi="Times New Roman" w:cs="Times New Roman"/>
          <w:sz w:val="18"/>
          <w:szCs w:val="18"/>
          <w:lang w:eastAsia="en-IN"/>
        </w:rPr>
        <w:t xml:space="preserve">, </w:t>
      </w:r>
      <w:r w:rsidRPr="00747466">
        <w:rPr>
          <w:rFonts w:ascii="Times New Roman" w:eastAsia="Times New Roman" w:hAnsi="Times New Roman" w:cs="Times New Roman"/>
          <w:iCs/>
          <w:sz w:val="18"/>
          <w:szCs w:val="18"/>
          <w:shd w:val="clear" w:color="auto" w:fill="FFFFFF"/>
          <w:lang w:eastAsia="en-IN"/>
        </w:rPr>
        <w:t>Anesthesiology.</w:t>
      </w:r>
      <w:r w:rsidRPr="00747466">
        <w:rPr>
          <w:rFonts w:ascii="Times New Roman" w:eastAsia="Times New Roman" w:hAnsi="Times New Roman" w:cs="Times New Roman"/>
          <w:sz w:val="18"/>
          <w:szCs w:val="18"/>
          <w:shd w:val="clear" w:color="auto" w:fill="FFFFFF"/>
          <w:lang w:eastAsia="en-IN"/>
        </w:rPr>
        <w:t> 2010; </w:t>
      </w:r>
      <w:r w:rsidRPr="00747466">
        <w:rPr>
          <w:rFonts w:ascii="Times New Roman" w:eastAsia="Times New Roman" w:hAnsi="Times New Roman" w:cs="Times New Roman"/>
          <w:bCs/>
          <w:sz w:val="18"/>
          <w:szCs w:val="18"/>
          <w:shd w:val="clear" w:color="auto" w:fill="FFFFFF"/>
          <w:lang w:eastAsia="en-IN"/>
        </w:rPr>
        <w:t>112</w:t>
      </w:r>
      <w:r w:rsidRPr="00747466">
        <w:rPr>
          <w:rFonts w:ascii="Times New Roman" w:eastAsia="Times New Roman" w:hAnsi="Times New Roman" w:cs="Times New Roman"/>
          <w:sz w:val="18"/>
          <w:szCs w:val="18"/>
          <w:shd w:val="clear" w:color="auto" w:fill="FFFFFF"/>
          <w:lang w:eastAsia="en-IN"/>
        </w:rPr>
        <w:t>: 860-871</w:t>
      </w:r>
    </w:p>
    <w:p w:rsidR="003D1344" w:rsidRPr="00747466" w:rsidRDefault="003D1344" w:rsidP="00747466">
      <w:pPr>
        <w:pStyle w:val="ListParagraph"/>
        <w:numPr>
          <w:ilvl w:val="0"/>
          <w:numId w:val="3"/>
        </w:numPr>
        <w:shd w:val="clear" w:color="auto" w:fill="FFFFFF"/>
        <w:spacing w:after="0" w:line="360" w:lineRule="auto"/>
        <w:ind w:left="714" w:hanging="357"/>
        <w:rPr>
          <w:rFonts w:ascii="Times New Roman" w:eastAsia="Times New Roman" w:hAnsi="Times New Roman" w:cs="Times New Roman"/>
          <w:sz w:val="18"/>
          <w:szCs w:val="18"/>
          <w:lang w:eastAsia="en-IN"/>
        </w:rPr>
      </w:pPr>
      <w:r w:rsidRPr="00747466">
        <w:rPr>
          <w:rFonts w:ascii="Times New Roman" w:eastAsia="Times New Roman" w:hAnsi="Times New Roman" w:cs="Times New Roman"/>
          <w:sz w:val="18"/>
          <w:szCs w:val="18"/>
          <w:lang w:eastAsia="en-IN"/>
        </w:rPr>
        <w:t xml:space="preserve">Ouattara A., Lecomte P., Le Manach Y., Landi M., Jacqueminet S., Platonov I.et al., </w:t>
      </w:r>
      <w:r w:rsidRPr="00747466">
        <w:rPr>
          <w:rFonts w:ascii="Times New Roman" w:eastAsia="Times New Roman" w:hAnsi="Times New Roman" w:cs="Times New Roman"/>
          <w:bCs/>
          <w:sz w:val="18"/>
          <w:szCs w:val="18"/>
          <w:lang w:eastAsia="en-IN"/>
        </w:rPr>
        <w:t xml:space="preserve">Poor intraoperative blood glucose control is associated with a worsened hospital outcome after cardiac surgery in diabetic patients, </w:t>
      </w:r>
      <w:r w:rsidRPr="00747466">
        <w:rPr>
          <w:rFonts w:ascii="Times New Roman" w:eastAsia="Times New Roman" w:hAnsi="Times New Roman" w:cs="Times New Roman"/>
          <w:iCs/>
          <w:sz w:val="18"/>
          <w:szCs w:val="18"/>
          <w:shd w:val="clear" w:color="auto" w:fill="FFFFFF"/>
          <w:lang w:eastAsia="en-IN"/>
        </w:rPr>
        <w:t>Anesthesiology.</w:t>
      </w:r>
      <w:r w:rsidRPr="00747466">
        <w:rPr>
          <w:rFonts w:ascii="Times New Roman" w:eastAsia="Times New Roman" w:hAnsi="Times New Roman" w:cs="Times New Roman"/>
          <w:sz w:val="18"/>
          <w:szCs w:val="18"/>
          <w:shd w:val="clear" w:color="auto" w:fill="FFFFFF"/>
          <w:lang w:eastAsia="en-IN"/>
        </w:rPr>
        <w:t> 2005; </w:t>
      </w:r>
      <w:r w:rsidRPr="00747466">
        <w:rPr>
          <w:rFonts w:ascii="Times New Roman" w:eastAsia="Times New Roman" w:hAnsi="Times New Roman" w:cs="Times New Roman"/>
          <w:bCs/>
          <w:sz w:val="18"/>
          <w:szCs w:val="18"/>
          <w:shd w:val="clear" w:color="auto" w:fill="FFFFFF"/>
          <w:lang w:eastAsia="en-IN"/>
        </w:rPr>
        <w:t>103</w:t>
      </w:r>
      <w:r w:rsidRPr="00747466">
        <w:rPr>
          <w:rFonts w:ascii="Times New Roman" w:eastAsia="Times New Roman" w:hAnsi="Times New Roman" w:cs="Times New Roman"/>
          <w:sz w:val="18"/>
          <w:szCs w:val="18"/>
          <w:shd w:val="clear" w:color="auto" w:fill="FFFFFF"/>
          <w:lang w:eastAsia="en-IN"/>
        </w:rPr>
        <w:t>: 687-694</w:t>
      </w:r>
    </w:p>
    <w:p w:rsidR="00E31219" w:rsidRPr="00747466" w:rsidRDefault="00E31219" w:rsidP="00747466">
      <w:pPr>
        <w:pStyle w:val="ListParagraph"/>
        <w:numPr>
          <w:ilvl w:val="0"/>
          <w:numId w:val="3"/>
        </w:numPr>
        <w:spacing w:after="0" w:line="360" w:lineRule="auto"/>
        <w:ind w:left="714" w:hanging="357"/>
        <w:rPr>
          <w:rFonts w:ascii="Times New Roman" w:hAnsi="Times New Roman" w:cs="Times New Roman"/>
          <w:sz w:val="18"/>
          <w:szCs w:val="18"/>
          <w:shd w:val="clear" w:color="auto" w:fill="FFFFFF"/>
        </w:rPr>
      </w:pPr>
      <w:r w:rsidRPr="00747466">
        <w:rPr>
          <w:rFonts w:ascii="Times New Roman" w:hAnsi="Times New Roman" w:cs="Times New Roman"/>
          <w:sz w:val="18"/>
          <w:szCs w:val="18"/>
          <w:shd w:val="clear" w:color="auto" w:fill="FFFFFF"/>
        </w:rPr>
        <w:t xml:space="preserve">Van den Eynde J, Van Vlasselaer A, Laenen A, Szecel D, Meuris B, Verbelen T, Jacobs S, Verbrugghe P, Oosterlinck W. Hemoglobin A1c and preoperative glycemia as a decision tool to help minimise sternal wound complications: a retrospective study in OPCAB patients. J Cardiothorac Surg. 2021 Jul 20;16(1):198. doi: 10.1186/s13019-021-01580-1. </w:t>
      </w:r>
    </w:p>
    <w:p w:rsidR="00E31219" w:rsidRPr="00747466" w:rsidRDefault="00E31219" w:rsidP="00747466">
      <w:pPr>
        <w:pStyle w:val="ListParagraph"/>
        <w:numPr>
          <w:ilvl w:val="0"/>
          <w:numId w:val="3"/>
        </w:numPr>
        <w:spacing w:after="0" w:line="360" w:lineRule="auto"/>
        <w:ind w:left="714" w:hanging="357"/>
        <w:rPr>
          <w:rFonts w:ascii="Times New Roman" w:hAnsi="Times New Roman" w:cs="Times New Roman"/>
          <w:sz w:val="18"/>
          <w:szCs w:val="18"/>
          <w:shd w:val="clear" w:color="auto" w:fill="FFFFFF"/>
        </w:rPr>
      </w:pPr>
      <w:r w:rsidRPr="00747466">
        <w:rPr>
          <w:rFonts w:ascii="Times New Roman" w:hAnsi="Times New Roman" w:cs="Times New Roman"/>
          <w:sz w:val="18"/>
          <w:szCs w:val="18"/>
          <w:shd w:val="clear" w:color="auto" w:fill="FFFFFF"/>
        </w:rPr>
        <w:t xml:space="preserve">Kim HJ, Shim JK, Youn YN, Song JW, Lee H, Kwak YL. Influence of preoperative hemoglobin A1c on early outcomes in patients with diabetes mellitus undergoing off-pump coronary artery bypass surgery. J Thorac Cardiovasc Surg. 2020 Feb;159(2):568-576. </w:t>
      </w:r>
    </w:p>
    <w:p w:rsidR="00E31219" w:rsidRPr="00747466" w:rsidRDefault="00E31219" w:rsidP="00747466">
      <w:pPr>
        <w:pStyle w:val="ListParagraph"/>
        <w:numPr>
          <w:ilvl w:val="0"/>
          <w:numId w:val="3"/>
        </w:numPr>
        <w:shd w:val="clear" w:color="auto" w:fill="FFFFFF"/>
        <w:spacing w:after="0" w:line="360" w:lineRule="auto"/>
        <w:ind w:left="714" w:hanging="357"/>
        <w:rPr>
          <w:rFonts w:ascii="Times New Roman" w:eastAsia="Times New Roman" w:hAnsi="Times New Roman" w:cs="Times New Roman"/>
          <w:sz w:val="18"/>
          <w:szCs w:val="18"/>
          <w:lang w:eastAsia="en-IN"/>
        </w:rPr>
      </w:pPr>
      <w:r w:rsidRPr="00747466">
        <w:rPr>
          <w:rFonts w:ascii="Times New Roman" w:eastAsia="Times New Roman" w:hAnsi="Times New Roman" w:cs="Times New Roman"/>
          <w:sz w:val="18"/>
          <w:szCs w:val="18"/>
          <w:lang w:eastAsia="en-IN"/>
        </w:rPr>
        <w:t>Tsuruta R, Miyauchi K, Yamamoto T, Dohi S, Tambara K, Dohi T, Inaba H, Kuwaki K, Daida H, Amano A. Effect of preoperative hemoglobin A1c levels on long-term outcomes for diabetic patients after off-pump coronary artery bypass grafting. </w:t>
      </w:r>
      <w:r w:rsidRPr="00747466">
        <w:rPr>
          <w:rFonts w:ascii="Times New Roman" w:eastAsia="Times New Roman" w:hAnsi="Times New Roman" w:cs="Times New Roman"/>
          <w:iCs/>
          <w:sz w:val="18"/>
          <w:szCs w:val="18"/>
          <w:lang w:eastAsia="en-IN"/>
        </w:rPr>
        <w:t>J Cardiol. </w:t>
      </w:r>
      <w:r w:rsidRPr="00747466">
        <w:rPr>
          <w:rFonts w:ascii="Times New Roman" w:eastAsia="Times New Roman" w:hAnsi="Times New Roman" w:cs="Times New Roman"/>
          <w:sz w:val="18"/>
          <w:szCs w:val="18"/>
          <w:lang w:eastAsia="en-IN"/>
        </w:rPr>
        <w:t>2011;</w:t>
      </w:r>
      <w:r w:rsidRPr="00747466">
        <w:rPr>
          <w:rFonts w:ascii="Times New Roman" w:eastAsia="Times New Roman" w:hAnsi="Times New Roman" w:cs="Times New Roman"/>
          <w:bCs/>
          <w:sz w:val="18"/>
          <w:szCs w:val="18"/>
          <w:lang w:eastAsia="en-IN"/>
        </w:rPr>
        <w:t>57</w:t>
      </w:r>
      <w:r w:rsidRPr="00747466">
        <w:rPr>
          <w:rFonts w:ascii="Times New Roman" w:eastAsia="Times New Roman" w:hAnsi="Times New Roman" w:cs="Times New Roman"/>
          <w:sz w:val="18"/>
          <w:szCs w:val="18"/>
          <w:lang w:eastAsia="en-IN"/>
        </w:rPr>
        <w:t>(2):181–186. doi: 10.1016/j.jjcc.2010.11.003. </w:t>
      </w:r>
    </w:p>
    <w:p w:rsidR="003D1344" w:rsidRPr="00747466" w:rsidRDefault="00E31219" w:rsidP="00747466">
      <w:pPr>
        <w:pStyle w:val="ListParagraph"/>
        <w:numPr>
          <w:ilvl w:val="0"/>
          <w:numId w:val="3"/>
        </w:numPr>
        <w:shd w:val="clear" w:color="auto" w:fill="FFFFFF"/>
        <w:spacing w:after="0" w:line="360" w:lineRule="auto"/>
        <w:ind w:left="714" w:hanging="357"/>
        <w:rPr>
          <w:rFonts w:ascii="Times New Roman" w:eastAsia="Times New Roman" w:hAnsi="Times New Roman" w:cs="Times New Roman"/>
          <w:sz w:val="18"/>
          <w:szCs w:val="18"/>
          <w:lang w:eastAsia="en-IN"/>
        </w:rPr>
      </w:pPr>
      <w:r w:rsidRPr="00747466">
        <w:rPr>
          <w:rFonts w:ascii="Times New Roman" w:eastAsia="Times New Roman" w:hAnsi="Times New Roman" w:cs="Times New Roman"/>
          <w:sz w:val="18"/>
          <w:szCs w:val="18"/>
          <w:lang w:eastAsia="en-IN"/>
        </w:rPr>
        <w:t>Lauruschkat AH, Arnrich B, Albert AA, Walter J̈A, Amann B, Rosendahl UP, Alexander T, Ennker J̈. Prevalence and risks of undiagnosed diabetes mellitus in patients un</w:t>
      </w:r>
      <w:r w:rsidR="003D1344" w:rsidRPr="00747466">
        <w:rPr>
          <w:rFonts w:ascii="Times New Roman" w:eastAsia="Times New Roman" w:hAnsi="Times New Roman" w:cs="Times New Roman"/>
          <w:sz w:val="18"/>
          <w:szCs w:val="18"/>
          <w:lang w:eastAsia="en-IN"/>
        </w:rPr>
        <w:t xml:space="preserve">dergoing coronary artery bypass </w:t>
      </w:r>
      <w:r w:rsidRPr="00747466">
        <w:rPr>
          <w:rFonts w:ascii="Times New Roman" w:eastAsia="Times New Roman" w:hAnsi="Times New Roman" w:cs="Times New Roman"/>
          <w:sz w:val="18"/>
          <w:szCs w:val="18"/>
          <w:lang w:eastAsia="en-IN"/>
        </w:rPr>
        <w:t>grafting. </w:t>
      </w:r>
      <w:r w:rsidRPr="00747466">
        <w:rPr>
          <w:rFonts w:ascii="Times New Roman" w:eastAsia="Times New Roman" w:hAnsi="Times New Roman" w:cs="Times New Roman"/>
          <w:iCs/>
          <w:sz w:val="18"/>
          <w:szCs w:val="18"/>
          <w:lang w:eastAsia="en-IN"/>
        </w:rPr>
        <w:t>Circulation. </w:t>
      </w:r>
      <w:r w:rsidRPr="00747466">
        <w:rPr>
          <w:rFonts w:ascii="Times New Roman" w:eastAsia="Times New Roman" w:hAnsi="Times New Roman" w:cs="Times New Roman"/>
          <w:sz w:val="18"/>
          <w:szCs w:val="18"/>
          <w:lang w:eastAsia="en-IN"/>
        </w:rPr>
        <w:t>2005;</w:t>
      </w:r>
      <w:r w:rsidRPr="00747466">
        <w:rPr>
          <w:rFonts w:ascii="Times New Roman" w:eastAsia="Times New Roman" w:hAnsi="Times New Roman" w:cs="Times New Roman"/>
          <w:bCs/>
          <w:sz w:val="18"/>
          <w:szCs w:val="18"/>
          <w:lang w:eastAsia="en-IN"/>
        </w:rPr>
        <w:t>112</w:t>
      </w:r>
      <w:r w:rsidRPr="00747466">
        <w:rPr>
          <w:rFonts w:ascii="Times New Roman" w:eastAsia="Times New Roman" w:hAnsi="Times New Roman" w:cs="Times New Roman"/>
          <w:sz w:val="18"/>
          <w:szCs w:val="18"/>
          <w:lang w:eastAsia="en-IN"/>
        </w:rPr>
        <w:t xml:space="preserve">(16):2397–2402. </w:t>
      </w:r>
    </w:p>
    <w:p w:rsidR="00E31219" w:rsidRPr="00747466" w:rsidRDefault="00E31219" w:rsidP="00747466">
      <w:pPr>
        <w:pStyle w:val="ListParagraph"/>
        <w:numPr>
          <w:ilvl w:val="0"/>
          <w:numId w:val="3"/>
        </w:numPr>
        <w:shd w:val="clear" w:color="auto" w:fill="FFFFFF"/>
        <w:spacing w:after="0" w:line="360" w:lineRule="auto"/>
        <w:ind w:left="714" w:hanging="357"/>
        <w:rPr>
          <w:rFonts w:ascii="Times New Roman" w:eastAsia="Times New Roman" w:hAnsi="Times New Roman" w:cs="Times New Roman"/>
          <w:sz w:val="18"/>
          <w:szCs w:val="18"/>
          <w:lang w:eastAsia="en-IN"/>
        </w:rPr>
      </w:pPr>
      <w:r w:rsidRPr="00747466">
        <w:rPr>
          <w:rFonts w:ascii="Times New Roman" w:eastAsia="Times New Roman" w:hAnsi="Times New Roman" w:cs="Times New Roman"/>
          <w:sz w:val="18"/>
          <w:szCs w:val="18"/>
          <w:lang w:eastAsia="en-IN"/>
        </w:rPr>
        <w:t>Palta P, Huang ES, Kalyani RR, Golden SH, Yeh HC. Hemoglobin A1c and mortality in older adults with and without diabetes: results from the national health and nutrition examination surveys (1988-2011) </w:t>
      </w:r>
      <w:r w:rsidRPr="00747466">
        <w:rPr>
          <w:rFonts w:ascii="Times New Roman" w:eastAsia="Times New Roman" w:hAnsi="Times New Roman" w:cs="Times New Roman"/>
          <w:iCs/>
          <w:sz w:val="18"/>
          <w:szCs w:val="18"/>
          <w:lang w:eastAsia="en-IN"/>
        </w:rPr>
        <w:t>Diabetes Care. </w:t>
      </w:r>
      <w:r w:rsidRPr="00747466">
        <w:rPr>
          <w:rFonts w:ascii="Times New Roman" w:eastAsia="Times New Roman" w:hAnsi="Times New Roman" w:cs="Times New Roman"/>
          <w:sz w:val="18"/>
          <w:szCs w:val="18"/>
          <w:lang w:eastAsia="en-IN"/>
        </w:rPr>
        <w:t>2017;</w:t>
      </w:r>
      <w:r w:rsidRPr="00747466">
        <w:rPr>
          <w:rFonts w:ascii="Times New Roman" w:eastAsia="Times New Roman" w:hAnsi="Times New Roman" w:cs="Times New Roman"/>
          <w:bCs/>
          <w:sz w:val="18"/>
          <w:szCs w:val="18"/>
          <w:lang w:eastAsia="en-IN"/>
        </w:rPr>
        <w:t>40</w:t>
      </w:r>
      <w:r w:rsidRPr="00747466">
        <w:rPr>
          <w:rFonts w:ascii="Times New Roman" w:eastAsia="Times New Roman" w:hAnsi="Times New Roman" w:cs="Times New Roman"/>
          <w:sz w:val="18"/>
          <w:szCs w:val="18"/>
          <w:lang w:eastAsia="en-IN"/>
        </w:rPr>
        <w:t xml:space="preserve">(4):453–460. </w:t>
      </w:r>
    </w:p>
    <w:p w:rsidR="00E31219" w:rsidRPr="00747466" w:rsidRDefault="00E31219" w:rsidP="00747466">
      <w:pPr>
        <w:pStyle w:val="ListParagraph"/>
        <w:numPr>
          <w:ilvl w:val="0"/>
          <w:numId w:val="3"/>
        </w:numPr>
        <w:shd w:val="clear" w:color="auto" w:fill="FFFFFF"/>
        <w:spacing w:after="0" w:line="360" w:lineRule="auto"/>
        <w:ind w:left="714" w:hanging="357"/>
        <w:rPr>
          <w:rFonts w:ascii="Times New Roman" w:eastAsia="Times New Roman" w:hAnsi="Times New Roman" w:cs="Times New Roman"/>
          <w:sz w:val="18"/>
          <w:szCs w:val="18"/>
          <w:lang w:eastAsia="en-IN"/>
        </w:rPr>
      </w:pPr>
      <w:r w:rsidRPr="00747466">
        <w:rPr>
          <w:rFonts w:ascii="Times New Roman" w:eastAsia="Times New Roman" w:hAnsi="Times New Roman" w:cs="Times New Roman"/>
          <w:sz w:val="18"/>
          <w:szCs w:val="18"/>
          <w:lang w:eastAsia="en-IN"/>
        </w:rPr>
        <w:t>Kaye KS, Schmader KE, Sawyer R. Surgical site infection in the elderly population. </w:t>
      </w:r>
      <w:r w:rsidRPr="00747466">
        <w:rPr>
          <w:rFonts w:ascii="Times New Roman" w:eastAsia="Times New Roman" w:hAnsi="Times New Roman" w:cs="Times New Roman"/>
          <w:iCs/>
          <w:sz w:val="18"/>
          <w:szCs w:val="18"/>
          <w:lang w:eastAsia="en-IN"/>
        </w:rPr>
        <w:t>Clin Infect Dis. </w:t>
      </w:r>
      <w:r w:rsidRPr="00747466">
        <w:rPr>
          <w:rFonts w:ascii="Times New Roman" w:eastAsia="Times New Roman" w:hAnsi="Times New Roman" w:cs="Times New Roman"/>
          <w:sz w:val="18"/>
          <w:szCs w:val="18"/>
          <w:lang w:eastAsia="en-IN"/>
        </w:rPr>
        <w:t>2004;</w:t>
      </w:r>
      <w:r w:rsidRPr="00747466">
        <w:rPr>
          <w:rFonts w:ascii="Times New Roman" w:eastAsia="Times New Roman" w:hAnsi="Times New Roman" w:cs="Times New Roman"/>
          <w:bCs/>
          <w:sz w:val="18"/>
          <w:szCs w:val="18"/>
          <w:lang w:eastAsia="en-IN"/>
        </w:rPr>
        <w:t>39</w:t>
      </w:r>
      <w:r w:rsidRPr="00747466">
        <w:rPr>
          <w:rFonts w:ascii="Times New Roman" w:eastAsia="Times New Roman" w:hAnsi="Times New Roman" w:cs="Times New Roman"/>
          <w:sz w:val="18"/>
          <w:szCs w:val="18"/>
          <w:lang w:eastAsia="en-IN"/>
        </w:rPr>
        <w:t xml:space="preserve">(12):1835–1841. </w:t>
      </w:r>
    </w:p>
    <w:p w:rsidR="00E31219" w:rsidRPr="00747466" w:rsidRDefault="00E31219" w:rsidP="00747466">
      <w:pPr>
        <w:pStyle w:val="ListParagraph"/>
        <w:numPr>
          <w:ilvl w:val="0"/>
          <w:numId w:val="3"/>
        </w:numPr>
        <w:shd w:val="clear" w:color="auto" w:fill="FFFFFF"/>
        <w:spacing w:after="0" w:line="360" w:lineRule="auto"/>
        <w:ind w:left="714" w:hanging="357"/>
        <w:rPr>
          <w:rFonts w:ascii="Times New Roman" w:eastAsia="Times New Roman" w:hAnsi="Times New Roman" w:cs="Times New Roman"/>
          <w:sz w:val="18"/>
          <w:szCs w:val="18"/>
          <w:lang w:eastAsia="en-IN"/>
        </w:rPr>
      </w:pPr>
      <w:r w:rsidRPr="00747466">
        <w:rPr>
          <w:rFonts w:ascii="Times New Roman" w:eastAsia="Times New Roman" w:hAnsi="Times New Roman" w:cs="Times New Roman"/>
          <w:sz w:val="18"/>
          <w:szCs w:val="18"/>
          <w:lang w:eastAsia="en-IN"/>
        </w:rPr>
        <w:t>Duggan EW, Carlson K, Umpierrez GE. Perioperative hyperglycemia management: an update. </w:t>
      </w:r>
      <w:r w:rsidRPr="00747466">
        <w:rPr>
          <w:rFonts w:ascii="Times New Roman" w:eastAsia="Times New Roman" w:hAnsi="Times New Roman" w:cs="Times New Roman"/>
          <w:iCs/>
          <w:sz w:val="18"/>
          <w:szCs w:val="18"/>
          <w:lang w:eastAsia="en-IN"/>
        </w:rPr>
        <w:t>Anesthesiology. </w:t>
      </w:r>
      <w:r w:rsidRPr="00747466">
        <w:rPr>
          <w:rFonts w:ascii="Times New Roman" w:eastAsia="Times New Roman" w:hAnsi="Times New Roman" w:cs="Times New Roman"/>
          <w:sz w:val="18"/>
          <w:szCs w:val="18"/>
          <w:lang w:eastAsia="en-IN"/>
        </w:rPr>
        <w:t>2017;</w:t>
      </w:r>
      <w:r w:rsidRPr="00747466">
        <w:rPr>
          <w:rFonts w:ascii="Times New Roman" w:eastAsia="Times New Roman" w:hAnsi="Times New Roman" w:cs="Times New Roman"/>
          <w:bCs/>
          <w:sz w:val="18"/>
          <w:szCs w:val="18"/>
          <w:lang w:eastAsia="en-IN"/>
        </w:rPr>
        <w:t>126</w:t>
      </w:r>
      <w:r w:rsidRPr="00747466">
        <w:rPr>
          <w:rFonts w:ascii="Times New Roman" w:eastAsia="Times New Roman" w:hAnsi="Times New Roman" w:cs="Times New Roman"/>
          <w:sz w:val="18"/>
          <w:szCs w:val="18"/>
          <w:lang w:eastAsia="en-IN"/>
        </w:rPr>
        <w:t xml:space="preserve">(3):547–560. </w:t>
      </w:r>
    </w:p>
    <w:p w:rsidR="00E31219" w:rsidRPr="00747466" w:rsidRDefault="00E31219" w:rsidP="003D1344">
      <w:pPr>
        <w:rPr>
          <w:rFonts w:ascii="Times New Roman" w:hAnsi="Times New Roman" w:cs="Times New Roman"/>
          <w:sz w:val="20"/>
          <w:szCs w:val="20"/>
        </w:rPr>
      </w:pPr>
    </w:p>
    <w:sectPr w:rsidR="00E31219" w:rsidRPr="00747466" w:rsidSect="00747466">
      <w:headerReference w:type="default" r:id="rId8"/>
      <w:footerReference w:type="default" r:id="rId9"/>
      <w:pgSz w:w="11906" w:h="16838"/>
      <w:pgMar w:top="1440" w:right="1440" w:bottom="1440" w:left="1440" w:header="708" w:footer="708"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DE" w:rsidRDefault="002B09DE" w:rsidP="00BF2D83">
      <w:pPr>
        <w:spacing w:after="0" w:line="240" w:lineRule="auto"/>
      </w:pPr>
      <w:r>
        <w:separator/>
      </w:r>
    </w:p>
  </w:endnote>
  <w:endnote w:type="continuationSeparator" w:id="0">
    <w:p w:rsidR="002B09DE" w:rsidRDefault="002B09DE" w:rsidP="00BF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747466">
      <w:trPr>
        <w:trHeight w:val="360"/>
      </w:trPr>
      <w:tc>
        <w:tcPr>
          <w:tcW w:w="3500" w:type="pct"/>
        </w:tcPr>
        <w:p w:rsidR="00747466" w:rsidRDefault="00747466">
          <w:pPr>
            <w:pStyle w:val="Footer"/>
            <w:jc w:val="right"/>
          </w:pPr>
          <w:r w:rsidRPr="00124497">
            <w:t>www.ijbamr.com   P ISSN: 2250-284X, E ISSN: 2250-2858</w:t>
          </w:r>
        </w:p>
      </w:tc>
      <w:tc>
        <w:tcPr>
          <w:tcW w:w="1500" w:type="pct"/>
          <w:shd w:val="clear" w:color="auto" w:fill="8064A2" w:themeFill="accent4"/>
        </w:tcPr>
        <w:p w:rsidR="00747466" w:rsidRDefault="00747466">
          <w:pPr>
            <w:pStyle w:val="Footer"/>
            <w:jc w:val="right"/>
            <w:rPr>
              <w:color w:val="FFFFFF" w:themeColor="background1"/>
            </w:rPr>
          </w:pPr>
          <w:r>
            <w:fldChar w:fldCharType="begin"/>
          </w:r>
          <w:r>
            <w:instrText xml:space="preserve"> PAGE    \* MERGEFORMAT </w:instrText>
          </w:r>
          <w:r>
            <w:fldChar w:fldCharType="separate"/>
          </w:r>
          <w:r w:rsidR="002B09DE" w:rsidRPr="002B09DE">
            <w:rPr>
              <w:noProof/>
              <w:color w:val="FFFFFF" w:themeColor="background1"/>
            </w:rPr>
            <w:t>81</w:t>
          </w:r>
          <w:r>
            <w:rPr>
              <w:noProof/>
              <w:color w:val="FFFFFF" w:themeColor="background1"/>
            </w:rPr>
            <w:fldChar w:fldCharType="end"/>
          </w:r>
        </w:p>
      </w:tc>
    </w:tr>
  </w:tbl>
  <w:p w:rsidR="00BF2D83" w:rsidRDefault="00BF2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DE" w:rsidRDefault="002B09DE" w:rsidP="00BF2D83">
      <w:pPr>
        <w:spacing w:after="0" w:line="240" w:lineRule="auto"/>
      </w:pPr>
      <w:r>
        <w:separator/>
      </w:r>
    </w:p>
  </w:footnote>
  <w:footnote w:type="continuationSeparator" w:id="0">
    <w:p w:rsidR="002B09DE" w:rsidRDefault="002B09DE" w:rsidP="00BF2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66" w:rsidRPr="004A4E12" w:rsidRDefault="00747466" w:rsidP="00747466">
    <w:pPr>
      <w:tabs>
        <w:tab w:val="left" w:pos="496"/>
        <w:tab w:val="center" w:pos="4680"/>
        <w:tab w:val="right" w:pos="9360"/>
      </w:tabs>
      <w:spacing w:after="0" w:line="240" w:lineRule="auto"/>
      <w:ind w:right="-567"/>
      <w:rPr>
        <w:rFonts w:ascii="Cambria" w:eastAsia="Cambria" w:hAnsi="Cambria"/>
        <w:sz w:val="20"/>
      </w:rPr>
    </w:pPr>
    <w:r w:rsidRPr="004A4E12">
      <w:rPr>
        <w:rFonts w:ascii="Cambria" w:eastAsia="Cambria" w:hAnsi="Cambria"/>
        <w:sz w:val="20"/>
      </w:rPr>
      <w:t xml:space="preserve">Indian Journal of Basic and Applied Medical Research; June 2022: Vol.-11, Issue- 3 , P. </w:t>
    </w:r>
    <w:r>
      <w:rPr>
        <w:rFonts w:ascii="Cambria" w:eastAsia="Cambria" w:hAnsi="Cambria"/>
        <w:sz w:val="20"/>
      </w:rPr>
      <w:t xml:space="preserve">81 – 86 </w:t>
    </w:r>
  </w:p>
  <w:p w:rsidR="00747466" w:rsidRPr="004A4E12" w:rsidRDefault="00747466" w:rsidP="00747466">
    <w:pPr>
      <w:tabs>
        <w:tab w:val="left" w:pos="496"/>
        <w:tab w:val="center" w:pos="4680"/>
        <w:tab w:val="right" w:pos="9360"/>
      </w:tabs>
      <w:spacing w:after="0" w:line="240" w:lineRule="auto"/>
      <w:ind w:right="-567"/>
      <w:rPr>
        <w:rFonts w:ascii="Cambria" w:eastAsia="Calibri" w:hAnsi="Cambria"/>
        <w:sz w:val="20"/>
      </w:rPr>
    </w:pPr>
    <w:r w:rsidRPr="004A4E12">
      <w:rPr>
        <w:rFonts w:ascii="Cambria" w:eastAsia="Calibri" w:hAnsi="Cambria" w:cs="Calibri Light"/>
        <w:bCs/>
        <w:sz w:val="20"/>
        <w:shd w:val="clear" w:color="auto" w:fill="FFFFFF"/>
      </w:rPr>
      <w:t xml:space="preserve">DOI: </w:t>
    </w:r>
    <w:r>
      <w:rPr>
        <w:rFonts w:ascii="Cambria" w:eastAsia="Calibri" w:hAnsi="Cambria" w:cs="Calibri Light"/>
        <w:bCs/>
        <w:sz w:val="20"/>
        <w:shd w:val="clear" w:color="auto" w:fill="FFFFFF"/>
      </w:rPr>
      <w:t>10.36855/IJBAMR/2022/90215.55610</w:t>
    </w:r>
  </w:p>
  <w:p w:rsidR="00747466" w:rsidRDefault="00747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5C2"/>
    <w:multiLevelType w:val="multilevel"/>
    <w:tmpl w:val="D5F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53187"/>
    <w:multiLevelType w:val="hybridMultilevel"/>
    <w:tmpl w:val="AB4042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97848CF"/>
    <w:multiLevelType w:val="multilevel"/>
    <w:tmpl w:val="F0A8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35"/>
    <w:rsid w:val="002B09DE"/>
    <w:rsid w:val="003011FF"/>
    <w:rsid w:val="003B6D28"/>
    <w:rsid w:val="003D1344"/>
    <w:rsid w:val="00707B58"/>
    <w:rsid w:val="00747466"/>
    <w:rsid w:val="007F4C14"/>
    <w:rsid w:val="009F1A0E"/>
    <w:rsid w:val="00A64159"/>
    <w:rsid w:val="00AE5AF0"/>
    <w:rsid w:val="00BF2D83"/>
    <w:rsid w:val="00E31219"/>
    <w:rsid w:val="00E3789F"/>
    <w:rsid w:val="00EA7E35"/>
    <w:rsid w:val="00F35705"/>
    <w:rsid w:val="00F550CA"/>
    <w:rsid w:val="00F562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219"/>
    <w:rPr>
      <w:color w:val="0000FF"/>
      <w:u w:val="single"/>
    </w:rPr>
  </w:style>
  <w:style w:type="paragraph" w:styleId="ListParagraph">
    <w:name w:val="List Paragraph"/>
    <w:basedOn w:val="Normal"/>
    <w:uiPriority w:val="34"/>
    <w:qFormat/>
    <w:rsid w:val="003D1344"/>
    <w:pPr>
      <w:ind w:left="720"/>
      <w:contextualSpacing/>
    </w:pPr>
  </w:style>
  <w:style w:type="character" w:styleId="Emphasis">
    <w:name w:val="Emphasis"/>
    <w:basedOn w:val="DefaultParagraphFont"/>
    <w:uiPriority w:val="20"/>
    <w:qFormat/>
    <w:rsid w:val="003B6D28"/>
    <w:rPr>
      <w:i/>
      <w:iCs/>
    </w:rPr>
  </w:style>
  <w:style w:type="paragraph" w:styleId="Header">
    <w:name w:val="header"/>
    <w:basedOn w:val="Normal"/>
    <w:link w:val="HeaderChar"/>
    <w:uiPriority w:val="99"/>
    <w:unhideWhenUsed/>
    <w:rsid w:val="00BF2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83"/>
  </w:style>
  <w:style w:type="paragraph" w:styleId="Footer">
    <w:name w:val="footer"/>
    <w:basedOn w:val="Normal"/>
    <w:link w:val="FooterChar"/>
    <w:uiPriority w:val="99"/>
    <w:unhideWhenUsed/>
    <w:rsid w:val="00BF2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219"/>
    <w:rPr>
      <w:color w:val="0000FF"/>
      <w:u w:val="single"/>
    </w:rPr>
  </w:style>
  <w:style w:type="paragraph" w:styleId="ListParagraph">
    <w:name w:val="List Paragraph"/>
    <w:basedOn w:val="Normal"/>
    <w:uiPriority w:val="34"/>
    <w:qFormat/>
    <w:rsid w:val="003D1344"/>
    <w:pPr>
      <w:ind w:left="720"/>
      <w:contextualSpacing/>
    </w:pPr>
  </w:style>
  <w:style w:type="character" w:styleId="Emphasis">
    <w:name w:val="Emphasis"/>
    <w:basedOn w:val="DefaultParagraphFont"/>
    <w:uiPriority w:val="20"/>
    <w:qFormat/>
    <w:rsid w:val="003B6D28"/>
    <w:rPr>
      <w:i/>
      <w:iCs/>
    </w:rPr>
  </w:style>
  <w:style w:type="paragraph" w:styleId="Header">
    <w:name w:val="header"/>
    <w:basedOn w:val="Normal"/>
    <w:link w:val="HeaderChar"/>
    <w:uiPriority w:val="99"/>
    <w:unhideWhenUsed/>
    <w:rsid w:val="00BF2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D83"/>
  </w:style>
  <w:style w:type="paragraph" w:styleId="Footer">
    <w:name w:val="footer"/>
    <w:basedOn w:val="Normal"/>
    <w:link w:val="FooterChar"/>
    <w:uiPriority w:val="99"/>
    <w:unhideWhenUsed/>
    <w:rsid w:val="00BF2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847">
      <w:bodyDiv w:val="1"/>
      <w:marLeft w:val="0"/>
      <w:marRight w:val="0"/>
      <w:marTop w:val="0"/>
      <w:marBottom w:val="0"/>
      <w:divBdr>
        <w:top w:val="none" w:sz="0" w:space="0" w:color="auto"/>
        <w:left w:val="none" w:sz="0" w:space="0" w:color="auto"/>
        <w:bottom w:val="none" w:sz="0" w:space="0" w:color="auto"/>
        <w:right w:val="none" w:sz="0" w:space="0" w:color="auto"/>
      </w:divBdr>
    </w:div>
    <w:div w:id="243344711">
      <w:bodyDiv w:val="1"/>
      <w:marLeft w:val="0"/>
      <w:marRight w:val="0"/>
      <w:marTop w:val="0"/>
      <w:marBottom w:val="0"/>
      <w:divBdr>
        <w:top w:val="none" w:sz="0" w:space="0" w:color="auto"/>
        <w:left w:val="none" w:sz="0" w:space="0" w:color="auto"/>
        <w:bottom w:val="none" w:sz="0" w:space="0" w:color="auto"/>
        <w:right w:val="none" w:sz="0" w:space="0" w:color="auto"/>
      </w:divBdr>
      <w:divsChild>
        <w:div w:id="133721888">
          <w:marLeft w:val="0"/>
          <w:marRight w:val="0"/>
          <w:marTop w:val="200"/>
          <w:marBottom w:val="200"/>
          <w:divBdr>
            <w:top w:val="none" w:sz="0" w:space="0" w:color="auto"/>
            <w:left w:val="none" w:sz="0" w:space="0" w:color="auto"/>
            <w:bottom w:val="none" w:sz="0" w:space="0" w:color="auto"/>
            <w:right w:val="none" w:sz="0" w:space="0" w:color="auto"/>
          </w:divBdr>
        </w:div>
        <w:div w:id="1409768904">
          <w:marLeft w:val="0"/>
          <w:marRight w:val="0"/>
          <w:marTop w:val="200"/>
          <w:marBottom w:val="200"/>
          <w:divBdr>
            <w:top w:val="none" w:sz="0" w:space="0" w:color="auto"/>
            <w:left w:val="none" w:sz="0" w:space="0" w:color="auto"/>
            <w:bottom w:val="none" w:sz="0" w:space="0" w:color="auto"/>
            <w:right w:val="none" w:sz="0" w:space="0" w:color="auto"/>
          </w:divBdr>
        </w:div>
        <w:div w:id="1661809747">
          <w:marLeft w:val="0"/>
          <w:marRight w:val="0"/>
          <w:marTop w:val="200"/>
          <w:marBottom w:val="200"/>
          <w:divBdr>
            <w:top w:val="none" w:sz="0" w:space="0" w:color="auto"/>
            <w:left w:val="none" w:sz="0" w:space="0" w:color="auto"/>
            <w:bottom w:val="none" w:sz="0" w:space="0" w:color="auto"/>
            <w:right w:val="none" w:sz="0" w:space="0" w:color="auto"/>
          </w:divBdr>
        </w:div>
        <w:div w:id="1596743180">
          <w:marLeft w:val="0"/>
          <w:marRight w:val="0"/>
          <w:marTop w:val="200"/>
          <w:marBottom w:val="200"/>
          <w:divBdr>
            <w:top w:val="none" w:sz="0" w:space="0" w:color="auto"/>
            <w:left w:val="none" w:sz="0" w:space="0" w:color="auto"/>
            <w:bottom w:val="none" w:sz="0" w:space="0" w:color="auto"/>
            <w:right w:val="none" w:sz="0" w:space="0" w:color="auto"/>
          </w:divBdr>
        </w:div>
        <w:div w:id="335964541">
          <w:marLeft w:val="0"/>
          <w:marRight w:val="0"/>
          <w:marTop w:val="200"/>
          <w:marBottom w:val="200"/>
          <w:divBdr>
            <w:top w:val="none" w:sz="0" w:space="0" w:color="auto"/>
            <w:left w:val="none" w:sz="0" w:space="0" w:color="auto"/>
            <w:bottom w:val="none" w:sz="0" w:space="0" w:color="auto"/>
            <w:right w:val="none" w:sz="0" w:space="0" w:color="auto"/>
          </w:divBdr>
        </w:div>
      </w:divsChild>
    </w:div>
    <w:div w:id="252011946">
      <w:bodyDiv w:val="1"/>
      <w:marLeft w:val="0"/>
      <w:marRight w:val="0"/>
      <w:marTop w:val="0"/>
      <w:marBottom w:val="0"/>
      <w:divBdr>
        <w:top w:val="none" w:sz="0" w:space="0" w:color="auto"/>
        <w:left w:val="none" w:sz="0" w:space="0" w:color="auto"/>
        <w:bottom w:val="none" w:sz="0" w:space="0" w:color="auto"/>
        <w:right w:val="none" w:sz="0" w:space="0" w:color="auto"/>
      </w:divBdr>
      <w:divsChild>
        <w:div w:id="579485499">
          <w:marLeft w:val="0"/>
          <w:marRight w:val="0"/>
          <w:marTop w:val="450"/>
          <w:marBottom w:val="240"/>
          <w:divBdr>
            <w:top w:val="none" w:sz="0" w:space="0" w:color="auto"/>
            <w:left w:val="none" w:sz="0" w:space="0" w:color="auto"/>
            <w:bottom w:val="none" w:sz="0" w:space="0" w:color="auto"/>
            <w:right w:val="none" w:sz="0" w:space="0" w:color="auto"/>
          </w:divBdr>
        </w:div>
        <w:div w:id="1034497985">
          <w:marLeft w:val="0"/>
          <w:marRight w:val="0"/>
          <w:marTop w:val="180"/>
          <w:marBottom w:val="450"/>
          <w:divBdr>
            <w:top w:val="none" w:sz="0" w:space="0" w:color="auto"/>
            <w:left w:val="none" w:sz="0" w:space="0" w:color="auto"/>
            <w:bottom w:val="none" w:sz="0" w:space="0" w:color="auto"/>
            <w:right w:val="none" w:sz="0" w:space="0" w:color="auto"/>
          </w:divBdr>
          <w:divsChild>
            <w:div w:id="3226587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6632828">
      <w:bodyDiv w:val="1"/>
      <w:marLeft w:val="0"/>
      <w:marRight w:val="0"/>
      <w:marTop w:val="0"/>
      <w:marBottom w:val="0"/>
      <w:divBdr>
        <w:top w:val="none" w:sz="0" w:space="0" w:color="auto"/>
        <w:left w:val="none" w:sz="0" w:space="0" w:color="auto"/>
        <w:bottom w:val="none" w:sz="0" w:space="0" w:color="auto"/>
        <w:right w:val="none" w:sz="0" w:space="0" w:color="auto"/>
      </w:divBdr>
    </w:div>
    <w:div w:id="762409164">
      <w:bodyDiv w:val="1"/>
      <w:marLeft w:val="0"/>
      <w:marRight w:val="0"/>
      <w:marTop w:val="0"/>
      <w:marBottom w:val="0"/>
      <w:divBdr>
        <w:top w:val="none" w:sz="0" w:space="0" w:color="auto"/>
        <w:left w:val="none" w:sz="0" w:space="0" w:color="auto"/>
        <w:bottom w:val="none" w:sz="0" w:space="0" w:color="auto"/>
        <w:right w:val="none" w:sz="0" w:space="0" w:color="auto"/>
      </w:divBdr>
      <w:divsChild>
        <w:div w:id="317458816">
          <w:marLeft w:val="0"/>
          <w:marRight w:val="0"/>
          <w:marTop w:val="450"/>
          <w:marBottom w:val="240"/>
          <w:divBdr>
            <w:top w:val="none" w:sz="0" w:space="0" w:color="auto"/>
            <w:left w:val="none" w:sz="0" w:space="0" w:color="auto"/>
            <w:bottom w:val="none" w:sz="0" w:space="0" w:color="auto"/>
            <w:right w:val="none" w:sz="0" w:space="0" w:color="auto"/>
          </w:divBdr>
        </w:div>
        <w:div w:id="670915692">
          <w:marLeft w:val="0"/>
          <w:marRight w:val="0"/>
          <w:marTop w:val="180"/>
          <w:marBottom w:val="450"/>
          <w:divBdr>
            <w:top w:val="none" w:sz="0" w:space="0" w:color="auto"/>
            <w:left w:val="none" w:sz="0" w:space="0" w:color="auto"/>
            <w:bottom w:val="none" w:sz="0" w:space="0" w:color="auto"/>
            <w:right w:val="none" w:sz="0" w:space="0" w:color="auto"/>
          </w:divBdr>
          <w:divsChild>
            <w:div w:id="2923716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9996601">
      <w:bodyDiv w:val="1"/>
      <w:marLeft w:val="0"/>
      <w:marRight w:val="0"/>
      <w:marTop w:val="0"/>
      <w:marBottom w:val="0"/>
      <w:divBdr>
        <w:top w:val="none" w:sz="0" w:space="0" w:color="auto"/>
        <w:left w:val="none" w:sz="0" w:space="0" w:color="auto"/>
        <w:bottom w:val="none" w:sz="0" w:space="0" w:color="auto"/>
        <w:right w:val="none" w:sz="0" w:space="0" w:color="auto"/>
      </w:divBdr>
      <w:divsChild>
        <w:div w:id="827748490">
          <w:marLeft w:val="0"/>
          <w:marRight w:val="0"/>
          <w:marTop w:val="450"/>
          <w:marBottom w:val="240"/>
          <w:divBdr>
            <w:top w:val="none" w:sz="0" w:space="0" w:color="auto"/>
            <w:left w:val="none" w:sz="0" w:space="0" w:color="auto"/>
            <w:bottom w:val="none" w:sz="0" w:space="0" w:color="auto"/>
            <w:right w:val="none" w:sz="0" w:space="0" w:color="auto"/>
          </w:divBdr>
        </w:div>
        <w:div w:id="1971471723">
          <w:marLeft w:val="0"/>
          <w:marRight w:val="0"/>
          <w:marTop w:val="180"/>
          <w:marBottom w:val="450"/>
          <w:divBdr>
            <w:top w:val="none" w:sz="0" w:space="0" w:color="auto"/>
            <w:left w:val="none" w:sz="0" w:space="0" w:color="auto"/>
            <w:bottom w:val="none" w:sz="0" w:space="0" w:color="auto"/>
            <w:right w:val="none" w:sz="0" w:space="0" w:color="auto"/>
          </w:divBdr>
          <w:divsChild>
            <w:div w:id="959338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7564235">
      <w:bodyDiv w:val="1"/>
      <w:marLeft w:val="0"/>
      <w:marRight w:val="0"/>
      <w:marTop w:val="0"/>
      <w:marBottom w:val="0"/>
      <w:divBdr>
        <w:top w:val="none" w:sz="0" w:space="0" w:color="auto"/>
        <w:left w:val="none" w:sz="0" w:space="0" w:color="auto"/>
        <w:bottom w:val="none" w:sz="0" w:space="0" w:color="auto"/>
        <w:right w:val="none" w:sz="0" w:space="0" w:color="auto"/>
      </w:divBdr>
      <w:divsChild>
        <w:div w:id="1093169258">
          <w:marLeft w:val="0"/>
          <w:marRight w:val="0"/>
          <w:marTop w:val="150"/>
          <w:marBottom w:val="270"/>
          <w:divBdr>
            <w:top w:val="none" w:sz="0" w:space="0" w:color="auto"/>
            <w:left w:val="none" w:sz="0" w:space="0" w:color="auto"/>
            <w:bottom w:val="none" w:sz="0" w:space="0" w:color="auto"/>
            <w:right w:val="none" w:sz="0" w:space="0" w:color="auto"/>
          </w:divBdr>
          <w:divsChild>
            <w:div w:id="388695542">
              <w:marLeft w:val="0"/>
              <w:marRight w:val="0"/>
              <w:marTop w:val="0"/>
              <w:marBottom w:val="0"/>
              <w:divBdr>
                <w:top w:val="none" w:sz="0" w:space="0" w:color="auto"/>
                <w:left w:val="none" w:sz="0" w:space="0" w:color="auto"/>
                <w:bottom w:val="none" w:sz="0" w:space="0" w:color="auto"/>
                <w:right w:val="none" w:sz="0" w:space="0" w:color="auto"/>
              </w:divBdr>
            </w:div>
            <w:div w:id="946040783">
              <w:marLeft w:val="0"/>
              <w:marRight w:val="0"/>
              <w:marTop w:val="0"/>
              <w:marBottom w:val="0"/>
              <w:divBdr>
                <w:top w:val="none" w:sz="0" w:space="0" w:color="auto"/>
                <w:left w:val="none" w:sz="0" w:space="0" w:color="auto"/>
                <w:bottom w:val="none" w:sz="0" w:space="0" w:color="auto"/>
                <w:right w:val="none" w:sz="0" w:space="0" w:color="auto"/>
              </w:divBdr>
            </w:div>
            <w:div w:id="321549889">
              <w:marLeft w:val="0"/>
              <w:marRight w:val="0"/>
              <w:marTop w:val="0"/>
              <w:marBottom w:val="0"/>
              <w:divBdr>
                <w:top w:val="none" w:sz="0" w:space="0" w:color="auto"/>
                <w:left w:val="none" w:sz="0" w:space="0" w:color="auto"/>
                <w:bottom w:val="none" w:sz="0" w:space="0" w:color="auto"/>
                <w:right w:val="none" w:sz="0" w:space="0" w:color="auto"/>
              </w:divBdr>
            </w:div>
            <w:div w:id="1408723136">
              <w:marLeft w:val="0"/>
              <w:marRight w:val="0"/>
              <w:marTop w:val="0"/>
              <w:marBottom w:val="0"/>
              <w:divBdr>
                <w:top w:val="none" w:sz="0" w:space="0" w:color="auto"/>
                <w:left w:val="none" w:sz="0" w:space="0" w:color="auto"/>
                <w:bottom w:val="none" w:sz="0" w:space="0" w:color="auto"/>
                <w:right w:val="none" w:sz="0" w:space="0" w:color="auto"/>
              </w:divBdr>
            </w:div>
            <w:div w:id="989747091">
              <w:marLeft w:val="0"/>
              <w:marRight w:val="0"/>
              <w:marTop w:val="0"/>
              <w:marBottom w:val="0"/>
              <w:divBdr>
                <w:top w:val="none" w:sz="0" w:space="0" w:color="auto"/>
                <w:left w:val="none" w:sz="0" w:space="0" w:color="auto"/>
                <w:bottom w:val="none" w:sz="0" w:space="0" w:color="auto"/>
                <w:right w:val="none" w:sz="0" w:space="0" w:color="auto"/>
              </w:divBdr>
            </w:div>
          </w:divsChild>
        </w:div>
        <w:div w:id="577053450">
          <w:marLeft w:val="0"/>
          <w:marRight w:val="0"/>
          <w:marTop w:val="150"/>
          <w:marBottom w:val="270"/>
          <w:divBdr>
            <w:top w:val="none" w:sz="0" w:space="0" w:color="auto"/>
            <w:left w:val="none" w:sz="0" w:space="0" w:color="auto"/>
            <w:bottom w:val="none" w:sz="0" w:space="0" w:color="auto"/>
            <w:right w:val="none" w:sz="0" w:space="0" w:color="auto"/>
          </w:divBdr>
          <w:divsChild>
            <w:div w:id="855995724">
              <w:marLeft w:val="0"/>
              <w:marRight w:val="0"/>
              <w:marTop w:val="0"/>
              <w:marBottom w:val="0"/>
              <w:divBdr>
                <w:top w:val="none" w:sz="0" w:space="0" w:color="auto"/>
                <w:left w:val="none" w:sz="0" w:space="0" w:color="auto"/>
                <w:bottom w:val="none" w:sz="0" w:space="0" w:color="auto"/>
                <w:right w:val="none" w:sz="0" w:space="0" w:color="auto"/>
              </w:divBdr>
            </w:div>
            <w:div w:id="2092045014">
              <w:marLeft w:val="0"/>
              <w:marRight w:val="0"/>
              <w:marTop w:val="0"/>
              <w:marBottom w:val="0"/>
              <w:divBdr>
                <w:top w:val="none" w:sz="0" w:space="0" w:color="auto"/>
                <w:left w:val="none" w:sz="0" w:space="0" w:color="auto"/>
                <w:bottom w:val="none" w:sz="0" w:space="0" w:color="auto"/>
                <w:right w:val="none" w:sz="0" w:space="0" w:color="auto"/>
              </w:divBdr>
            </w:div>
            <w:div w:id="551813702">
              <w:marLeft w:val="0"/>
              <w:marRight w:val="0"/>
              <w:marTop w:val="0"/>
              <w:marBottom w:val="0"/>
              <w:divBdr>
                <w:top w:val="none" w:sz="0" w:space="0" w:color="auto"/>
                <w:left w:val="none" w:sz="0" w:space="0" w:color="auto"/>
                <w:bottom w:val="none" w:sz="0" w:space="0" w:color="auto"/>
                <w:right w:val="none" w:sz="0" w:space="0" w:color="auto"/>
              </w:divBdr>
            </w:div>
            <w:div w:id="1378044382">
              <w:marLeft w:val="0"/>
              <w:marRight w:val="0"/>
              <w:marTop w:val="0"/>
              <w:marBottom w:val="0"/>
              <w:divBdr>
                <w:top w:val="none" w:sz="0" w:space="0" w:color="auto"/>
                <w:left w:val="none" w:sz="0" w:space="0" w:color="auto"/>
                <w:bottom w:val="none" w:sz="0" w:space="0" w:color="auto"/>
                <w:right w:val="none" w:sz="0" w:space="0" w:color="auto"/>
              </w:divBdr>
            </w:div>
            <w:div w:id="2034458423">
              <w:marLeft w:val="0"/>
              <w:marRight w:val="0"/>
              <w:marTop w:val="0"/>
              <w:marBottom w:val="0"/>
              <w:divBdr>
                <w:top w:val="none" w:sz="0" w:space="0" w:color="auto"/>
                <w:left w:val="none" w:sz="0" w:space="0" w:color="auto"/>
                <w:bottom w:val="none" w:sz="0" w:space="0" w:color="auto"/>
                <w:right w:val="none" w:sz="0" w:space="0" w:color="auto"/>
              </w:divBdr>
            </w:div>
            <w:div w:id="1545293376">
              <w:marLeft w:val="0"/>
              <w:marRight w:val="0"/>
              <w:marTop w:val="0"/>
              <w:marBottom w:val="0"/>
              <w:divBdr>
                <w:top w:val="none" w:sz="0" w:space="0" w:color="auto"/>
                <w:left w:val="none" w:sz="0" w:space="0" w:color="auto"/>
                <w:bottom w:val="none" w:sz="0" w:space="0" w:color="auto"/>
                <w:right w:val="none" w:sz="0" w:space="0" w:color="auto"/>
              </w:divBdr>
            </w:div>
            <w:div w:id="729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1899">
      <w:bodyDiv w:val="1"/>
      <w:marLeft w:val="0"/>
      <w:marRight w:val="0"/>
      <w:marTop w:val="0"/>
      <w:marBottom w:val="0"/>
      <w:divBdr>
        <w:top w:val="none" w:sz="0" w:space="0" w:color="auto"/>
        <w:left w:val="none" w:sz="0" w:space="0" w:color="auto"/>
        <w:bottom w:val="none" w:sz="0" w:space="0" w:color="auto"/>
        <w:right w:val="none" w:sz="0" w:space="0" w:color="auto"/>
      </w:divBdr>
      <w:divsChild>
        <w:div w:id="477309752">
          <w:marLeft w:val="0"/>
          <w:marRight w:val="0"/>
          <w:marTop w:val="200"/>
          <w:marBottom w:val="200"/>
          <w:divBdr>
            <w:top w:val="none" w:sz="0" w:space="0" w:color="auto"/>
            <w:left w:val="none" w:sz="0" w:space="0" w:color="auto"/>
            <w:bottom w:val="none" w:sz="0" w:space="0" w:color="auto"/>
            <w:right w:val="none" w:sz="0" w:space="0" w:color="auto"/>
          </w:divBdr>
        </w:div>
        <w:div w:id="904604430">
          <w:marLeft w:val="0"/>
          <w:marRight w:val="0"/>
          <w:marTop w:val="0"/>
          <w:marBottom w:val="0"/>
          <w:divBdr>
            <w:top w:val="none" w:sz="0" w:space="0" w:color="auto"/>
            <w:left w:val="none" w:sz="0" w:space="0" w:color="auto"/>
            <w:bottom w:val="none" w:sz="0" w:space="0" w:color="auto"/>
            <w:right w:val="none" w:sz="0" w:space="0" w:color="auto"/>
          </w:divBdr>
        </w:div>
      </w:divsChild>
    </w:div>
    <w:div w:id="1715544620">
      <w:bodyDiv w:val="1"/>
      <w:marLeft w:val="0"/>
      <w:marRight w:val="0"/>
      <w:marTop w:val="0"/>
      <w:marBottom w:val="0"/>
      <w:divBdr>
        <w:top w:val="none" w:sz="0" w:space="0" w:color="auto"/>
        <w:left w:val="none" w:sz="0" w:space="0" w:color="auto"/>
        <w:bottom w:val="none" w:sz="0" w:space="0" w:color="auto"/>
        <w:right w:val="none" w:sz="0" w:space="0" w:color="auto"/>
      </w:divBdr>
      <w:divsChild>
        <w:div w:id="430665181">
          <w:marLeft w:val="0"/>
          <w:marRight w:val="0"/>
          <w:marTop w:val="0"/>
          <w:marBottom w:val="0"/>
          <w:divBdr>
            <w:top w:val="none" w:sz="0" w:space="0" w:color="auto"/>
            <w:left w:val="none" w:sz="0" w:space="0" w:color="auto"/>
            <w:bottom w:val="none" w:sz="0" w:space="0" w:color="auto"/>
            <w:right w:val="none" w:sz="0" w:space="0" w:color="auto"/>
          </w:divBdr>
        </w:div>
      </w:divsChild>
    </w:div>
    <w:div w:id="1918978408">
      <w:bodyDiv w:val="1"/>
      <w:marLeft w:val="0"/>
      <w:marRight w:val="0"/>
      <w:marTop w:val="0"/>
      <w:marBottom w:val="0"/>
      <w:divBdr>
        <w:top w:val="none" w:sz="0" w:space="0" w:color="auto"/>
        <w:left w:val="none" w:sz="0" w:space="0" w:color="auto"/>
        <w:bottom w:val="none" w:sz="0" w:space="0" w:color="auto"/>
        <w:right w:val="none" w:sz="0" w:space="0" w:color="auto"/>
      </w:divBdr>
      <w:divsChild>
        <w:div w:id="930158270">
          <w:marLeft w:val="0"/>
          <w:marRight w:val="0"/>
          <w:marTop w:val="0"/>
          <w:marBottom w:val="0"/>
          <w:divBdr>
            <w:top w:val="none" w:sz="0" w:space="0" w:color="auto"/>
            <w:left w:val="none" w:sz="0" w:space="0" w:color="auto"/>
            <w:bottom w:val="none" w:sz="0" w:space="0" w:color="auto"/>
            <w:right w:val="none" w:sz="0" w:space="0" w:color="auto"/>
          </w:divBdr>
        </w:div>
        <w:div w:id="183516276">
          <w:marLeft w:val="0"/>
          <w:marRight w:val="0"/>
          <w:marTop w:val="0"/>
          <w:marBottom w:val="0"/>
          <w:divBdr>
            <w:top w:val="none" w:sz="0" w:space="0" w:color="auto"/>
            <w:left w:val="none" w:sz="0" w:space="0" w:color="auto"/>
            <w:bottom w:val="none" w:sz="0" w:space="0" w:color="auto"/>
            <w:right w:val="none" w:sz="0" w:space="0" w:color="auto"/>
          </w:divBdr>
        </w:div>
        <w:div w:id="994144699">
          <w:marLeft w:val="0"/>
          <w:marRight w:val="0"/>
          <w:marTop w:val="0"/>
          <w:marBottom w:val="0"/>
          <w:divBdr>
            <w:top w:val="none" w:sz="0" w:space="0" w:color="auto"/>
            <w:left w:val="none" w:sz="0" w:space="0" w:color="auto"/>
            <w:bottom w:val="none" w:sz="0" w:space="0" w:color="auto"/>
            <w:right w:val="none" w:sz="0" w:space="0" w:color="auto"/>
          </w:divBdr>
        </w:div>
        <w:div w:id="1300113591">
          <w:marLeft w:val="0"/>
          <w:marRight w:val="0"/>
          <w:marTop w:val="0"/>
          <w:marBottom w:val="0"/>
          <w:divBdr>
            <w:top w:val="none" w:sz="0" w:space="0" w:color="auto"/>
            <w:left w:val="none" w:sz="0" w:space="0" w:color="auto"/>
            <w:bottom w:val="none" w:sz="0" w:space="0" w:color="auto"/>
            <w:right w:val="none" w:sz="0" w:space="0" w:color="auto"/>
          </w:divBdr>
        </w:div>
        <w:div w:id="225380164">
          <w:marLeft w:val="0"/>
          <w:marRight w:val="0"/>
          <w:marTop w:val="0"/>
          <w:marBottom w:val="0"/>
          <w:divBdr>
            <w:top w:val="none" w:sz="0" w:space="0" w:color="auto"/>
            <w:left w:val="none" w:sz="0" w:space="0" w:color="auto"/>
            <w:bottom w:val="none" w:sz="0" w:space="0" w:color="auto"/>
            <w:right w:val="none" w:sz="0" w:space="0" w:color="auto"/>
          </w:divBdr>
        </w:div>
        <w:div w:id="102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1807</Words>
  <Characters>10300</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*Dr Girish G'1, Dr Sayyed Ehtesham Hussain Naqvi 2, Dr Lakshmi Sinha'3,  </vt:lpstr>
      <vt:lpstr>    Dr Muzaffar Ali'4,   Dr Muhammad Abid Geelani'5</vt:lpstr>
      <vt:lpstr>    </vt:lpstr>
      <vt:lpstr>    1,3,4- Mch Senior Resident, CTVS Department, GB Pant Institute of Post Graduate </vt:lpstr>
      <vt:lpstr>    2-Associate professor , CTVS Department, GB Pant Institute of Post Graduate Medi</vt:lpstr>
      <vt:lpstr>    5-Director and Professor, Head of CTVS Department, GB Pant Institute of Post Gra</vt:lpstr>
      <vt:lpstr>    Corresponding author*</vt:lpstr>
      <vt:lpstr>    </vt:lpstr>
      <vt:lpstr>    </vt:lpstr>
      <vt:lpstr>    Abstract: </vt:lpstr>
      <vt:lpstr>        </vt:lpstr>
      <vt:lpstr>        Table 1 - Grading of sternal wound complications</vt:lpstr>
    </vt:vector>
  </TitlesOfParts>
  <Company>HP</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11</cp:revision>
  <cp:lastPrinted>2022-07-08T05:13:00Z</cp:lastPrinted>
  <dcterms:created xsi:type="dcterms:W3CDTF">2022-06-30T09:01:00Z</dcterms:created>
  <dcterms:modified xsi:type="dcterms:W3CDTF">2022-07-08T05:13:00Z</dcterms:modified>
</cp:coreProperties>
</file>