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52" w:rsidRPr="00365117" w:rsidRDefault="009E1352" w:rsidP="00D37F4B">
      <w:pPr>
        <w:spacing w:after="0" w:line="360" w:lineRule="auto"/>
        <w:rPr>
          <w:rFonts w:asciiTheme="majorHAnsi" w:hAnsiTheme="majorHAnsi" w:cs="Times New Roman"/>
          <w:b/>
          <w:color w:val="222222"/>
          <w:sz w:val="24"/>
          <w:szCs w:val="24"/>
          <w:shd w:val="clear" w:color="auto" w:fill="FFFFFF"/>
        </w:rPr>
      </w:pPr>
      <w:r w:rsidRPr="00365117">
        <w:rPr>
          <w:rFonts w:asciiTheme="majorHAnsi" w:hAnsiTheme="majorHAnsi" w:cs="Times New Roman"/>
          <w:b/>
          <w:color w:val="222222"/>
          <w:sz w:val="24"/>
          <w:szCs w:val="24"/>
          <w:highlight w:val="lightGray"/>
          <w:shd w:val="clear" w:color="auto" w:fill="FFFFFF"/>
        </w:rPr>
        <w:t>Original article:</w:t>
      </w:r>
    </w:p>
    <w:p w:rsidR="000444B1" w:rsidRPr="00365117" w:rsidRDefault="009E1352" w:rsidP="00D37F4B">
      <w:pPr>
        <w:spacing w:after="0" w:line="360" w:lineRule="auto"/>
        <w:rPr>
          <w:rFonts w:asciiTheme="majorHAnsi" w:hAnsiTheme="majorHAnsi" w:cs="Times New Roman"/>
          <w:b/>
          <w:color w:val="0070C0"/>
          <w:sz w:val="28"/>
          <w:szCs w:val="28"/>
          <w:shd w:val="clear" w:color="auto" w:fill="FFFFFF"/>
        </w:rPr>
      </w:pPr>
      <w:r w:rsidRPr="00365117">
        <w:rPr>
          <w:rFonts w:asciiTheme="majorHAnsi" w:hAnsiTheme="majorHAnsi" w:cs="Times New Roman"/>
          <w:b/>
          <w:color w:val="0070C0"/>
          <w:sz w:val="28"/>
          <w:szCs w:val="28"/>
          <w:shd w:val="clear" w:color="auto" w:fill="FFFFFF"/>
        </w:rPr>
        <w:t xml:space="preserve">Study of comparative estimation of </w:t>
      </w:r>
      <w:proofErr w:type="gramStart"/>
      <w:r w:rsidRPr="00365117">
        <w:rPr>
          <w:rFonts w:asciiTheme="majorHAnsi" w:hAnsiTheme="majorHAnsi" w:cs="Times New Roman"/>
          <w:b/>
          <w:color w:val="0070C0"/>
          <w:sz w:val="28"/>
          <w:szCs w:val="28"/>
          <w:shd w:val="clear" w:color="auto" w:fill="FFFFFF"/>
        </w:rPr>
        <w:t>serum  </w:t>
      </w:r>
      <w:proofErr w:type="spellStart"/>
      <w:r w:rsidRPr="00365117">
        <w:rPr>
          <w:rFonts w:asciiTheme="majorHAnsi" w:hAnsiTheme="majorHAnsi" w:cs="Times New Roman"/>
          <w:b/>
          <w:color w:val="0070C0"/>
          <w:sz w:val="28"/>
          <w:szCs w:val="28"/>
          <w:shd w:val="clear" w:color="auto" w:fill="FFFFFF"/>
        </w:rPr>
        <w:t>Cystatin</w:t>
      </w:r>
      <w:proofErr w:type="spellEnd"/>
      <w:proofErr w:type="gramEnd"/>
      <w:r w:rsidRPr="00365117">
        <w:rPr>
          <w:rFonts w:asciiTheme="majorHAnsi" w:hAnsiTheme="majorHAnsi" w:cs="Times New Roman"/>
          <w:b/>
          <w:color w:val="0070C0"/>
          <w:sz w:val="28"/>
          <w:szCs w:val="28"/>
          <w:shd w:val="clear" w:color="auto" w:fill="FFFFFF"/>
        </w:rPr>
        <w:t xml:space="preserve"> C and serum </w:t>
      </w:r>
      <w:proofErr w:type="spellStart"/>
      <w:r w:rsidRPr="00365117">
        <w:rPr>
          <w:rFonts w:asciiTheme="majorHAnsi" w:hAnsiTheme="majorHAnsi" w:cs="Times New Roman"/>
          <w:b/>
          <w:color w:val="0070C0"/>
          <w:sz w:val="28"/>
          <w:szCs w:val="28"/>
          <w:shd w:val="clear" w:color="auto" w:fill="FFFFFF"/>
        </w:rPr>
        <w:t>creatinine</w:t>
      </w:r>
      <w:proofErr w:type="spellEnd"/>
      <w:r w:rsidRPr="00365117">
        <w:rPr>
          <w:rFonts w:asciiTheme="majorHAnsi" w:hAnsiTheme="majorHAnsi" w:cs="Times New Roman"/>
          <w:b/>
          <w:color w:val="0070C0"/>
          <w:sz w:val="28"/>
          <w:szCs w:val="28"/>
          <w:shd w:val="clear" w:color="auto" w:fill="FFFFFF"/>
        </w:rPr>
        <w:t xml:space="preserve"> in pre-</w:t>
      </w:r>
      <w:proofErr w:type="spellStart"/>
      <w:r w:rsidRPr="00365117">
        <w:rPr>
          <w:rFonts w:asciiTheme="majorHAnsi" w:hAnsiTheme="majorHAnsi" w:cs="Times New Roman"/>
          <w:b/>
          <w:color w:val="0070C0"/>
          <w:sz w:val="28"/>
          <w:szCs w:val="28"/>
          <w:shd w:val="clear" w:color="auto" w:fill="FFFFFF"/>
        </w:rPr>
        <w:t>eclamptic</w:t>
      </w:r>
      <w:proofErr w:type="spellEnd"/>
      <w:r w:rsidRPr="00365117">
        <w:rPr>
          <w:rFonts w:asciiTheme="majorHAnsi" w:hAnsiTheme="majorHAnsi" w:cs="Times New Roman"/>
          <w:b/>
          <w:color w:val="0070C0"/>
          <w:sz w:val="28"/>
          <w:szCs w:val="28"/>
          <w:shd w:val="clear" w:color="auto" w:fill="FFFFFF"/>
        </w:rPr>
        <w:t xml:space="preserve"> patients and normal pregnant</w:t>
      </w:r>
      <w:r w:rsidRPr="00365117">
        <w:rPr>
          <w:rFonts w:asciiTheme="majorHAnsi" w:hAnsiTheme="majorHAnsi" w:cs="Times New Roman"/>
          <w:b/>
          <w:color w:val="0070C0"/>
          <w:spacing w:val="-1"/>
          <w:sz w:val="28"/>
          <w:szCs w:val="28"/>
          <w:shd w:val="clear" w:color="auto" w:fill="FFFFFF"/>
        </w:rPr>
        <w:t> </w:t>
      </w:r>
      <w:r w:rsidRPr="00365117">
        <w:rPr>
          <w:rFonts w:asciiTheme="majorHAnsi" w:hAnsiTheme="majorHAnsi" w:cs="Times New Roman"/>
          <w:b/>
          <w:color w:val="0070C0"/>
          <w:sz w:val="28"/>
          <w:szCs w:val="28"/>
          <w:shd w:val="clear" w:color="auto" w:fill="FFFFFF"/>
        </w:rPr>
        <w:t>woman</w:t>
      </w:r>
    </w:p>
    <w:p w:rsidR="00365117" w:rsidRPr="00365117" w:rsidRDefault="001C7061" w:rsidP="00D37F4B">
      <w:pPr>
        <w:shd w:val="clear" w:color="auto" w:fill="FFFFFF"/>
        <w:spacing w:after="0" w:line="360" w:lineRule="auto"/>
        <w:rPr>
          <w:rFonts w:asciiTheme="majorHAnsi" w:eastAsia="Times New Roman" w:hAnsiTheme="majorHAnsi" w:cs="Arial"/>
          <w:b/>
          <w:color w:val="222222"/>
          <w:sz w:val="18"/>
          <w:szCs w:val="18"/>
          <w:lang w:eastAsia="en-IN"/>
        </w:rPr>
      </w:pPr>
      <w:proofErr w:type="spellStart"/>
      <w:r w:rsidRPr="001C7061">
        <w:rPr>
          <w:rFonts w:asciiTheme="majorHAnsi" w:eastAsia="Times New Roman" w:hAnsiTheme="majorHAnsi" w:cs="Arial"/>
          <w:b/>
          <w:color w:val="222222"/>
          <w:sz w:val="18"/>
          <w:szCs w:val="18"/>
          <w:lang w:eastAsia="en-IN"/>
        </w:rPr>
        <w:t>Dr.Neha</w:t>
      </w:r>
      <w:proofErr w:type="spellEnd"/>
      <w:r w:rsidRPr="001C7061">
        <w:rPr>
          <w:rFonts w:asciiTheme="majorHAnsi" w:eastAsia="Times New Roman" w:hAnsiTheme="majorHAnsi" w:cs="Arial"/>
          <w:b/>
          <w:color w:val="222222"/>
          <w:sz w:val="18"/>
          <w:szCs w:val="18"/>
          <w:lang w:eastAsia="en-IN"/>
        </w:rPr>
        <w:t xml:space="preserve"> </w:t>
      </w:r>
      <w:proofErr w:type="spellStart"/>
      <w:proofErr w:type="gramStart"/>
      <w:r w:rsidRPr="001C7061">
        <w:rPr>
          <w:rFonts w:asciiTheme="majorHAnsi" w:eastAsia="Times New Roman" w:hAnsiTheme="majorHAnsi" w:cs="Arial"/>
          <w:b/>
          <w:color w:val="222222"/>
          <w:sz w:val="18"/>
          <w:szCs w:val="18"/>
          <w:lang w:eastAsia="en-IN"/>
        </w:rPr>
        <w:t>N.Kulkarni</w:t>
      </w:r>
      <w:proofErr w:type="spellEnd"/>
      <w:r w:rsidRPr="001C7061">
        <w:rPr>
          <w:rFonts w:asciiTheme="majorHAnsi" w:eastAsia="Times New Roman" w:hAnsiTheme="majorHAnsi" w:cs="Arial"/>
          <w:b/>
          <w:color w:val="222222"/>
          <w:sz w:val="18"/>
          <w:szCs w:val="18"/>
          <w:lang w:eastAsia="en-IN"/>
        </w:rPr>
        <w:t xml:space="preserve"> </w:t>
      </w:r>
      <w:r w:rsidR="00D37F4B">
        <w:rPr>
          <w:rFonts w:asciiTheme="majorHAnsi" w:eastAsia="Times New Roman" w:hAnsiTheme="majorHAnsi" w:cs="Arial"/>
          <w:b/>
          <w:color w:val="222222"/>
          <w:sz w:val="18"/>
          <w:szCs w:val="18"/>
          <w:lang w:eastAsia="en-IN"/>
        </w:rPr>
        <w:t>,</w:t>
      </w:r>
      <w:proofErr w:type="gramEnd"/>
      <w:r w:rsidR="00D37F4B">
        <w:rPr>
          <w:rFonts w:asciiTheme="majorHAnsi" w:eastAsia="Times New Roman" w:hAnsiTheme="majorHAnsi" w:cs="Arial"/>
          <w:b/>
          <w:color w:val="222222"/>
          <w:sz w:val="18"/>
          <w:szCs w:val="18"/>
          <w:lang w:eastAsia="en-IN"/>
        </w:rPr>
        <w:t xml:space="preserve"> </w:t>
      </w:r>
      <w:proofErr w:type="spellStart"/>
      <w:r w:rsidRPr="001C7061">
        <w:rPr>
          <w:rFonts w:asciiTheme="majorHAnsi" w:eastAsia="Times New Roman" w:hAnsiTheme="majorHAnsi" w:cs="Arial"/>
          <w:b/>
          <w:color w:val="222222"/>
          <w:sz w:val="18"/>
          <w:szCs w:val="18"/>
          <w:lang w:eastAsia="en-IN"/>
        </w:rPr>
        <w:t>Dr.Kailas</w:t>
      </w:r>
      <w:proofErr w:type="spellEnd"/>
      <w:r w:rsidRPr="001C7061">
        <w:rPr>
          <w:rFonts w:asciiTheme="majorHAnsi" w:eastAsia="Times New Roman" w:hAnsiTheme="majorHAnsi" w:cs="Arial"/>
          <w:b/>
          <w:color w:val="222222"/>
          <w:sz w:val="18"/>
          <w:szCs w:val="18"/>
          <w:lang w:eastAsia="en-IN"/>
        </w:rPr>
        <w:t xml:space="preserve"> </w:t>
      </w:r>
      <w:proofErr w:type="spellStart"/>
      <w:r w:rsidRPr="001C7061">
        <w:rPr>
          <w:rFonts w:asciiTheme="majorHAnsi" w:eastAsia="Times New Roman" w:hAnsiTheme="majorHAnsi" w:cs="Arial"/>
          <w:b/>
          <w:color w:val="222222"/>
          <w:sz w:val="18"/>
          <w:szCs w:val="18"/>
          <w:lang w:eastAsia="en-IN"/>
        </w:rPr>
        <w:t>Gadekar</w:t>
      </w:r>
      <w:proofErr w:type="spellEnd"/>
      <w:r w:rsidR="00365117" w:rsidRPr="00365117">
        <w:rPr>
          <w:rFonts w:asciiTheme="majorHAnsi" w:eastAsia="Times New Roman" w:hAnsiTheme="majorHAnsi" w:cs="Arial"/>
          <w:b/>
          <w:color w:val="222222"/>
          <w:sz w:val="18"/>
          <w:szCs w:val="18"/>
          <w:lang w:eastAsia="en-IN"/>
        </w:rPr>
        <w:t xml:space="preserve"> , </w:t>
      </w:r>
      <w:proofErr w:type="spellStart"/>
      <w:r w:rsidRPr="001C7061">
        <w:rPr>
          <w:rFonts w:asciiTheme="majorHAnsi" w:eastAsia="Times New Roman" w:hAnsiTheme="majorHAnsi" w:cs="Arial"/>
          <w:b/>
          <w:color w:val="222222"/>
          <w:sz w:val="18"/>
          <w:szCs w:val="18"/>
          <w:lang w:eastAsia="en-IN"/>
        </w:rPr>
        <w:t>Dr.Santosh</w:t>
      </w:r>
      <w:proofErr w:type="spellEnd"/>
      <w:r w:rsidRPr="001C7061">
        <w:rPr>
          <w:rFonts w:asciiTheme="majorHAnsi" w:eastAsia="Times New Roman" w:hAnsiTheme="majorHAnsi" w:cs="Arial"/>
          <w:b/>
          <w:color w:val="222222"/>
          <w:sz w:val="18"/>
          <w:szCs w:val="18"/>
          <w:lang w:eastAsia="en-IN"/>
        </w:rPr>
        <w:t xml:space="preserve"> G. </w:t>
      </w:r>
      <w:proofErr w:type="spellStart"/>
      <w:r w:rsidR="00365117" w:rsidRPr="00365117">
        <w:rPr>
          <w:rFonts w:asciiTheme="majorHAnsi" w:eastAsia="Times New Roman" w:hAnsiTheme="majorHAnsi" w:cs="Arial"/>
          <w:b/>
          <w:color w:val="222222"/>
          <w:sz w:val="18"/>
          <w:szCs w:val="18"/>
          <w:lang w:eastAsia="en-IN"/>
        </w:rPr>
        <w:t>Varma</w:t>
      </w:r>
      <w:proofErr w:type="spellEnd"/>
      <w:r w:rsidR="00365117" w:rsidRPr="00365117">
        <w:rPr>
          <w:rFonts w:asciiTheme="majorHAnsi" w:eastAsia="Times New Roman" w:hAnsiTheme="majorHAnsi" w:cs="Arial"/>
          <w:b/>
          <w:color w:val="222222"/>
          <w:sz w:val="18"/>
          <w:szCs w:val="18"/>
          <w:lang w:eastAsia="en-IN"/>
        </w:rPr>
        <w:t xml:space="preserve"> , </w:t>
      </w:r>
      <w:r w:rsidR="00365117" w:rsidRPr="001C7061">
        <w:rPr>
          <w:rFonts w:asciiTheme="majorHAnsi" w:eastAsia="Times New Roman" w:hAnsiTheme="majorHAnsi" w:cs="Arial"/>
          <w:b/>
          <w:color w:val="222222"/>
          <w:sz w:val="18"/>
          <w:szCs w:val="18"/>
          <w:lang w:eastAsia="en-IN"/>
        </w:rPr>
        <w:t xml:space="preserve">Nadia </w:t>
      </w:r>
      <w:proofErr w:type="spellStart"/>
      <w:r w:rsidR="00365117" w:rsidRPr="001C7061">
        <w:rPr>
          <w:rFonts w:asciiTheme="majorHAnsi" w:eastAsia="Times New Roman" w:hAnsiTheme="majorHAnsi" w:cs="Arial"/>
          <w:b/>
          <w:color w:val="222222"/>
          <w:sz w:val="18"/>
          <w:szCs w:val="18"/>
          <w:lang w:eastAsia="en-IN"/>
        </w:rPr>
        <w:t>N.Ali</w:t>
      </w:r>
      <w:proofErr w:type="spellEnd"/>
      <w:r w:rsidR="00365117" w:rsidRPr="001C7061">
        <w:rPr>
          <w:rFonts w:asciiTheme="majorHAnsi" w:eastAsia="Times New Roman" w:hAnsiTheme="majorHAnsi" w:cs="Arial"/>
          <w:b/>
          <w:color w:val="222222"/>
          <w:sz w:val="18"/>
          <w:szCs w:val="18"/>
          <w:lang w:eastAsia="en-IN"/>
        </w:rPr>
        <w:t> </w:t>
      </w:r>
      <w:r w:rsidRPr="001C7061">
        <w:rPr>
          <w:rFonts w:asciiTheme="majorHAnsi" w:eastAsia="Times New Roman" w:hAnsiTheme="majorHAnsi" w:cs="Arial"/>
          <w:b/>
          <w:color w:val="222222"/>
          <w:sz w:val="18"/>
          <w:szCs w:val="18"/>
          <w:lang w:eastAsia="en-IN"/>
        </w:rPr>
        <w:t xml:space="preserve">                </w:t>
      </w:r>
    </w:p>
    <w:p w:rsidR="00365117" w:rsidRPr="00365117" w:rsidRDefault="00365117" w:rsidP="00D37F4B">
      <w:pPr>
        <w:shd w:val="clear" w:color="auto" w:fill="FFFFFF"/>
        <w:spacing w:after="0" w:line="360" w:lineRule="auto"/>
        <w:rPr>
          <w:rFonts w:asciiTheme="majorHAnsi" w:eastAsia="Times New Roman" w:hAnsiTheme="majorHAnsi" w:cs="Arial"/>
          <w:color w:val="222222"/>
          <w:sz w:val="24"/>
          <w:szCs w:val="24"/>
          <w:lang w:eastAsia="en-IN"/>
        </w:rPr>
      </w:pPr>
    </w:p>
    <w:p w:rsidR="001C7061" w:rsidRPr="001C7061" w:rsidRDefault="00365117" w:rsidP="00D37F4B">
      <w:pPr>
        <w:shd w:val="clear" w:color="auto" w:fill="FFFFFF"/>
        <w:spacing w:after="0" w:line="360" w:lineRule="auto"/>
        <w:rPr>
          <w:rFonts w:asciiTheme="majorHAnsi" w:eastAsia="Times New Roman" w:hAnsiTheme="majorHAnsi" w:cs="Arial"/>
          <w:color w:val="222222"/>
          <w:sz w:val="18"/>
          <w:szCs w:val="18"/>
          <w:lang w:eastAsia="en-IN"/>
        </w:rPr>
      </w:pPr>
      <w:r w:rsidRPr="00365117">
        <w:rPr>
          <w:rFonts w:asciiTheme="majorHAnsi" w:eastAsia="Times New Roman" w:hAnsiTheme="majorHAnsi" w:cs="Arial"/>
          <w:color w:val="222222"/>
          <w:sz w:val="18"/>
          <w:szCs w:val="18"/>
          <w:lang w:eastAsia="en-IN"/>
        </w:rPr>
        <w:t xml:space="preserve">Department of Biochemistry, </w:t>
      </w:r>
      <w:proofErr w:type="spellStart"/>
      <w:r w:rsidRPr="00365117">
        <w:rPr>
          <w:rFonts w:asciiTheme="majorHAnsi" w:eastAsia="Times New Roman" w:hAnsiTheme="majorHAnsi" w:cs="Arial"/>
          <w:color w:val="222222"/>
          <w:sz w:val="18"/>
          <w:szCs w:val="18"/>
          <w:lang w:eastAsia="en-IN"/>
        </w:rPr>
        <w:t>B.J.Government</w:t>
      </w:r>
      <w:proofErr w:type="spellEnd"/>
      <w:r w:rsidRPr="00365117">
        <w:rPr>
          <w:rFonts w:asciiTheme="majorHAnsi" w:eastAsia="Times New Roman" w:hAnsiTheme="majorHAnsi" w:cs="Arial"/>
          <w:color w:val="222222"/>
          <w:sz w:val="18"/>
          <w:szCs w:val="18"/>
          <w:lang w:eastAsia="en-IN"/>
        </w:rPr>
        <w:t xml:space="preserve"> Medical C</w:t>
      </w:r>
      <w:r w:rsidR="001C7061" w:rsidRPr="001C7061">
        <w:rPr>
          <w:rFonts w:asciiTheme="majorHAnsi" w:eastAsia="Times New Roman" w:hAnsiTheme="majorHAnsi" w:cs="Arial"/>
          <w:color w:val="222222"/>
          <w:sz w:val="18"/>
          <w:szCs w:val="18"/>
          <w:lang w:eastAsia="en-IN"/>
        </w:rPr>
        <w:t>ollege and Sassoon Hospital Pune</w:t>
      </w:r>
    </w:p>
    <w:p w:rsidR="00365117" w:rsidRPr="001C7061" w:rsidRDefault="00365117" w:rsidP="00D37F4B">
      <w:pPr>
        <w:shd w:val="clear" w:color="auto" w:fill="FFFFFF"/>
        <w:spacing w:after="0" w:line="360" w:lineRule="auto"/>
        <w:rPr>
          <w:rFonts w:asciiTheme="majorHAnsi" w:eastAsia="Times New Roman" w:hAnsiTheme="majorHAnsi" w:cs="Arial"/>
          <w:color w:val="222222"/>
          <w:sz w:val="18"/>
          <w:szCs w:val="18"/>
          <w:lang w:eastAsia="en-IN"/>
        </w:rPr>
      </w:pPr>
      <w:r w:rsidRPr="001C7061">
        <w:rPr>
          <w:rFonts w:asciiTheme="majorHAnsi" w:eastAsia="Times New Roman" w:hAnsiTheme="majorHAnsi" w:cs="Arial"/>
          <w:color w:val="222222"/>
          <w:sz w:val="18"/>
          <w:szCs w:val="18"/>
          <w:lang w:eastAsia="en-IN"/>
        </w:rPr>
        <w:t xml:space="preserve">Corresponding author Nadia </w:t>
      </w:r>
      <w:proofErr w:type="spellStart"/>
      <w:r w:rsidRPr="001C7061">
        <w:rPr>
          <w:rFonts w:asciiTheme="majorHAnsi" w:eastAsia="Times New Roman" w:hAnsiTheme="majorHAnsi" w:cs="Arial"/>
          <w:color w:val="222222"/>
          <w:sz w:val="18"/>
          <w:szCs w:val="18"/>
          <w:lang w:eastAsia="en-IN"/>
        </w:rPr>
        <w:t>N.Ali</w:t>
      </w:r>
      <w:proofErr w:type="spellEnd"/>
      <w:r w:rsidRPr="001C7061">
        <w:rPr>
          <w:rFonts w:asciiTheme="majorHAnsi" w:eastAsia="Times New Roman" w:hAnsiTheme="majorHAnsi" w:cs="Arial"/>
          <w:color w:val="222222"/>
          <w:sz w:val="18"/>
          <w:szCs w:val="18"/>
          <w:lang w:eastAsia="en-IN"/>
        </w:rPr>
        <w:t> </w:t>
      </w:r>
    </w:p>
    <w:p w:rsidR="009E1352" w:rsidRPr="00365117" w:rsidRDefault="009E1352" w:rsidP="009E1352">
      <w:pPr>
        <w:pStyle w:val="BodyText"/>
        <w:spacing w:line="360" w:lineRule="auto"/>
        <w:ind w:right="893"/>
        <w:jc w:val="both"/>
        <w:rPr>
          <w:rFonts w:asciiTheme="majorHAnsi" w:hAnsiTheme="majorHAnsi"/>
          <w:b/>
          <w:sz w:val="18"/>
          <w:szCs w:val="18"/>
        </w:rPr>
      </w:pPr>
    </w:p>
    <w:p w:rsidR="002D413A" w:rsidRPr="00365117" w:rsidRDefault="002D413A" w:rsidP="00365117">
      <w:pPr>
        <w:spacing w:after="0" w:line="360" w:lineRule="auto"/>
        <w:ind w:left="-113"/>
        <w:jc w:val="both"/>
        <w:rPr>
          <w:rFonts w:ascii="Times New Roman" w:hAnsi="Times New Roman" w:cs="Times New Roman"/>
          <w:b/>
          <w:sz w:val="20"/>
          <w:szCs w:val="20"/>
        </w:rPr>
      </w:pPr>
      <w:r w:rsidRPr="00365117">
        <w:rPr>
          <w:rFonts w:ascii="Times New Roman" w:hAnsi="Times New Roman" w:cs="Times New Roman"/>
          <w:b/>
          <w:sz w:val="20"/>
          <w:szCs w:val="20"/>
        </w:rPr>
        <w:t>Abstract:</w:t>
      </w:r>
      <w:bookmarkStart w:id="0" w:name="_GoBack"/>
      <w:bookmarkEnd w:id="0"/>
    </w:p>
    <w:p w:rsidR="002D413A" w:rsidRPr="00365117" w:rsidRDefault="002D413A" w:rsidP="00365117">
      <w:pPr>
        <w:spacing w:after="0" w:line="360" w:lineRule="auto"/>
        <w:ind w:left="-113"/>
        <w:jc w:val="both"/>
        <w:rPr>
          <w:rFonts w:ascii="Times New Roman" w:hAnsi="Times New Roman" w:cs="Times New Roman"/>
          <w:sz w:val="18"/>
          <w:szCs w:val="18"/>
        </w:rPr>
      </w:pPr>
      <w:r w:rsidRPr="00365117">
        <w:rPr>
          <w:rFonts w:ascii="Times New Roman" w:hAnsi="Times New Roman" w:cs="Times New Roman"/>
          <w:b/>
          <w:sz w:val="18"/>
          <w:szCs w:val="18"/>
        </w:rPr>
        <w:t>Introduction:</w:t>
      </w:r>
      <w:r w:rsidRPr="00365117">
        <w:rPr>
          <w:rFonts w:ascii="Times New Roman" w:hAnsi="Times New Roman" w:cs="Times New Roman"/>
          <w:sz w:val="18"/>
          <w:szCs w:val="18"/>
        </w:rPr>
        <w:t xml:space="preserve"> Preeclampsia a multisystem and multifactorial disease</w:t>
      </w:r>
      <w:r w:rsidRPr="00365117">
        <w:rPr>
          <w:rFonts w:ascii="Times New Roman" w:hAnsi="Times New Roman" w:cs="Times New Roman"/>
          <w:b/>
          <w:sz w:val="18"/>
          <w:szCs w:val="18"/>
        </w:rPr>
        <w:t xml:space="preserve">. </w:t>
      </w:r>
      <w:r w:rsidRPr="00365117">
        <w:rPr>
          <w:rFonts w:ascii="Times New Roman" w:hAnsi="Times New Roman" w:cs="Times New Roman"/>
          <w:sz w:val="18"/>
          <w:szCs w:val="18"/>
        </w:rPr>
        <w:t>Manifestations begin early in pregnancy which affects late gestation</w:t>
      </w:r>
      <w:r w:rsidRPr="00365117">
        <w:rPr>
          <w:rFonts w:ascii="Times New Roman" w:hAnsi="Times New Roman" w:cs="Times New Roman"/>
          <w:b/>
          <w:sz w:val="18"/>
          <w:szCs w:val="18"/>
        </w:rPr>
        <w:t xml:space="preserve">. </w:t>
      </w:r>
      <w:r w:rsidRPr="00365117">
        <w:rPr>
          <w:rFonts w:ascii="Times New Roman" w:hAnsi="Times New Roman" w:cs="Times New Roman"/>
          <w:sz w:val="18"/>
          <w:szCs w:val="18"/>
        </w:rPr>
        <w:t xml:space="preserve">Consequences of Preeclampsia are mostly due to endothelial dysfunction, vasospasm and ischemia </w:t>
      </w:r>
      <w:r w:rsidRPr="00365117">
        <w:rPr>
          <w:rFonts w:ascii="Times New Roman" w:hAnsi="Times New Roman" w:cs="Times New Roman"/>
          <w:sz w:val="18"/>
          <w:szCs w:val="18"/>
          <w:vertAlign w:val="superscript"/>
        </w:rPr>
        <w:t>(</w:t>
      </w:r>
      <w:r w:rsidRPr="00365117">
        <w:rPr>
          <w:rFonts w:ascii="Times New Roman" w:hAnsi="Times New Roman" w:cs="Times New Roman"/>
          <w:b/>
          <w:sz w:val="18"/>
          <w:szCs w:val="18"/>
          <w:vertAlign w:val="superscript"/>
        </w:rPr>
        <w:t>4)</w:t>
      </w:r>
      <w:r w:rsidRPr="00365117">
        <w:rPr>
          <w:rFonts w:ascii="Times New Roman" w:hAnsi="Times New Roman" w:cs="Times New Roman"/>
          <w:b/>
          <w:sz w:val="18"/>
          <w:szCs w:val="18"/>
        </w:rPr>
        <w:t>.</w:t>
      </w:r>
      <w:r w:rsidRPr="00365117">
        <w:rPr>
          <w:rFonts w:ascii="Times New Roman" w:hAnsi="Times New Roman" w:cs="Times New Roman"/>
          <w:sz w:val="18"/>
          <w:szCs w:val="18"/>
        </w:rPr>
        <w:t xml:space="preserve"> </w:t>
      </w:r>
      <w:proofErr w:type="spellStart"/>
      <w:r w:rsidRPr="00365117">
        <w:rPr>
          <w:rFonts w:ascii="Times New Roman" w:hAnsi="Times New Roman" w:cs="Times New Roman"/>
          <w:sz w:val="18"/>
          <w:szCs w:val="18"/>
        </w:rPr>
        <w:t>Creatinine</w:t>
      </w:r>
      <w:proofErr w:type="spellEnd"/>
      <w:r w:rsidRPr="00365117">
        <w:rPr>
          <w:rFonts w:ascii="Times New Roman" w:hAnsi="Times New Roman" w:cs="Times New Roman"/>
          <w:sz w:val="18"/>
          <w:szCs w:val="18"/>
        </w:rPr>
        <w:t xml:space="preserve"> is most widely used biomarker of GFR.</w:t>
      </w:r>
    </w:p>
    <w:p w:rsidR="002D413A" w:rsidRPr="00365117" w:rsidRDefault="002D413A" w:rsidP="00365117">
      <w:pPr>
        <w:spacing w:after="0" w:line="360" w:lineRule="auto"/>
        <w:ind w:left="-113"/>
        <w:jc w:val="both"/>
        <w:rPr>
          <w:rFonts w:ascii="Times New Roman" w:hAnsi="Times New Roman" w:cs="Times New Roman"/>
          <w:sz w:val="18"/>
          <w:szCs w:val="18"/>
        </w:rPr>
      </w:pPr>
      <w:r w:rsidRPr="00365117">
        <w:rPr>
          <w:rFonts w:ascii="Times New Roman" w:hAnsi="Times New Roman" w:cs="Times New Roman"/>
          <w:b/>
          <w:sz w:val="18"/>
          <w:szCs w:val="18"/>
        </w:rPr>
        <w:t xml:space="preserve">Methodology: </w:t>
      </w:r>
      <w:r w:rsidRPr="00365117">
        <w:rPr>
          <w:rFonts w:ascii="Times New Roman" w:hAnsi="Times New Roman" w:cs="Times New Roman"/>
          <w:sz w:val="18"/>
          <w:szCs w:val="18"/>
        </w:rPr>
        <w:t xml:space="preserve">This Hospital based cross sectional study entitled  ―Serum </w:t>
      </w:r>
      <w:proofErr w:type="spellStart"/>
      <w:r w:rsidRPr="00365117">
        <w:rPr>
          <w:rFonts w:ascii="Times New Roman" w:hAnsi="Times New Roman" w:cs="Times New Roman"/>
          <w:sz w:val="18"/>
          <w:szCs w:val="18"/>
        </w:rPr>
        <w:t>Cystatin</w:t>
      </w:r>
      <w:proofErr w:type="spellEnd"/>
      <w:r w:rsidRPr="00365117">
        <w:rPr>
          <w:rFonts w:ascii="Times New Roman" w:hAnsi="Times New Roman" w:cs="Times New Roman"/>
          <w:sz w:val="18"/>
          <w:szCs w:val="18"/>
        </w:rPr>
        <w:t xml:space="preserve"> C levels as alternative marker of renal function in pre-</w:t>
      </w:r>
      <w:proofErr w:type="spellStart"/>
      <w:r w:rsidRPr="00365117">
        <w:rPr>
          <w:rFonts w:ascii="Times New Roman" w:hAnsi="Times New Roman" w:cs="Times New Roman"/>
          <w:sz w:val="18"/>
          <w:szCs w:val="18"/>
        </w:rPr>
        <w:t>eclampsia”is</w:t>
      </w:r>
      <w:proofErr w:type="spellEnd"/>
      <w:r w:rsidRPr="00365117">
        <w:rPr>
          <w:rFonts w:ascii="Times New Roman" w:hAnsi="Times New Roman" w:cs="Times New Roman"/>
          <w:sz w:val="18"/>
          <w:szCs w:val="18"/>
        </w:rPr>
        <w:t xml:space="preserve"> a cross sectional study and was conducted in Department of Biochemistry with the help of Obstetrics and Gynaecology Department during period Nov 2016 to December 2017 .</w:t>
      </w:r>
    </w:p>
    <w:p w:rsidR="002D413A" w:rsidRPr="00365117" w:rsidRDefault="002D413A" w:rsidP="00365117">
      <w:pPr>
        <w:widowControl w:val="0"/>
        <w:autoSpaceDE w:val="0"/>
        <w:autoSpaceDN w:val="0"/>
        <w:spacing w:after="0" w:line="360" w:lineRule="auto"/>
        <w:ind w:left="-113"/>
        <w:jc w:val="both"/>
        <w:rPr>
          <w:rFonts w:ascii="Times New Roman" w:eastAsia="Times New Roman" w:hAnsi="Times New Roman" w:cs="Times New Roman"/>
          <w:sz w:val="18"/>
          <w:szCs w:val="18"/>
          <w:lang w:val="en-US"/>
        </w:rPr>
      </w:pPr>
      <w:r w:rsidRPr="00365117">
        <w:rPr>
          <w:rFonts w:ascii="Times New Roman" w:eastAsia="Times New Roman" w:hAnsi="Times New Roman" w:cs="Times New Roman"/>
          <w:b/>
          <w:sz w:val="18"/>
          <w:szCs w:val="18"/>
          <w:lang w:val="en-US"/>
        </w:rPr>
        <w:t xml:space="preserve">Results: </w:t>
      </w:r>
      <w:r w:rsidRPr="00365117">
        <w:rPr>
          <w:rFonts w:ascii="Times New Roman" w:eastAsia="Times New Roman" w:hAnsi="Times New Roman" w:cs="Times New Roman"/>
          <w:sz w:val="18"/>
          <w:szCs w:val="18"/>
          <w:lang w:val="en-US"/>
        </w:rPr>
        <w:t xml:space="preserve">Our study results have shown that serum </w:t>
      </w:r>
      <w:proofErr w:type="spellStart"/>
      <w:r w:rsidRPr="00365117">
        <w:rPr>
          <w:rFonts w:ascii="Times New Roman" w:eastAsia="Times New Roman" w:hAnsi="Times New Roman" w:cs="Times New Roman"/>
          <w:sz w:val="18"/>
          <w:szCs w:val="18"/>
          <w:lang w:val="en-US"/>
        </w:rPr>
        <w:t>Cystatin</w:t>
      </w:r>
      <w:proofErr w:type="spellEnd"/>
      <w:r w:rsidRPr="00365117">
        <w:rPr>
          <w:rFonts w:ascii="Times New Roman" w:eastAsia="Times New Roman" w:hAnsi="Times New Roman" w:cs="Times New Roman"/>
          <w:sz w:val="18"/>
          <w:szCs w:val="18"/>
          <w:lang w:val="en-US"/>
        </w:rPr>
        <w:t xml:space="preserve"> C levels in </w:t>
      </w:r>
      <w:proofErr w:type="spellStart"/>
      <w:r w:rsidRPr="00365117">
        <w:rPr>
          <w:rFonts w:ascii="Times New Roman" w:eastAsia="Times New Roman" w:hAnsi="Times New Roman" w:cs="Times New Roman"/>
          <w:sz w:val="18"/>
          <w:szCs w:val="18"/>
          <w:lang w:val="en-US"/>
        </w:rPr>
        <w:t>Preeclamptic</w:t>
      </w:r>
      <w:proofErr w:type="spellEnd"/>
      <w:r w:rsidRPr="00365117">
        <w:rPr>
          <w:rFonts w:ascii="Times New Roman" w:eastAsia="Times New Roman" w:hAnsi="Times New Roman" w:cs="Times New Roman"/>
          <w:sz w:val="18"/>
          <w:szCs w:val="18"/>
          <w:lang w:val="en-US"/>
        </w:rPr>
        <w:t xml:space="preserve"> group were significantly higher (1.62±0.325) than that of non </w:t>
      </w:r>
      <w:proofErr w:type="spellStart"/>
      <w:r w:rsidRPr="00365117">
        <w:rPr>
          <w:rFonts w:ascii="Times New Roman" w:eastAsia="Times New Roman" w:hAnsi="Times New Roman" w:cs="Times New Roman"/>
          <w:sz w:val="18"/>
          <w:szCs w:val="18"/>
          <w:lang w:val="en-US"/>
        </w:rPr>
        <w:t>Preeclamptic</w:t>
      </w:r>
      <w:proofErr w:type="spellEnd"/>
      <w:r w:rsidRPr="00365117">
        <w:rPr>
          <w:rFonts w:ascii="Times New Roman" w:eastAsia="Times New Roman" w:hAnsi="Times New Roman" w:cs="Times New Roman"/>
          <w:sz w:val="18"/>
          <w:szCs w:val="18"/>
          <w:lang w:val="en-US"/>
        </w:rPr>
        <w:t xml:space="preserve"> group (0.88±0.205mg/L,</w:t>
      </w:r>
    </w:p>
    <w:p w:rsidR="002D413A" w:rsidRPr="00365117" w:rsidRDefault="002D413A" w:rsidP="00365117">
      <w:pPr>
        <w:widowControl w:val="0"/>
        <w:autoSpaceDE w:val="0"/>
        <w:autoSpaceDN w:val="0"/>
        <w:spacing w:after="0" w:line="360" w:lineRule="auto"/>
        <w:ind w:left="-113"/>
        <w:jc w:val="both"/>
        <w:rPr>
          <w:rFonts w:ascii="Times New Roman" w:eastAsia="Times New Roman" w:hAnsi="Times New Roman" w:cs="Times New Roman"/>
          <w:b/>
          <w:sz w:val="18"/>
          <w:szCs w:val="18"/>
          <w:lang w:val="en-US"/>
        </w:rPr>
      </w:pPr>
      <w:r w:rsidRPr="00365117">
        <w:rPr>
          <w:rFonts w:ascii="Times New Roman" w:hAnsi="Times New Roman" w:cs="Times New Roman"/>
          <w:sz w:val="18"/>
          <w:szCs w:val="18"/>
        </w:rPr>
        <w:t xml:space="preserve">P &lt;0.0001) (table no 18). Also 80% of </w:t>
      </w:r>
      <w:proofErr w:type="spellStart"/>
      <w:r w:rsidRPr="00365117">
        <w:rPr>
          <w:rFonts w:ascii="Times New Roman" w:hAnsi="Times New Roman" w:cs="Times New Roman"/>
          <w:sz w:val="18"/>
          <w:szCs w:val="18"/>
        </w:rPr>
        <w:t>Preeclamptic</w:t>
      </w:r>
      <w:proofErr w:type="spellEnd"/>
      <w:r w:rsidRPr="00365117">
        <w:rPr>
          <w:rFonts w:ascii="Times New Roman" w:hAnsi="Times New Roman" w:cs="Times New Roman"/>
          <w:sz w:val="18"/>
          <w:szCs w:val="18"/>
        </w:rPr>
        <w:t xml:space="preserve"> patients were showing </w:t>
      </w:r>
      <w:proofErr w:type="spellStart"/>
      <w:r w:rsidRPr="00365117">
        <w:rPr>
          <w:rFonts w:ascii="Times New Roman" w:hAnsi="Times New Roman" w:cs="Times New Roman"/>
          <w:sz w:val="18"/>
          <w:szCs w:val="18"/>
        </w:rPr>
        <w:t>Cystatin</w:t>
      </w:r>
      <w:proofErr w:type="spellEnd"/>
      <w:r w:rsidRPr="00365117">
        <w:rPr>
          <w:rFonts w:ascii="Times New Roman" w:hAnsi="Times New Roman" w:cs="Times New Roman"/>
          <w:sz w:val="18"/>
          <w:szCs w:val="18"/>
        </w:rPr>
        <w:t xml:space="preserve"> C levels higher than control group‘s reference range, while 22.8% of </w:t>
      </w:r>
      <w:proofErr w:type="spellStart"/>
      <w:r w:rsidRPr="00365117">
        <w:rPr>
          <w:rFonts w:ascii="Times New Roman" w:hAnsi="Times New Roman" w:cs="Times New Roman"/>
          <w:sz w:val="18"/>
          <w:szCs w:val="18"/>
        </w:rPr>
        <w:t>Preeclamptic</w:t>
      </w:r>
      <w:proofErr w:type="spellEnd"/>
      <w:r w:rsidRPr="00365117">
        <w:rPr>
          <w:rFonts w:ascii="Times New Roman" w:hAnsi="Times New Roman" w:cs="Times New Roman"/>
          <w:sz w:val="18"/>
          <w:szCs w:val="18"/>
        </w:rPr>
        <w:t xml:space="preserve"> patients were showing </w:t>
      </w:r>
      <w:proofErr w:type="spellStart"/>
      <w:r w:rsidRPr="00365117">
        <w:rPr>
          <w:rFonts w:ascii="Times New Roman" w:hAnsi="Times New Roman" w:cs="Times New Roman"/>
          <w:sz w:val="18"/>
          <w:szCs w:val="18"/>
        </w:rPr>
        <w:t>Creatinine</w:t>
      </w:r>
      <w:proofErr w:type="spellEnd"/>
      <w:r w:rsidRPr="00365117">
        <w:rPr>
          <w:rFonts w:ascii="Times New Roman" w:hAnsi="Times New Roman" w:cs="Times New Roman"/>
          <w:sz w:val="18"/>
          <w:szCs w:val="18"/>
        </w:rPr>
        <w:t xml:space="preserve"> levels higher than control group‘s reference range.</w:t>
      </w:r>
    </w:p>
    <w:p w:rsidR="002D413A" w:rsidRPr="00365117" w:rsidRDefault="002D413A" w:rsidP="00365117">
      <w:pPr>
        <w:widowControl w:val="0"/>
        <w:autoSpaceDE w:val="0"/>
        <w:autoSpaceDN w:val="0"/>
        <w:spacing w:after="0" w:line="360" w:lineRule="auto"/>
        <w:ind w:left="-113"/>
        <w:jc w:val="both"/>
        <w:rPr>
          <w:rFonts w:ascii="Times New Roman" w:eastAsia="Times New Roman" w:hAnsi="Times New Roman" w:cs="Times New Roman"/>
          <w:sz w:val="18"/>
          <w:szCs w:val="18"/>
          <w:lang w:val="en-US"/>
        </w:rPr>
      </w:pPr>
      <w:r w:rsidRPr="00365117">
        <w:rPr>
          <w:rFonts w:ascii="Times New Roman" w:eastAsia="Times New Roman" w:hAnsi="Times New Roman" w:cs="Times New Roman"/>
          <w:b/>
          <w:sz w:val="18"/>
          <w:szCs w:val="18"/>
          <w:lang w:val="en-US"/>
        </w:rPr>
        <w:t xml:space="preserve">Conclusion:  </w:t>
      </w:r>
      <w:r w:rsidRPr="00365117">
        <w:rPr>
          <w:rFonts w:ascii="Times New Roman" w:eastAsia="Times New Roman" w:hAnsi="Times New Roman" w:cs="Times New Roman"/>
          <w:sz w:val="18"/>
          <w:szCs w:val="18"/>
          <w:lang w:val="en-US"/>
        </w:rPr>
        <w:t xml:space="preserve">In our study, 22.8% of </w:t>
      </w:r>
      <w:proofErr w:type="spellStart"/>
      <w:r w:rsidRPr="00365117">
        <w:rPr>
          <w:rFonts w:ascii="Times New Roman" w:eastAsia="Times New Roman" w:hAnsi="Times New Roman" w:cs="Times New Roman"/>
          <w:sz w:val="18"/>
          <w:szCs w:val="18"/>
          <w:lang w:val="en-US"/>
        </w:rPr>
        <w:t>Preeclamptic</w:t>
      </w:r>
      <w:proofErr w:type="spellEnd"/>
      <w:r w:rsidRPr="00365117">
        <w:rPr>
          <w:rFonts w:ascii="Times New Roman" w:eastAsia="Times New Roman" w:hAnsi="Times New Roman" w:cs="Times New Roman"/>
          <w:sz w:val="18"/>
          <w:szCs w:val="18"/>
          <w:lang w:val="en-US"/>
        </w:rPr>
        <w:t xml:space="preserve"> patients were having high </w:t>
      </w:r>
      <w:proofErr w:type="spellStart"/>
      <w:r w:rsidRPr="00365117">
        <w:rPr>
          <w:rFonts w:ascii="Times New Roman" w:eastAsia="Times New Roman" w:hAnsi="Times New Roman" w:cs="Times New Roman"/>
          <w:sz w:val="18"/>
          <w:szCs w:val="18"/>
          <w:lang w:val="en-US"/>
        </w:rPr>
        <w:t>Creatinine</w:t>
      </w:r>
      <w:proofErr w:type="spellEnd"/>
      <w:r w:rsidRPr="00365117">
        <w:rPr>
          <w:rFonts w:ascii="Times New Roman" w:eastAsia="Times New Roman" w:hAnsi="Times New Roman" w:cs="Times New Roman"/>
          <w:sz w:val="18"/>
          <w:szCs w:val="18"/>
          <w:lang w:val="en-US"/>
        </w:rPr>
        <w:t xml:space="preserve"> levels, while 80% of patients were showing high </w:t>
      </w:r>
      <w:proofErr w:type="spellStart"/>
      <w:r w:rsidRPr="00365117">
        <w:rPr>
          <w:rFonts w:ascii="Times New Roman" w:eastAsia="Times New Roman" w:hAnsi="Times New Roman" w:cs="Times New Roman"/>
          <w:sz w:val="18"/>
          <w:szCs w:val="18"/>
          <w:lang w:val="en-US"/>
        </w:rPr>
        <w:t>Cystatin</w:t>
      </w:r>
      <w:proofErr w:type="spellEnd"/>
      <w:r w:rsidRPr="00365117">
        <w:rPr>
          <w:rFonts w:ascii="Times New Roman" w:eastAsia="Times New Roman" w:hAnsi="Times New Roman" w:cs="Times New Roman"/>
          <w:sz w:val="18"/>
          <w:szCs w:val="18"/>
          <w:lang w:val="en-US"/>
        </w:rPr>
        <w:t xml:space="preserve"> C levels as compared to control group‘s reference range.</w:t>
      </w:r>
    </w:p>
    <w:p w:rsidR="002D413A" w:rsidRPr="00365117" w:rsidRDefault="002D413A" w:rsidP="00365117">
      <w:pPr>
        <w:widowControl w:val="0"/>
        <w:autoSpaceDE w:val="0"/>
        <w:autoSpaceDN w:val="0"/>
        <w:spacing w:after="0" w:line="360" w:lineRule="auto"/>
        <w:ind w:left="-113"/>
        <w:jc w:val="both"/>
        <w:rPr>
          <w:rFonts w:ascii="Times New Roman" w:eastAsia="Times New Roman" w:hAnsi="Times New Roman" w:cs="Times New Roman"/>
          <w:b/>
          <w:sz w:val="18"/>
          <w:szCs w:val="18"/>
          <w:lang w:val="en-US"/>
        </w:rPr>
      </w:pPr>
      <w:proofErr w:type="gramStart"/>
      <w:r w:rsidRPr="00365117">
        <w:rPr>
          <w:rFonts w:ascii="Times New Roman" w:eastAsia="Times New Roman" w:hAnsi="Times New Roman" w:cs="Times New Roman"/>
          <w:b/>
          <w:sz w:val="18"/>
          <w:szCs w:val="18"/>
          <w:lang w:val="en-US"/>
        </w:rPr>
        <w:t>Keywords :</w:t>
      </w:r>
      <w:proofErr w:type="gramEnd"/>
      <w:r w:rsidRPr="00365117">
        <w:rPr>
          <w:rFonts w:ascii="Times New Roman" w:hAnsi="Times New Roman" w:cs="Times New Roman"/>
          <w:sz w:val="18"/>
          <w:szCs w:val="18"/>
        </w:rPr>
        <w:t xml:space="preserve"> Serum </w:t>
      </w:r>
      <w:proofErr w:type="spellStart"/>
      <w:r w:rsidRPr="00365117">
        <w:rPr>
          <w:rFonts w:ascii="Times New Roman" w:hAnsi="Times New Roman" w:cs="Times New Roman"/>
          <w:sz w:val="18"/>
          <w:szCs w:val="18"/>
        </w:rPr>
        <w:t>Cystatin</w:t>
      </w:r>
      <w:proofErr w:type="spellEnd"/>
      <w:r w:rsidRPr="00365117">
        <w:rPr>
          <w:rFonts w:ascii="Times New Roman" w:hAnsi="Times New Roman" w:cs="Times New Roman"/>
          <w:sz w:val="18"/>
          <w:szCs w:val="18"/>
        </w:rPr>
        <w:t xml:space="preserve"> C , Preeclampsia , serum </w:t>
      </w:r>
      <w:proofErr w:type="spellStart"/>
      <w:r w:rsidRPr="00365117">
        <w:rPr>
          <w:rFonts w:ascii="Times New Roman" w:hAnsi="Times New Roman" w:cs="Times New Roman"/>
          <w:sz w:val="18"/>
          <w:szCs w:val="18"/>
        </w:rPr>
        <w:t>creatinine</w:t>
      </w:r>
      <w:proofErr w:type="spellEnd"/>
      <w:r w:rsidRPr="00365117">
        <w:rPr>
          <w:rFonts w:ascii="Times New Roman" w:hAnsi="Times New Roman" w:cs="Times New Roman"/>
          <w:sz w:val="18"/>
          <w:szCs w:val="18"/>
        </w:rPr>
        <w:t xml:space="preserve"> level</w:t>
      </w:r>
    </w:p>
    <w:p w:rsidR="002D413A" w:rsidRPr="00365117" w:rsidRDefault="002D413A" w:rsidP="00365117">
      <w:pPr>
        <w:pStyle w:val="BodyText"/>
        <w:spacing w:line="360" w:lineRule="auto"/>
        <w:ind w:right="893"/>
        <w:jc w:val="both"/>
        <w:rPr>
          <w:b/>
          <w:sz w:val="20"/>
          <w:szCs w:val="20"/>
        </w:rPr>
      </w:pPr>
    </w:p>
    <w:p w:rsidR="009E1352" w:rsidRPr="00365117" w:rsidRDefault="009E1352" w:rsidP="00D37F4B">
      <w:pPr>
        <w:pStyle w:val="BodyText"/>
        <w:spacing w:line="360" w:lineRule="auto"/>
        <w:ind w:right="-113"/>
        <w:jc w:val="both"/>
        <w:rPr>
          <w:b/>
          <w:sz w:val="20"/>
          <w:szCs w:val="20"/>
        </w:rPr>
      </w:pPr>
      <w:r w:rsidRPr="00365117">
        <w:rPr>
          <w:b/>
          <w:sz w:val="20"/>
          <w:szCs w:val="20"/>
        </w:rPr>
        <w:t xml:space="preserve">Introduction: </w:t>
      </w:r>
    </w:p>
    <w:p w:rsidR="009E1352" w:rsidRPr="00365117" w:rsidRDefault="009E1352" w:rsidP="00D37F4B">
      <w:pPr>
        <w:pStyle w:val="BodyText"/>
        <w:spacing w:line="360" w:lineRule="auto"/>
        <w:ind w:right="-113"/>
        <w:jc w:val="both"/>
        <w:rPr>
          <w:b/>
          <w:sz w:val="20"/>
          <w:szCs w:val="20"/>
        </w:rPr>
      </w:pPr>
      <w:r w:rsidRPr="00365117">
        <w:rPr>
          <w:sz w:val="20"/>
          <w:szCs w:val="20"/>
        </w:rPr>
        <w:t>Worldwide incidence of Preeclampsia is 4-8%</w:t>
      </w:r>
      <w:r w:rsidRPr="00365117">
        <w:rPr>
          <w:sz w:val="20"/>
          <w:szCs w:val="20"/>
          <w:vertAlign w:val="superscript"/>
        </w:rPr>
        <w:t>(18)</w:t>
      </w:r>
      <w:r w:rsidRPr="00365117">
        <w:rPr>
          <w:sz w:val="20"/>
          <w:szCs w:val="20"/>
        </w:rPr>
        <w:t xml:space="preserve"> 60,000 women die each year from pre- </w:t>
      </w:r>
      <w:proofErr w:type="spellStart"/>
      <w:r w:rsidRPr="00365117">
        <w:rPr>
          <w:sz w:val="20"/>
          <w:szCs w:val="20"/>
        </w:rPr>
        <w:t>eclampsia</w:t>
      </w:r>
      <w:proofErr w:type="spellEnd"/>
      <w:r w:rsidRPr="00365117">
        <w:rPr>
          <w:sz w:val="20"/>
          <w:szCs w:val="20"/>
        </w:rPr>
        <w:t xml:space="preserve"> world-wide </w:t>
      </w:r>
      <w:r w:rsidRPr="00365117">
        <w:rPr>
          <w:sz w:val="20"/>
          <w:szCs w:val="20"/>
          <w:vertAlign w:val="superscript"/>
        </w:rPr>
        <w:t>(</w:t>
      </w:r>
      <w:r w:rsidR="002D413A" w:rsidRPr="00365117">
        <w:rPr>
          <w:b/>
          <w:sz w:val="20"/>
          <w:szCs w:val="20"/>
          <w:vertAlign w:val="superscript"/>
        </w:rPr>
        <w:t>1</w:t>
      </w:r>
      <w:proofErr w:type="gramStart"/>
      <w:r w:rsidRPr="00365117">
        <w:rPr>
          <w:b/>
          <w:sz w:val="20"/>
          <w:szCs w:val="20"/>
          <w:vertAlign w:val="superscript"/>
        </w:rPr>
        <w:t>)</w:t>
      </w:r>
      <w:r w:rsidRPr="00365117">
        <w:rPr>
          <w:sz w:val="20"/>
          <w:szCs w:val="20"/>
        </w:rPr>
        <w:t>Pre</w:t>
      </w:r>
      <w:proofErr w:type="gramEnd"/>
      <w:r w:rsidRPr="00365117">
        <w:rPr>
          <w:sz w:val="20"/>
          <w:szCs w:val="20"/>
        </w:rPr>
        <w:t>-</w:t>
      </w:r>
      <w:proofErr w:type="spellStart"/>
      <w:r w:rsidRPr="00365117">
        <w:rPr>
          <w:sz w:val="20"/>
          <w:szCs w:val="20"/>
        </w:rPr>
        <w:t>eclampsia</w:t>
      </w:r>
      <w:proofErr w:type="spellEnd"/>
      <w:r w:rsidRPr="00365117">
        <w:rPr>
          <w:sz w:val="20"/>
          <w:szCs w:val="20"/>
        </w:rPr>
        <w:t xml:space="preserve"> has remained a significant public health threat in  both developed and developing countries contributing to maternal and perinatal morbidity and mortality globally</w:t>
      </w:r>
      <w:r w:rsidR="002D413A" w:rsidRPr="00365117">
        <w:rPr>
          <w:b/>
          <w:sz w:val="20"/>
          <w:szCs w:val="20"/>
          <w:vertAlign w:val="superscript"/>
        </w:rPr>
        <w:t>(2</w:t>
      </w:r>
      <w:r w:rsidRPr="00365117">
        <w:rPr>
          <w:b/>
          <w:sz w:val="20"/>
          <w:szCs w:val="20"/>
          <w:vertAlign w:val="superscript"/>
        </w:rPr>
        <w:t>)</w:t>
      </w:r>
      <w:r w:rsidRPr="00365117">
        <w:rPr>
          <w:b/>
          <w:sz w:val="20"/>
          <w:szCs w:val="20"/>
        </w:rPr>
        <w:t>.</w:t>
      </w:r>
      <w:r w:rsidRPr="00365117">
        <w:rPr>
          <w:sz w:val="20"/>
          <w:szCs w:val="20"/>
        </w:rPr>
        <w:t>In India the incidence of Preeclampsia is reported to be 8-10% According to a study in India, Prevalence of Preeclampsia in India is 5.4%</w:t>
      </w:r>
      <w:r w:rsidRPr="00365117">
        <w:rPr>
          <w:b/>
          <w:sz w:val="20"/>
          <w:szCs w:val="20"/>
        </w:rPr>
        <w:t xml:space="preserve">. </w:t>
      </w:r>
      <w:r w:rsidRPr="00365117">
        <w:rPr>
          <w:sz w:val="20"/>
          <w:szCs w:val="20"/>
        </w:rPr>
        <w:t>Overall 10%-15% of maternal deaths are directly associated with Preeclampsia</w:t>
      </w:r>
      <w:r w:rsidRPr="00365117">
        <w:rPr>
          <w:spacing w:val="-6"/>
          <w:sz w:val="20"/>
          <w:szCs w:val="20"/>
        </w:rPr>
        <w:t xml:space="preserve"> </w:t>
      </w:r>
      <w:r w:rsidR="002D413A" w:rsidRPr="00365117">
        <w:rPr>
          <w:b/>
          <w:sz w:val="20"/>
          <w:szCs w:val="20"/>
          <w:vertAlign w:val="superscript"/>
        </w:rPr>
        <w:t>(2</w:t>
      </w:r>
      <w:r w:rsidRPr="00365117">
        <w:rPr>
          <w:b/>
          <w:sz w:val="20"/>
          <w:szCs w:val="20"/>
          <w:vertAlign w:val="superscript"/>
        </w:rPr>
        <w:t>)</w:t>
      </w:r>
      <w:r w:rsidRPr="00365117">
        <w:rPr>
          <w:b/>
          <w:sz w:val="20"/>
          <w:szCs w:val="20"/>
        </w:rPr>
        <w:t>.</w:t>
      </w:r>
    </w:p>
    <w:p w:rsidR="009E1352" w:rsidRPr="00365117" w:rsidRDefault="009E1352" w:rsidP="00D37F4B">
      <w:pPr>
        <w:pStyle w:val="BodyText"/>
        <w:spacing w:line="360" w:lineRule="auto"/>
        <w:ind w:right="-113"/>
        <w:jc w:val="both"/>
        <w:rPr>
          <w:sz w:val="20"/>
          <w:szCs w:val="20"/>
        </w:rPr>
      </w:pPr>
      <w:r w:rsidRPr="00365117">
        <w:rPr>
          <w:sz w:val="20"/>
          <w:szCs w:val="20"/>
        </w:rPr>
        <w:t>Also Preeclampsia is 2</w:t>
      </w:r>
      <w:r w:rsidRPr="00365117">
        <w:rPr>
          <w:sz w:val="20"/>
          <w:szCs w:val="20"/>
          <w:vertAlign w:val="superscript"/>
        </w:rPr>
        <w:t>nd</w:t>
      </w:r>
      <w:r w:rsidRPr="00365117">
        <w:rPr>
          <w:sz w:val="20"/>
          <w:szCs w:val="20"/>
        </w:rPr>
        <w:t xml:space="preserve"> leading cause of fetal deaths </w:t>
      </w:r>
      <w:r w:rsidRPr="00365117">
        <w:rPr>
          <w:b/>
          <w:sz w:val="20"/>
          <w:szCs w:val="20"/>
          <w:vertAlign w:val="superscript"/>
        </w:rPr>
        <w:t>(</w:t>
      </w:r>
      <w:r w:rsidR="002D413A" w:rsidRPr="00365117">
        <w:rPr>
          <w:sz w:val="20"/>
          <w:szCs w:val="20"/>
          <w:vertAlign w:val="superscript"/>
        </w:rPr>
        <w:t>3</w:t>
      </w:r>
      <w:r w:rsidRPr="00365117">
        <w:rPr>
          <w:b/>
          <w:sz w:val="20"/>
          <w:szCs w:val="20"/>
          <w:vertAlign w:val="superscript"/>
        </w:rPr>
        <w:t>)</w:t>
      </w:r>
      <w:r w:rsidRPr="00365117">
        <w:rPr>
          <w:b/>
          <w:sz w:val="20"/>
          <w:szCs w:val="20"/>
        </w:rPr>
        <w:t xml:space="preserve">. </w:t>
      </w:r>
      <w:r w:rsidRPr="00365117">
        <w:rPr>
          <w:sz w:val="20"/>
          <w:szCs w:val="20"/>
        </w:rPr>
        <w:t xml:space="preserve">500,000 infant deaths each year worldwide are caused by Preeclampsia </w:t>
      </w:r>
      <w:r w:rsidRPr="00365117">
        <w:rPr>
          <w:sz w:val="20"/>
          <w:szCs w:val="20"/>
          <w:vertAlign w:val="superscript"/>
        </w:rPr>
        <w:t>(</w:t>
      </w:r>
      <w:r w:rsidRPr="00365117">
        <w:rPr>
          <w:b/>
          <w:sz w:val="20"/>
          <w:szCs w:val="20"/>
          <w:vertAlign w:val="superscript"/>
        </w:rPr>
        <w:t>2)</w:t>
      </w:r>
      <w:r w:rsidRPr="00365117">
        <w:rPr>
          <w:b/>
          <w:sz w:val="20"/>
          <w:szCs w:val="20"/>
        </w:rPr>
        <w:t>.</w:t>
      </w:r>
      <w:r w:rsidRPr="00365117">
        <w:rPr>
          <w:sz w:val="20"/>
          <w:szCs w:val="20"/>
        </w:rPr>
        <w:t>Approximately 12 to 25% of fetal growth restriction and small for gestational age infants occurs due to Preeclampsia. Overall 15 to 20% of all preterm births are attributable to Preeclampsia. Complications of prematurity are ultimately leads to neonatal deaths and serious long-term neonatal morbidity</w:t>
      </w:r>
      <w:r w:rsidRPr="00365117">
        <w:rPr>
          <w:spacing w:val="-10"/>
          <w:sz w:val="20"/>
          <w:szCs w:val="20"/>
        </w:rPr>
        <w:t xml:space="preserve"> </w:t>
      </w:r>
      <w:r w:rsidRPr="00365117">
        <w:rPr>
          <w:b/>
          <w:sz w:val="20"/>
          <w:szCs w:val="20"/>
          <w:vertAlign w:val="superscript"/>
        </w:rPr>
        <w:t>(</w:t>
      </w:r>
      <w:r w:rsidR="002D413A" w:rsidRPr="00365117">
        <w:rPr>
          <w:sz w:val="20"/>
          <w:szCs w:val="20"/>
          <w:vertAlign w:val="superscript"/>
        </w:rPr>
        <w:t>4</w:t>
      </w:r>
      <w:r w:rsidRPr="00365117">
        <w:rPr>
          <w:sz w:val="20"/>
          <w:szCs w:val="20"/>
          <w:vertAlign w:val="superscript"/>
        </w:rPr>
        <w:t>)</w:t>
      </w:r>
      <w:r w:rsidRPr="00365117">
        <w:rPr>
          <w:sz w:val="20"/>
          <w:szCs w:val="20"/>
        </w:rPr>
        <w:t>.</w:t>
      </w:r>
    </w:p>
    <w:p w:rsidR="009E1352" w:rsidRPr="00365117" w:rsidRDefault="009E1352" w:rsidP="00D37F4B">
      <w:pPr>
        <w:pStyle w:val="BodyText"/>
        <w:spacing w:line="360" w:lineRule="auto"/>
        <w:ind w:right="-113"/>
        <w:jc w:val="both"/>
        <w:rPr>
          <w:sz w:val="20"/>
          <w:szCs w:val="20"/>
        </w:rPr>
      </w:pPr>
      <w:proofErr w:type="gramStart"/>
      <w:r w:rsidRPr="00365117">
        <w:rPr>
          <w:sz w:val="20"/>
          <w:szCs w:val="20"/>
        </w:rPr>
        <w:t>Preeclampsia a multisystem and multifactorial disease</w:t>
      </w:r>
      <w:r w:rsidRPr="00365117">
        <w:rPr>
          <w:b/>
          <w:sz w:val="20"/>
          <w:szCs w:val="20"/>
        </w:rPr>
        <w:t>.</w:t>
      </w:r>
      <w:proofErr w:type="gramEnd"/>
      <w:r w:rsidRPr="00365117">
        <w:rPr>
          <w:b/>
          <w:sz w:val="20"/>
          <w:szCs w:val="20"/>
        </w:rPr>
        <w:t xml:space="preserve"> </w:t>
      </w:r>
      <w:r w:rsidRPr="00365117">
        <w:rPr>
          <w:sz w:val="20"/>
          <w:szCs w:val="20"/>
        </w:rPr>
        <w:t>Manifestations begin early in pregnancy which affects late gestation</w:t>
      </w:r>
      <w:r w:rsidRPr="00365117">
        <w:rPr>
          <w:b/>
          <w:sz w:val="20"/>
          <w:szCs w:val="20"/>
        </w:rPr>
        <w:t xml:space="preserve">. </w:t>
      </w:r>
      <w:r w:rsidRPr="00365117">
        <w:rPr>
          <w:sz w:val="20"/>
          <w:szCs w:val="20"/>
        </w:rPr>
        <w:t xml:space="preserve">Consequences of Preeclampsia are mostly due to endothelial dysfunction, vasospasm and ischemia </w:t>
      </w:r>
      <w:r w:rsidRPr="00365117">
        <w:rPr>
          <w:sz w:val="20"/>
          <w:szCs w:val="20"/>
          <w:vertAlign w:val="superscript"/>
        </w:rPr>
        <w:t>(</w:t>
      </w:r>
      <w:r w:rsidRPr="00365117">
        <w:rPr>
          <w:b/>
          <w:sz w:val="20"/>
          <w:szCs w:val="20"/>
          <w:vertAlign w:val="superscript"/>
        </w:rPr>
        <w:t>4)</w:t>
      </w:r>
      <w:r w:rsidRPr="00365117">
        <w:rPr>
          <w:b/>
          <w:sz w:val="20"/>
          <w:szCs w:val="20"/>
        </w:rPr>
        <w:t>.</w:t>
      </w:r>
      <w:r w:rsidRPr="00365117">
        <w:rPr>
          <w:sz w:val="20"/>
          <w:szCs w:val="20"/>
        </w:rPr>
        <w:t xml:space="preserve"> </w:t>
      </w:r>
      <w:proofErr w:type="spellStart"/>
      <w:r w:rsidRPr="00365117">
        <w:rPr>
          <w:sz w:val="20"/>
          <w:szCs w:val="20"/>
        </w:rPr>
        <w:t>Creatinine</w:t>
      </w:r>
      <w:proofErr w:type="spellEnd"/>
      <w:r w:rsidRPr="00365117">
        <w:rPr>
          <w:sz w:val="20"/>
          <w:szCs w:val="20"/>
        </w:rPr>
        <w:t xml:space="preserve"> is most widely used biomarker of GFR. Use Of </w:t>
      </w:r>
      <w:proofErr w:type="spellStart"/>
      <w:r w:rsidRPr="00365117">
        <w:rPr>
          <w:sz w:val="20"/>
          <w:szCs w:val="20"/>
        </w:rPr>
        <w:t>creatinine</w:t>
      </w:r>
      <w:proofErr w:type="spellEnd"/>
      <w:r w:rsidRPr="00365117">
        <w:rPr>
          <w:sz w:val="20"/>
          <w:szCs w:val="20"/>
        </w:rPr>
        <w:t xml:space="preserve"> as biomarker was firstly introduced by </w:t>
      </w:r>
      <w:proofErr w:type="spellStart"/>
      <w:r w:rsidRPr="00365117">
        <w:rPr>
          <w:sz w:val="20"/>
          <w:szCs w:val="20"/>
        </w:rPr>
        <w:t>Rohberg</w:t>
      </w:r>
      <w:proofErr w:type="spellEnd"/>
      <w:r w:rsidRPr="00365117">
        <w:rPr>
          <w:sz w:val="20"/>
          <w:szCs w:val="20"/>
        </w:rPr>
        <w:t xml:space="preserve"> in 1926; exogenously administered </w:t>
      </w:r>
      <w:proofErr w:type="spellStart"/>
      <w:r w:rsidRPr="00365117">
        <w:rPr>
          <w:sz w:val="20"/>
          <w:szCs w:val="20"/>
        </w:rPr>
        <w:t>creatinine</w:t>
      </w:r>
      <w:proofErr w:type="spellEnd"/>
      <w:r w:rsidRPr="00365117">
        <w:rPr>
          <w:sz w:val="20"/>
          <w:szCs w:val="20"/>
        </w:rPr>
        <w:t xml:space="preserve"> was used by him. In 1937 Popper and Mandel developed the use of endogenous </w:t>
      </w:r>
      <w:proofErr w:type="spellStart"/>
      <w:r w:rsidRPr="00365117">
        <w:rPr>
          <w:sz w:val="20"/>
          <w:szCs w:val="20"/>
        </w:rPr>
        <w:t>creatinine</w:t>
      </w:r>
      <w:proofErr w:type="spellEnd"/>
      <w:r w:rsidRPr="00365117">
        <w:rPr>
          <w:sz w:val="20"/>
          <w:szCs w:val="20"/>
        </w:rPr>
        <w:t xml:space="preserve"> clearance. </w:t>
      </w:r>
      <w:proofErr w:type="spellStart"/>
      <w:r w:rsidRPr="00365117">
        <w:rPr>
          <w:color w:val="1C1D1E"/>
          <w:sz w:val="20"/>
          <w:szCs w:val="20"/>
        </w:rPr>
        <w:t>Creatinine</w:t>
      </w:r>
      <w:proofErr w:type="spellEnd"/>
      <w:r w:rsidRPr="00365117">
        <w:rPr>
          <w:color w:val="1C1D1E"/>
          <w:sz w:val="20"/>
          <w:szCs w:val="20"/>
        </w:rPr>
        <w:t xml:space="preserve"> is an amino acid derivative required to restore adenosine triphosphate (ATP) via the </w:t>
      </w:r>
      <w:proofErr w:type="spellStart"/>
      <w:r w:rsidRPr="00365117">
        <w:rPr>
          <w:color w:val="1C1D1E"/>
          <w:sz w:val="20"/>
          <w:szCs w:val="20"/>
        </w:rPr>
        <w:t>Creatine</w:t>
      </w:r>
      <w:proofErr w:type="spellEnd"/>
      <w:r w:rsidRPr="00365117">
        <w:rPr>
          <w:color w:val="1C1D1E"/>
          <w:sz w:val="20"/>
          <w:szCs w:val="20"/>
        </w:rPr>
        <w:t xml:space="preserve"> kinase reaction. </w:t>
      </w:r>
      <w:proofErr w:type="spellStart"/>
      <w:r w:rsidRPr="00365117">
        <w:rPr>
          <w:sz w:val="20"/>
          <w:szCs w:val="20"/>
        </w:rPr>
        <w:t>Creatinine</w:t>
      </w:r>
      <w:proofErr w:type="spellEnd"/>
      <w:r w:rsidRPr="00365117">
        <w:rPr>
          <w:sz w:val="20"/>
          <w:szCs w:val="20"/>
        </w:rPr>
        <w:t xml:space="preserve"> is a </w:t>
      </w:r>
      <w:proofErr w:type="spellStart"/>
      <w:r w:rsidRPr="00365117">
        <w:rPr>
          <w:sz w:val="20"/>
          <w:szCs w:val="20"/>
        </w:rPr>
        <w:t>cation</w:t>
      </w:r>
      <w:proofErr w:type="spellEnd"/>
      <w:r w:rsidRPr="00365117">
        <w:rPr>
          <w:sz w:val="20"/>
          <w:szCs w:val="20"/>
        </w:rPr>
        <w:t xml:space="preserve"> having low Molecular mass of 113 Da </w:t>
      </w:r>
      <w:r w:rsidRPr="00365117">
        <w:rPr>
          <w:b/>
          <w:sz w:val="20"/>
          <w:szCs w:val="20"/>
          <w:vertAlign w:val="superscript"/>
        </w:rPr>
        <w:t>(</w:t>
      </w:r>
      <w:r w:rsidR="0074587F" w:rsidRPr="00365117">
        <w:rPr>
          <w:sz w:val="20"/>
          <w:szCs w:val="20"/>
          <w:vertAlign w:val="superscript"/>
        </w:rPr>
        <w:t>5</w:t>
      </w:r>
      <w:r w:rsidRPr="00365117">
        <w:rPr>
          <w:sz w:val="20"/>
          <w:szCs w:val="20"/>
          <w:vertAlign w:val="superscript"/>
        </w:rPr>
        <w:t>)</w:t>
      </w:r>
      <w:r w:rsidRPr="00365117">
        <w:rPr>
          <w:sz w:val="20"/>
          <w:szCs w:val="20"/>
        </w:rPr>
        <w:t>.</w:t>
      </w:r>
    </w:p>
    <w:p w:rsidR="009E1352" w:rsidRPr="00365117" w:rsidRDefault="009E1352" w:rsidP="00D37F4B">
      <w:pPr>
        <w:pStyle w:val="BodyText"/>
        <w:spacing w:line="360" w:lineRule="auto"/>
        <w:ind w:right="-113"/>
        <w:jc w:val="both"/>
        <w:rPr>
          <w:sz w:val="20"/>
          <w:szCs w:val="20"/>
        </w:rPr>
      </w:pPr>
      <w:proofErr w:type="spellStart"/>
      <w:r w:rsidRPr="00365117">
        <w:rPr>
          <w:sz w:val="20"/>
          <w:szCs w:val="20"/>
        </w:rPr>
        <w:lastRenderedPageBreak/>
        <w:t>Cystatin</w:t>
      </w:r>
      <w:proofErr w:type="spellEnd"/>
      <w:r w:rsidRPr="00365117">
        <w:rPr>
          <w:sz w:val="20"/>
          <w:szCs w:val="20"/>
        </w:rPr>
        <w:t xml:space="preserve"> C has been shown to provide superior diagnostic accuracy for pre-</w:t>
      </w:r>
      <w:proofErr w:type="spellStart"/>
      <w:r w:rsidRPr="00365117">
        <w:rPr>
          <w:sz w:val="20"/>
          <w:szCs w:val="20"/>
        </w:rPr>
        <w:t>eclampsia</w:t>
      </w:r>
      <w:proofErr w:type="spellEnd"/>
      <w:r w:rsidRPr="00365117">
        <w:rPr>
          <w:sz w:val="20"/>
          <w:szCs w:val="20"/>
        </w:rPr>
        <w:t xml:space="preserve"> compared to serum </w:t>
      </w:r>
      <w:proofErr w:type="spellStart"/>
      <w:r w:rsidRPr="00365117">
        <w:rPr>
          <w:sz w:val="20"/>
          <w:szCs w:val="20"/>
        </w:rPr>
        <w:t>urate</w:t>
      </w:r>
      <w:proofErr w:type="spellEnd"/>
      <w:r w:rsidRPr="00365117">
        <w:rPr>
          <w:sz w:val="20"/>
          <w:szCs w:val="20"/>
        </w:rPr>
        <w:t xml:space="preserve"> and </w:t>
      </w:r>
      <w:proofErr w:type="spellStart"/>
      <w:r w:rsidRPr="00365117">
        <w:rPr>
          <w:sz w:val="20"/>
          <w:szCs w:val="20"/>
        </w:rPr>
        <w:t>creatinine</w:t>
      </w:r>
      <w:proofErr w:type="spellEnd"/>
      <w:r w:rsidRPr="00365117">
        <w:rPr>
          <w:sz w:val="20"/>
          <w:szCs w:val="20"/>
        </w:rPr>
        <w:t xml:space="preserve">, and not only be used as a marker for impaired renal function, but also for the degree of glomerular </w:t>
      </w:r>
      <w:proofErr w:type="spellStart"/>
      <w:r w:rsidRPr="00365117">
        <w:rPr>
          <w:sz w:val="20"/>
          <w:szCs w:val="20"/>
        </w:rPr>
        <w:t>endotheliosis</w:t>
      </w:r>
      <w:proofErr w:type="spellEnd"/>
      <w:r w:rsidRPr="00365117">
        <w:rPr>
          <w:sz w:val="20"/>
          <w:szCs w:val="20"/>
        </w:rPr>
        <w:t xml:space="preserve"> the only consistently found as pathological lesion in Preeclampsia</w:t>
      </w:r>
      <w:r w:rsidR="0074587F" w:rsidRPr="00365117">
        <w:rPr>
          <w:sz w:val="20"/>
          <w:szCs w:val="20"/>
          <w:vertAlign w:val="superscript"/>
        </w:rPr>
        <w:t>(6</w:t>
      </w:r>
      <w:r w:rsidRPr="00365117">
        <w:rPr>
          <w:sz w:val="20"/>
          <w:szCs w:val="20"/>
          <w:vertAlign w:val="superscript"/>
        </w:rPr>
        <w:t>)</w:t>
      </w:r>
      <w:r w:rsidRPr="00365117">
        <w:rPr>
          <w:sz w:val="20"/>
          <w:szCs w:val="20"/>
        </w:rPr>
        <w:t>.</w:t>
      </w:r>
      <w:r w:rsidR="0074587F" w:rsidRPr="00365117">
        <w:rPr>
          <w:sz w:val="20"/>
          <w:szCs w:val="20"/>
        </w:rPr>
        <w:t xml:space="preserve"> </w:t>
      </w:r>
      <w:r w:rsidRPr="00365117">
        <w:rPr>
          <w:sz w:val="20"/>
          <w:szCs w:val="20"/>
        </w:rPr>
        <w:t xml:space="preserve">With this </w:t>
      </w:r>
      <w:proofErr w:type="gramStart"/>
      <w:r w:rsidRPr="00365117">
        <w:rPr>
          <w:sz w:val="20"/>
          <w:szCs w:val="20"/>
        </w:rPr>
        <w:t>view ,</w:t>
      </w:r>
      <w:proofErr w:type="gramEnd"/>
      <w:r w:rsidRPr="00365117">
        <w:rPr>
          <w:sz w:val="20"/>
          <w:szCs w:val="20"/>
        </w:rPr>
        <w:t xml:space="preserve"> present study was planned to estimate the serum levels of </w:t>
      </w:r>
      <w:proofErr w:type="spellStart"/>
      <w:r w:rsidRPr="00365117">
        <w:rPr>
          <w:sz w:val="20"/>
          <w:szCs w:val="20"/>
        </w:rPr>
        <w:t>Cystatin</w:t>
      </w:r>
      <w:proofErr w:type="spellEnd"/>
      <w:r w:rsidRPr="00365117">
        <w:rPr>
          <w:sz w:val="20"/>
          <w:szCs w:val="20"/>
        </w:rPr>
        <w:t xml:space="preserve"> C and serum </w:t>
      </w:r>
      <w:proofErr w:type="spellStart"/>
      <w:r w:rsidRPr="00365117">
        <w:rPr>
          <w:sz w:val="20"/>
          <w:szCs w:val="20"/>
        </w:rPr>
        <w:t>creatinine</w:t>
      </w:r>
      <w:proofErr w:type="spellEnd"/>
      <w:r w:rsidRPr="00365117">
        <w:rPr>
          <w:sz w:val="20"/>
          <w:szCs w:val="20"/>
        </w:rPr>
        <w:t xml:space="preserve"> in pre-</w:t>
      </w:r>
      <w:proofErr w:type="spellStart"/>
      <w:r w:rsidRPr="00365117">
        <w:rPr>
          <w:sz w:val="20"/>
          <w:szCs w:val="20"/>
        </w:rPr>
        <w:t>eclamptic</w:t>
      </w:r>
      <w:proofErr w:type="spellEnd"/>
      <w:r w:rsidRPr="00365117">
        <w:rPr>
          <w:sz w:val="20"/>
          <w:szCs w:val="20"/>
        </w:rPr>
        <w:t xml:space="preserve"> patients and normal pregnant</w:t>
      </w:r>
      <w:r w:rsidRPr="00365117">
        <w:rPr>
          <w:spacing w:val="-1"/>
          <w:sz w:val="20"/>
          <w:szCs w:val="20"/>
        </w:rPr>
        <w:t xml:space="preserve"> </w:t>
      </w:r>
      <w:r w:rsidRPr="00365117">
        <w:rPr>
          <w:sz w:val="20"/>
          <w:szCs w:val="20"/>
        </w:rPr>
        <w:t>woman</w:t>
      </w:r>
      <w:r w:rsidR="0074587F" w:rsidRPr="00365117">
        <w:rPr>
          <w:sz w:val="20"/>
          <w:szCs w:val="20"/>
        </w:rPr>
        <w:t>.</w:t>
      </w:r>
    </w:p>
    <w:p w:rsidR="009E1352" w:rsidRPr="00365117" w:rsidRDefault="009E1352" w:rsidP="00365117">
      <w:pPr>
        <w:spacing w:after="0" w:line="360" w:lineRule="auto"/>
        <w:jc w:val="both"/>
        <w:rPr>
          <w:rFonts w:ascii="Times New Roman" w:hAnsi="Times New Roman" w:cs="Times New Roman"/>
          <w:b/>
          <w:sz w:val="20"/>
          <w:szCs w:val="20"/>
        </w:rPr>
      </w:pPr>
      <w:r w:rsidRPr="00365117">
        <w:rPr>
          <w:rFonts w:ascii="Times New Roman" w:hAnsi="Times New Roman" w:cs="Times New Roman"/>
          <w:b/>
          <w:sz w:val="20"/>
          <w:szCs w:val="20"/>
        </w:rPr>
        <w:t>Methodology:</w:t>
      </w: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 xml:space="preserve">This Hospital based cross sectional study entitled  ―Serum </w:t>
      </w:r>
      <w:proofErr w:type="spellStart"/>
      <w:r w:rsidRPr="00365117">
        <w:rPr>
          <w:rFonts w:ascii="Times New Roman" w:hAnsi="Times New Roman" w:cs="Times New Roman"/>
          <w:sz w:val="20"/>
          <w:szCs w:val="20"/>
        </w:rPr>
        <w:t>Cystatin</w:t>
      </w:r>
      <w:proofErr w:type="spellEnd"/>
      <w:r w:rsidRPr="00365117">
        <w:rPr>
          <w:rFonts w:ascii="Times New Roman" w:hAnsi="Times New Roman" w:cs="Times New Roman"/>
          <w:sz w:val="20"/>
          <w:szCs w:val="20"/>
        </w:rPr>
        <w:t xml:space="preserve"> C levels as alternative marker of renal function in pre-</w:t>
      </w:r>
      <w:proofErr w:type="spellStart"/>
      <w:r w:rsidRPr="00365117">
        <w:rPr>
          <w:rFonts w:ascii="Times New Roman" w:hAnsi="Times New Roman" w:cs="Times New Roman"/>
          <w:sz w:val="20"/>
          <w:szCs w:val="20"/>
        </w:rPr>
        <w:t>eclampsia”is</w:t>
      </w:r>
      <w:proofErr w:type="spellEnd"/>
      <w:r w:rsidRPr="00365117">
        <w:rPr>
          <w:rFonts w:ascii="Times New Roman" w:hAnsi="Times New Roman" w:cs="Times New Roman"/>
          <w:sz w:val="20"/>
          <w:szCs w:val="20"/>
        </w:rPr>
        <w:t xml:space="preserve"> a cross sectional study and was conducted in Department of Biochemistry with the help of Obstetrics and Gynaecology Department during period Nov 2016 to December 2017 .All the study subjects were examined and investigated according to predesigned </w:t>
      </w:r>
      <w:proofErr w:type="spellStart"/>
      <w:r w:rsidRPr="00365117">
        <w:rPr>
          <w:rFonts w:ascii="Times New Roman" w:hAnsi="Times New Roman" w:cs="Times New Roman"/>
          <w:sz w:val="20"/>
          <w:szCs w:val="20"/>
        </w:rPr>
        <w:t>proforma</w:t>
      </w:r>
      <w:proofErr w:type="spellEnd"/>
      <w:r w:rsidRPr="00365117">
        <w:rPr>
          <w:rFonts w:ascii="Times New Roman" w:hAnsi="Times New Roman" w:cs="Times New Roman"/>
          <w:sz w:val="20"/>
          <w:szCs w:val="20"/>
        </w:rPr>
        <w:t>. The study was approved by institutional Ethics Committee for research work Informed written consent was obtained from all the study subjects enrolled in the study.</w:t>
      </w:r>
    </w:p>
    <w:p w:rsidR="009E1352" w:rsidRPr="00365117" w:rsidRDefault="002D413A"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 xml:space="preserve">Sample size Estimation: (104) </w:t>
      </w:r>
      <w:r w:rsidR="009E1352" w:rsidRPr="00365117">
        <w:rPr>
          <w:rFonts w:ascii="Times New Roman" w:hAnsi="Times New Roman" w:cs="Times New Roman"/>
          <w:sz w:val="20"/>
          <w:szCs w:val="20"/>
        </w:rPr>
        <w:t xml:space="preserve">Sample size was calculated from Open </w:t>
      </w:r>
      <w:proofErr w:type="spellStart"/>
      <w:r w:rsidR="009E1352" w:rsidRPr="00365117">
        <w:rPr>
          <w:rFonts w:ascii="Times New Roman" w:hAnsi="Times New Roman" w:cs="Times New Roman"/>
          <w:sz w:val="20"/>
          <w:szCs w:val="20"/>
        </w:rPr>
        <w:t>Epi</w:t>
      </w:r>
      <w:proofErr w:type="spellEnd"/>
      <w:r w:rsidR="009E1352" w:rsidRPr="00365117">
        <w:rPr>
          <w:rFonts w:ascii="Times New Roman" w:hAnsi="Times New Roman" w:cs="Times New Roman"/>
          <w:sz w:val="20"/>
          <w:szCs w:val="20"/>
        </w:rPr>
        <w:t xml:space="preserve"> softwar</w:t>
      </w:r>
      <w:r w:rsidRPr="00365117">
        <w:rPr>
          <w:rFonts w:ascii="Times New Roman" w:hAnsi="Times New Roman" w:cs="Times New Roman"/>
          <w:sz w:val="20"/>
          <w:szCs w:val="20"/>
        </w:rPr>
        <w:t>e with 95%CI Sample Size=4PQ/</w:t>
      </w:r>
      <w:proofErr w:type="gramStart"/>
      <w:r w:rsidRPr="00365117">
        <w:rPr>
          <w:rFonts w:ascii="Times New Roman" w:hAnsi="Times New Roman" w:cs="Times New Roman"/>
          <w:sz w:val="20"/>
          <w:szCs w:val="20"/>
        </w:rPr>
        <w:t>L2 ,</w:t>
      </w:r>
      <w:proofErr w:type="gramEnd"/>
      <w:r w:rsidRPr="00365117">
        <w:rPr>
          <w:rFonts w:ascii="Times New Roman" w:hAnsi="Times New Roman" w:cs="Times New Roman"/>
          <w:sz w:val="20"/>
          <w:szCs w:val="20"/>
        </w:rPr>
        <w:t xml:space="preserve"> </w:t>
      </w:r>
      <w:r w:rsidR="009E1352" w:rsidRPr="00365117">
        <w:rPr>
          <w:rFonts w:ascii="Times New Roman" w:hAnsi="Times New Roman" w:cs="Times New Roman"/>
          <w:sz w:val="20"/>
          <w:szCs w:val="20"/>
        </w:rPr>
        <w:t>P=prevalence, Q= (100-P), L=Error percentage</w:t>
      </w: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The prevalence of Preeclampsia is 5.4% (20) while the error percentage is taken as 8%.</w:t>
      </w:r>
    </w:p>
    <w:p w:rsidR="002D413A" w:rsidRPr="00365117" w:rsidRDefault="002D413A" w:rsidP="00365117">
      <w:pPr>
        <w:spacing w:after="0" w:line="360" w:lineRule="auto"/>
        <w:jc w:val="both"/>
        <w:rPr>
          <w:rFonts w:ascii="Times New Roman" w:hAnsi="Times New Roman" w:cs="Times New Roman"/>
          <w:b/>
          <w:sz w:val="20"/>
          <w:szCs w:val="20"/>
        </w:rPr>
      </w:pPr>
    </w:p>
    <w:p w:rsidR="002D413A" w:rsidRPr="00365117" w:rsidRDefault="002D413A" w:rsidP="00365117">
      <w:pPr>
        <w:spacing w:after="0" w:line="360" w:lineRule="auto"/>
        <w:jc w:val="both"/>
        <w:rPr>
          <w:rFonts w:ascii="Times New Roman" w:hAnsi="Times New Roman" w:cs="Times New Roman"/>
          <w:b/>
          <w:sz w:val="20"/>
          <w:szCs w:val="20"/>
        </w:rPr>
      </w:pPr>
      <w:r w:rsidRPr="00365117">
        <w:rPr>
          <w:rFonts w:ascii="Times New Roman" w:hAnsi="Times New Roman" w:cs="Times New Roman"/>
          <w:b/>
          <w:sz w:val="20"/>
          <w:szCs w:val="20"/>
        </w:rPr>
        <w:t>Results:</w:t>
      </w: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 xml:space="preserve">The study population consist of 70 pregnant women of whom, 35 were normotensive healthy pregnant women as controls and 35 pregnant women diagnosed with Preeclampsia. All subjects of study population selected for present study were attending and admitted to tertiary health centre, who were all </w:t>
      </w:r>
      <w:proofErr w:type="spellStart"/>
      <w:r w:rsidRPr="00365117">
        <w:rPr>
          <w:rFonts w:ascii="Times New Roman" w:hAnsi="Times New Roman" w:cs="Times New Roman"/>
          <w:sz w:val="20"/>
          <w:szCs w:val="20"/>
        </w:rPr>
        <w:t>Primigravida</w:t>
      </w:r>
      <w:proofErr w:type="spellEnd"/>
      <w:r w:rsidRPr="00365117">
        <w:rPr>
          <w:rFonts w:ascii="Times New Roman" w:hAnsi="Times New Roman" w:cs="Times New Roman"/>
          <w:sz w:val="20"/>
          <w:szCs w:val="20"/>
        </w:rPr>
        <w:t xml:space="preserve"> aged between 20 to 35 years having gestational age</w:t>
      </w:r>
      <w:r w:rsidR="00D37F4B">
        <w:rPr>
          <w:rFonts w:ascii="Times New Roman" w:hAnsi="Times New Roman" w:cs="Times New Roman"/>
          <w:sz w:val="20"/>
          <w:szCs w:val="20"/>
        </w:rPr>
        <w:t xml:space="preserve"> </w:t>
      </w:r>
      <w:r w:rsidRPr="00365117">
        <w:rPr>
          <w:rFonts w:ascii="Times New Roman" w:hAnsi="Times New Roman" w:cs="Times New Roman"/>
          <w:sz w:val="20"/>
          <w:szCs w:val="20"/>
        </w:rPr>
        <w:t>&gt;20 and &lt;35 weeks.</w:t>
      </w:r>
    </w:p>
    <w:p w:rsidR="0074587F" w:rsidRPr="00365117" w:rsidRDefault="0074587F" w:rsidP="00365117">
      <w:pPr>
        <w:spacing w:after="0" w:line="360" w:lineRule="auto"/>
        <w:jc w:val="both"/>
        <w:rPr>
          <w:rFonts w:ascii="Times New Roman" w:hAnsi="Times New Roman" w:cs="Times New Roman"/>
          <w:b/>
          <w:sz w:val="20"/>
          <w:szCs w:val="20"/>
        </w:rPr>
      </w:pPr>
    </w:p>
    <w:p w:rsidR="0074587F" w:rsidRPr="00365117" w:rsidRDefault="0074587F" w:rsidP="00365117">
      <w:pPr>
        <w:spacing w:after="0" w:line="360" w:lineRule="auto"/>
        <w:jc w:val="both"/>
        <w:rPr>
          <w:rFonts w:ascii="Times New Roman" w:hAnsi="Times New Roman" w:cs="Times New Roman"/>
          <w:b/>
          <w:sz w:val="20"/>
          <w:szCs w:val="20"/>
        </w:rPr>
      </w:pPr>
    </w:p>
    <w:p w:rsidR="009E1352" w:rsidRPr="00365117" w:rsidRDefault="009E1352" w:rsidP="00365117">
      <w:pPr>
        <w:spacing w:after="0" w:line="360" w:lineRule="auto"/>
        <w:jc w:val="both"/>
        <w:rPr>
          <w:rFonts w:ascii="Times New Roman" w:hAnsi="Times New Roman" w:cs="Times New Roman"/>
          <w:b/>
          <w:sz w:val="20"/>
          <w:szCs w:val="20"/>
        </w:rPr>
      </w:pPr>
      <w:r w:rsidRPr="00365117">
        <w:rPr>
          <w:rFonts w:ascii="Times New Roman" w:hAnsi="Times New Roman" w:cs="Times New Roman"/>
          <w:b/>
          <w:sz w:val="20"/>
          <w:szCs w:val="20"/>
        </w:rPr>
        <w:t>Inclusion criteria</w:t>
      </w:r>
    </w:p>
    <w:p w:rsidR="00D37F4B" w:rsidRDefault="00D37F4B" w:rsidP="00365117">
      <w:pPr>
        <w:spacing w:after="0" w:line="360" w:lineRule="auto"/>
        <w:jc w:val="both"/>
        <w:rPr>
          <w:rFonts w:ascii="Times New Roman" w:hAnsi="Times New Roman" w:cs="Times New Roman"/>
          <w:sz w:val="20"/>
          <w:szCs w:val="20"/>
        </w:rPr>
      </w:pPr>
    </w:p>
    <w:p w:rsidR="009E1352" w:rsidRPr="00365117" w:rsidRDefault="002D413A"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Cases-:</w:t>
      </w:r>
    </w:p>
    <w:p w:rsidR="009E1352" w:rsidRPr="00365117" w:rsidRDefault="009E1352" w:rsidP="00365117">
      <w:pPr>
        <w:pStyle w:val="ListParagraph"/>
        <w:numPr>
          <w:ilvl w:val="0"/>
          <w:numId w:val="2"/>
        </w:numPr>
        <w:spacing w:line="360" w:lineRule="auto"/>
        <w:jc w:val="both"/>
        <w:rPr>
          <w:sz w:val="20"/>
          <w:szCs w:val="20"/>
        </w:rPr>
      </w:pPr>
      <w:proofErr w:type="spellStart"/>
      <w:r w:rsidRPr="00365117">
        <w:rPr>
          <w:sz w:val="20"/>
          <w:szCs w:val="20"/>
        </w:rPr>
        <w:t>Preeclamptic</w:t>
      </w:r>
      <w:proofErr w:type="spellEnd"/>
      <w:r w:rsidRPr="00365117">
        <w:rPr>
          <w:sz w:val="20"/>
          <w:szCs w:val="20"/>
        </w:rPr>
        <w:t xml:space="preserve"> </w:t>
      </w:r>
      <w:proofErr w:type="spellStart"/>
      <w:r w:rsidRPr="00365117">
        <w:rPr>
          <w:sz w:val="20"/>
          <w:szCs w:val="20"/>
        </w:rPr>
        <w:t>Primigravida</w:t>
      </w:r>
      <w:proofErr w:type="spellEnd"/>
      <w:r w:rsidRPr="00365117">
        <w:rPr>
          <w:sz w:val="20"/>
          <w:szCs w:val="20"/>
        </w:rPr>
        <w:t xml:space="preserve"> having gestational age &gt;20 weeks and &lt;35 weeks of pregnancy</w:t>
      </w:r>
    </w:p>
    <w:p w:rsidR="002D413A" w:rsidRPr="00365117" w:rsidRDefault="009E1352" w:rsidP="00365117">
      <w:pPr>
        <w:pStyle w:val="ListParagraph"/>
        <w:numPr>
          <w:ilvl w:val="0"/>
          <w:numId w:val="2"/>
        </w:numPr>
        <w:spacing w:line="360" w:lineRule="auto"/>
        <w:jc w:val="both"/>
        <w:rPr>
          <w:sz w:val="20"/>
          <w:szCs w:val="20"/>
        </w:rPr>
      </w:pPr>
      <w:r w:rsidRPr="00365117">
        <w:rPr>
          <w:sz w:val="20"/>
          <w:szCs w:val="20"/>
        </w:rPr>
        <w:t xml:space="preserve">Age – 20 to </w:t>
      </w:r>
      <w:r w:rsidR="002D413A" w:rsidRPr="00365117">
        <w:rPr>
          <w:sz w:val="20"/>
          <w:szCs w:val="20"/>
        </w:rPr>
        <w:t>35 years</w:t>
      </w:r>
    </w:p>
    <w:p w:rsidR="009E1352" w:rsidRPr="00365117" w:rsidRDefault="009E1352" w:rsidP="00365117">
      <w:pPr>
        <w:pStyle w:val="ListParagraph"/>
        <w:numPr>
          <w:ilvl w:val="0"/>
          <w:numId w:val="2"/>
        </w:numPr>
        <w:spacing w:line="360" w:lineRule="auto"/>
        <w:jc w:val="both"/>
        <w:rPr>
          <w:sz w:val="20"/>
          <w:szCs w:val="20"/>
        </w:rPr>
      </w:pPr>
      <w:r w:rsidRPr="00365117">
        <w:rPr>
          <w:sz w:val="20"/>
          <w:szCs w:val="20"/>
        </w:rPr>
        <w:t>BP – greater than or equal</w:t>
      </w:r>
      <w:r w:rsidR="002D413A" w:rsidRPr="00365117">
        <w:rPr>
          <w:sz w:val="20"/>
          <w:szCs w:val="20"/>
        </w:rPr>
        <w:t xml:space="preserve"> to140/90 mm Hg (ACOG criteria)</w:t>
      </w:r>
    </w:p>
    <w:p w:rsidR="009E1352" w:rsidRPr="00365117" w:rsidRDefault="009E1352" w:rsidP="00365117">
      <w:pPr>
        <w:pStyle w:val="ListParagraph"/>
        <w:numPr>
          <w:ilvl w:val="0"/>
          <w:numId w:val="2"/>
        </w:numPr>
        <w:spacing w:line="360" w:lineRule="auto"/>
        <w:jc w:val="both"/>
        <w:rPr>
          <w:sz w:val="20"/>
          <w:szCs w:val="20"/>
        </w:rPr>
      </w:pPr>
      <w:r w:rsidRPr="00365117">
        <w:rPr>
          <w:sz w:val="20"/>
          <w:szCs w:val="20"/>
        </w:rPr>
        <w:t>Urine albumin ≥ 1 + dipstick or 300 mg per 24 hour urine</w:t>
      </w:r>
    </w:p>
    <w:p w:rsidR="009E1352" w:rsidRPr="00365117" w:rsidRDefault="009E1352" w:rsidP="00365117">
      <w:pPr>
        <w:spacing w:after="0" w:line="360" w:lineRule="auto"/>
        <w:jc w:val="both"/>
        <w:rPr>
          <w:rFonts w:ascii="Times New Roman" w:hAnsi="Times New Roman" w:cs="Times New Roman"/>
          <w:sz w:val="20"/>
          <w:szCs w:val="20"/>
        </w:rPr>
      </w:pPr>
    </w:p>
    <w:p w:rsidR="009E1352" w:rsidRPr="00365117" w:rsidRDefault="002D413A"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Controls-:</w:t>
      </w:r>
    </w:p>
    <w:p w:rsidR="009E1352" w:rsidRPr="00365117" w:rsidRDefault="009E1352" w:rsidP="00365117">
      <w:pPr>
        <w:pStyle w:val="ListParagraph"/>
        <w:numPr>
          <w:ilvl w:val="0"/>
          <w:numId w:val="3"/>
        </w:numPr>
        <w:spacing w:line="360" w:lineRule="auto"/>
        <w:jc w:val="both"/>
        <w:rPr>
          <w:sz w:val="20"/>
          <w:szCs w:val="20"/>
        </w:rPr>
      </w:pPr>
      <w:r w:rsidRPr="00365117">
        <w:rPr>
          <w:sz w:val="20"/>
          <w:szCs w:val="20"/>
        </w:rPr>
        <w:t xml:space="preserve">Normal </w:t>
      </w:r>
      <w:proofErr w:type="spellStart"/>
      <w:r w:rsidRPr="00365117">
        <w:rPr>
          <w:sz w:val="20"/>
          <w:szCs w:val="20"/>
        </w:rPr>
        <w:t>Primigravida</w:t>
      </w:r>
      <w:proofErr w:type="spellEnd"/>
      <w:r w:rsidRPr="00365117">
        <w:rPr>
          <w:sz w:val="20"/>
          <w:szCs w:val="20"/>
        </w:rPr>
        <w:t xml:space="preserve"> pregnant women in havin</w:t>
      </w:r>
      <w:r w:rsidR="002D413A" w:rsidRPr="00365117">
        <w:rPr>
          <w:sz w:val="20"/>
          <w:szCs w:val="20"/>
        </w:rPr>
        <w:t>g gestational age &gt;20 weeks and</w:t>
      </w:r>
      <w:r w:rsidRPr="00365117">
        <w:rPr>
          <w:sz w:val="20"/>
          <w:szCs w:val="20"/>
        </w:rPr>
        <w:t>&lt;35 weeks of pregnancy</w:t>
      </w:r>
    </w:p>
    <w:p w:rsidR="009E1352" w:rsidRPr="00D37F4B" w:rsidRDefault="009E1352" w:rsidP="00365117">
      <w:pPr>
        <w:pStyle w:val="ListParagraph"/>
        <w:numPr>
          <w:ilvl w:val="0"/>
          <w:numId w:val="3"/>
        </w:numPr>
        <w:spacing w:line="360" w:lineRule="auto"/>
        <w:jc w:val="both"/>
        <w:rPr>
          <w:sz w:val="20"/>
          <w:szCs w:val="20"/>
        </w:rPr>
      </w:pPr>
      <w:r w:rsidRPr="00365117">
        <w:rPr>
          <w:sz w:val="20"/>
          <w:szCs w:val="20"/>
        </w:rPr>
        <w:t>Age – 20 to 35 years</w:t>
      </w:r>
    </w:p>
    <w:p w:rsidR="009E1352" w:rsidRPr="00365117" w:rsidRDefault="009E1352" w:rsidP="00365117">
      <w:pPr>
        <w:pStyle w:val="ListParagraph"/>
        <w:numPr>
          <w:ilvl w:val="0"/>
          <w:numId w:val="3"/>
        </w:numPr>
        <w:spacing w:line="360" w:lineRule="auto"/>
        <w:jc w:val="both"/>
        <w:rPr>
          <w:sz w:val="20"/>
          <w:szCs w:val="20"/>
        </w:rPr>
      </w:pPr>
      <w:r w:rsidRPr="00365117">
        <w:rPr>
          <w:sz w:val="20"/>
          <w:szCs w:val="20"/>
        </w:rPr>
        <w:t>BP – Normotensive having Blood Pressure &lt;140/90</w:t>
      </w:r>
    </w:p>
    <w:p w:rsidR="009E1352" w:rsidRPr="00365117" w:rsidRDefault="009E1352" w:rsidP="00365117">
      <w:pPr>
        <w:pStyle w:val="ListParagraph"/>
        <w:numPr>
          <w:ilvl w:val="0"/>
          <w:numId w:val="3"/>
        </w:numPr>
        <w:spacing w:line="360" w:lineRule="auto"/>
        <w:jc w:val="both"/>
        <w:rPr>
          <w:sz w:val="20"/>
          <w:szCs w:val="20"/>
        </w:rPr>
      </w:pPr>
      <w:r w:rsidRPr="00365117">
        <w:rPr>
          <w:sz w:val="20"/>
          <w:szCs w:val="20"/>
        </w:rPr>
        <w:t>Urine albumin &lt; 1 + dipstick or 300 mg per 24 hour urine</w:t>
      </w:r>
    </w:p>
    <w:p w:rsidR="009E1352" w:rsidRPr="00365117" w:rsidRDefault="009E1352" w:rsidP="00365117">
      <w:pPr>
        <w:spacing w:after="0" w:line="360" w:lineRule="auto"/>
        <w:jc w:val="both"/>
        <w:rPr>
          <w:rFonts w:ascii="Times New Roman" w:hAnsi="Times New Roman" w:cs="Times New Roman"/>
          <w:sz w:val="20"/>
          <w:szCs w:val="20"/>
        </w:rPr>
      </w:pPr>
    </w:p>
    <w:p w:rsidR="00D37F4B" w:rsidRDefault="00D37F4B" w:rsidP="00365117">
      <w:pPr>
        <w:spacing w:after="0" w:line="360" w:lineRule="auto"/>
        <w:jc w:val="both"/>
        <w:rPr>
          <w:rFonts w:ascii="Times New Roman" w:hAnsi="Times New Roman" w:cs="Times New Roman"/>
          <w:sz w:val="20"/>
          <w:szCs w:val="20"/>
        </w:rPr>
      </w:pPr>
    </w:p>
    <w:p w:rsidR="00D37F4B" w:rsidRDefault="00D37F4B" w:rsidP="00365117">
      <w:pPr>
        <w:spacing w:after="0" w:line="360" w:lineRule="auto"/>
        <w:jc w:val="both"/>
        <w:rPr>
          <w:rFonts w:ascii="Times New Roman" w:hAnsi="Times New Roman" w:cs="Times New Roman"/>
          <w:sz w:val="20"/>
          <w:szCs w:val="20"/>
        </w:rPr>
      </w:pP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lastRenderedPageBreak/>
        <w:t>Exclusion criteria</w:t>
      </w:r>
    </w:p>
    <w:p w:rsidR="009E1352" w:rsidRPr="00365117" w:rsidRDefault="009E1352" w:rsidP="00365117">
      <w:pPr>
        <w:spacing w:after="0" w:line="360" w:lineRule="auto"/>
        <w:jc w:val="both"/>
        <w:rPr>
          <w:rFonts w:ascii="Times New Roman" w:hAnsi="Times New Roman" w:cs="Times New Roman"/>
          <w:sz w:val="20"/>
          <w:szCs w:val="20"/>
        </w:rPr>
      </w:pPr>
    </w:p>
    <w:p w:rsidR="009E1352" w:rsidRPr="00365117" w:rsidRDefault="002D413A" w:rsidP="00365117">
      <w:pPr>
        <w:pStyle w:val="ListParagraph"/>
        <w:numPr>
          <w:ilvl w:val="0"/>
          <w:numId w:val="4"/>
        </w:numPr>
        <w:spacing w:line="360" w:lineRule="auto"/>
        <w:jc w:val="both"/>
        <w:rPr>
          <w:sz w:val="20"/>
          <w:szCs w:val="20"/>
        </w:rPr>
      </w:pPr>
      <w:r w:rsidRPr="00365117">
        <w:rPr>
          <w:sz w:val="20"/>
          <w:szCs w:val="20"/>
        </w:rPr>
        <w:t>Age &lt; 20 years and &gt; 35years</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Gestat</w:t>
      </w:r>
      <w:r w:rsidR="002D413A" w:rsidRPr="00365117">
        <w:rPr>
          <w:sz w:val="20"/>
          <w:szCs w:val="20"/>
        </w:rPr>
        <w:t>ional age&lt;20 weeks or &gt;35 weeks</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Multigravida with more t</w:t>
      </w:r>
      <w:r w:rsidR="002D413A" w:rsidRPr="00365117">
        <w:rPr>
          <w:sz w:val="20"/>
          <w:szCs w:val="20"/>
        </w:rPr>
        <w:t>han one Para</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w:t>
      </w:r>
      <w:r w:rsidR="002D413A" w:rsidRPr="00365117">
        <w:rPr>
          <w:sz w:val="20"/>
          <w:szCs w:val="20"/>
        </w:rPr>
        <w:t>revious history of hypertension</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Previo</w:t>
      </w:r>
      <w:r w:rsidR="002D413A" w:rsidRPr="00365117">
        <w:rPr>
          <w:sz w:val="20"/>
          <w:szCs w:val="20"/>
        </w:rPr>
        <w:t>us history of diabetes mellitus</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Previ</w:t>
      </w:r>
      <w:r w:rsidR="002D413A" w:rsidRPr="00365117">
        <w:rPr>
          <w:sz w:val="20"/>
          <w:szCs w:val="20"/>
        </w:rPr>
        <w:t>ous history of thyroid disorder</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w:t>
      </w:r>
      <w:r w:rsidR="002D413A" w:rsidRPr="00365117">
        <w:rPr>
          <w:sz w:val="20"/>
          <w:szCs w:val="20"/>
        </w:rPr>
        <w:t>revious history of dyslipidemia</w:t>
      </w:r>
    </w:p>
    <w:p w:rsidR="009E1352" w:rsidRPr="00365117" w:rsidRDefault="002D413A" w:rsidP="00365117">
      <w:pPr>
        <w:pStyle w:val="ListParagraph"/>
        <w:numPr>
          <w:ilvl w:val="0"/>
          <w:numId w:val="4"/>
        </w:numPr>
        <w:spacing w:line="360" w:lineRule="auto"/>
        <w:jc w:val="both"/>
        <w:rPr>
          <w:sz w:val="20"/>
          <w:szCs w:val="20"/>
        </w:rPr>
      </w:pPr>
      <w:r w:rsidRPr="00365117">
        <w:rPr>
          <w:sz w:val="20"/>
          <w:szCs w:val="20"/>
        </w:rPr>
        <w:t>Family history of Preeclampsia</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Pr</w:t>
      </w:r>
      <w:r w:rsidR="002D413A" w:rsidRPr="00365117">
        <w:rPr>
          <w:sz w:val="20"/>
          <w:szCs w:val="20"/>
        </w:rPr>
        <w:t>evious history of renal disease</w:t>
      </w:r>
    </w:p>
    <w:p w:rsidR="009E1352" w:rsidRPr="00365117" w:rsidRDefault="009E1352" w:rsidP="00365117">
      <w:pPr>
        <w:pStyle w:val="ListParagraph"/>
        <w:numPr>
          <w:ilvl w:val="0"/>
          <w:numId w:val="4"/>
        </w:numPr>
        <w:spacing w:line="360" w:lineRule="auto"/>
        <w:jc w:val="both"/>
        <w:rPr>
          <w:sz w:val="20"/>
          <w:szCs w:val="20"/>
        </w:rPr>
      </w:pPr>
      <w:r w:rsidRPr="00365117">
        <w:rPr>
          <w:sz w:val="20"/>
          <w:szCs w:val="20"/>
        </w:rPr>
        <w:t>Patients with history of convulsions</w:t>
      </w:r>
    </w:p>
    <w:p w:rsidR="009E1352" w:rsidRPr="00365117" w:rsidRDefault="009E1352" w:rsidP="00365117">
      <w:pPr>
        <w:spacing w:after="0" w:line="360" w:lineRule="auto"/>
        <w:jc w:val="both"/>
        <w:rPr>
          <w:rFonts w:ascii="Times New Roman" w:hAnsi="Times New Roman" w:cs="Times New Roman"/>
          <w:sz w:val="20"/>
          <w:szCs w:val="20"/>
        </w:rPr>
      </w:pP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 xml:space="preserve">After explaining all details, informed consent was taken from each subject for participation in this study. History of patient was recorded on preformed questionnaire which included detailed history about present pregnancy, family history of Preeclampsia and exclusion criteria. The subjects and controls were examined for vital signs like pulse and blood pressure Blood pressure was measured in sitting as well as supine position, first by </w:t>
      </w:r>
      <w:proofErr w:type="spellStart"/>
      <w:r w:rsidRPr="00365117">
        <w:rPr>
          <w:rFonts w:ascii="Times New Roman" w:hAnsi="Times New Roman" w:cs="Times New Roman"/>
          <w:sz w:val="20"/>
          <w:szCs w:val="20"/>
        </w:rPr>
        <w:t>palpatory</w:t>
      </w:r>
      <w:proofErr w:type="spellEnd"/>
      <w:r w:rsidRPr="00365117">
        <w:rPr>
          <w:rFonts w:ascii="Times New Roman" w:hAnsi="Times New Roman" w:cs="Times New Roman"/>
          <w:sz w:val="20"/>
          <w:szCs w:val="20"/>
        </w:rPr>
        <w:t xml:space="preserve"> method and then by </w:t>
      </w:r>
      <w:proofErr w:type="spellStart"/>
      <w:r w:rsidRPr="00365117">
        <w:rPr>
          <w:rFonts w:ascii="Times New Roman" w:hAnsi="Times New Roman" w:cs="Times New Roman"/>
          <w:sz w:val="20"/>
          <w:szCs w:val="20"/>
        </w:rPr>
        <w:t>auscultatory</w:t>
      </w:r>
      <w:proofErr w:type="spellEnd"/>
      <w:r w:rsidRPr="00365117">
        <w:rPr>
          <w:rFonts w:ascii="Times New Roman" w:hAnsi="Times New Roman" w:cs="Times New Roman"/>
          <w:sz w:val="20"/>
          <w:szCs w:val="20"/>
        </w:rPr>
        <w:t xml:space="preserve"> method.</w:t>
      </w:r>
    </w:p>
    <w:p w:rsidR="002D413A" w:rsidRPr="00365117" w:rsidRDefault="002D413A" w:rsidP="00365117">
      <w:pPr>
        <w:spacing w:after="0" w:line="360" w:lineRule="auto"/>
        <w:jc w:val="both"/>
        <w:rPr>
          <w:rFonts w:ascii="Times New Roman" w:hAnsi="Times New Roman" w:cs="Times New Roman"/>
          <w:b/>
          <w:sz w:val="20"/>
          <w:szCs w:val="20"/>
        </w:rPr>
      </w:pPr>
      <w:r w:rsidRPr="00365117">
        <w:rPr>
          <w:rFonts w:ascii="Times New Roman" w:hAnsi="Times New Roman" w:cs="Times New Roman"/>
          <w:b/>
          <w:sz w:val="20"/>
          <w:szCs w:val="20"/>
        </w:rPr>
        <w:t xml:space="preserve">Results: </w:t>
      </w:r>
    </w:p>
    <w:p w:rsidR="009E1352" w:rsidRPr="00365117" w:rsidRDefault="009E1352" w:rsidP="00365117">
      <w:pPr>
        <w:spacing w:after="0" w:line="360" w:lineRule="auto"/>
        <w:jc w:val="both"/>
        <w:rPr>
          <w:rFonts w:ascii="Times New Roman" w:hAnsi="Times New Roman" w:cs="Times New Roman"/>
          <w:sz w:val="20"/>
          <w:szCs w:val="20"/>
        </w:rPr>
      </w:pPr>
      <w:r w:rsidRPr="00365117">
        <w:rPr>
          <w:rFonts w:ascii="Times New Roman" w:hAnsi="Times New Roman" w:cs="Times New Roman"/>
          <w:sz w:val="20"/>
          <w:szCs w:val="20"/>
        </w:rPr>
        <w:t xml:space="preserve">Mean age for Preeclampsia group was found to be 27.4 years while in controls it was found to be 25.6 years (Mean ±SD of cases=27.40±4.195 years and that of controls= 25.66±3.857 years) .these values suggest that mean age of distribution among two groups is not significantly different . The mean gestational age in </w:t>
      </w:r>
      <w:proofErr w:type="spellStart"/>
      <w:r w:rsidRPr="00365117">
        <w:rPr>
          <w:rFonts w:ascii="Times New Roman" w:hAnsi="Times New Roman" w:cs="Times New Roman"/>
          <w:sz w:val="20"/>
          <w:szCs w:val="20"/>
        </w:rPr>
        <w:t>Preeclamptic</w:t>
      </w:r>
      <w:proofErr w:type="spellEnd"/>
      <w:r w:rsidRPr="00365117">
        <w:rPr>
          <w:rFonts w:ascii="Times New Roman" w:hAnsi="Times New Roman" w:cs="Times New Roman"/>
          <w:sz w:val="20"/>
          <w:szCs w:val="20"/>
        </w:rPr>
        <w:t xml:space="preserve"> group was found to be 27.78 weeks and in controls was found to be 26.97 weeks (Mean ±SD of cases=27.78±3.568 weeks and that of controls= 26.97±4.305 weeks).these values suggest that mean gestational age distribution among two groups is not significantly different.</w:t>
      </w:r>
    </w:p>
    <w:p w:rsidR="009E1352" w:rsidRPr="00365117" w:rsidRDefault="009E1352" w:rsidP="00365117">
      <w:pPr>
        <w:spacing w:after="0" w:line="360" w:lineRule="auto"/>
        <w:ind w:left="1500"/>
        <w:jc w:val="both"/>
        <w:rPr>
          <w:rFonts w:ascii="Times New Roman" w:hAnsi="Times New Roman" w:cs="Times New Roman"/>
          <w:b/>
          <w:sz w:val="20"/>
          <w:szCs w:val="20"/>
        </w:rPr>
      </w:pPr>
      <w:r w:rsidRPr="00365117">
        <w:rPr>
          <w:rFonts w:ascii="Times New Roman" w:hAnsi="Times New Roman" w:cs="Times New Roman"/>
          <w:b/>
          <w:sz w:val="20"/>
          <w:szCs w:val="20"/>
          <w:u w:val="thick"/>
        </w:rPr>
        <w:t>Table</w:t>
      </w:r>
      <w:r w:rsidR="00D37F4B">
        <w:rPr>
          <w:rFonts w:ascii="Times New Roman" w:hAnsi="Times New Roman" w:cs="Times New Roman"/>
          <w:b/>
          <w:sz w:val="20"/>
          <w:szCs w:val="20"/>
        </w:rPr>
        <w:t>1</w:t>
      </w:r>
      <w:proofErr w:type="gramStart"/>
      <w:r w:rsidR="00D37F4B">
        <w:rPr>
          <w:rFonts w:ascii="Times New Roman" w:hAnsi="Times New Roman" w:cs="Times New Roman"/>
          <w:b/>
          <w:sz w:val="20"/>
          <w:szCs w:val="20"/>
        </w:rPr>
        <w:t xml:space="preserve">- </w:t>
      </w:r>
      <w:r w:rsidRPr="00365117">
        <w:rPr>
          <w:rFonts w:ascii="Times New Roman" w:hAnsi="Times New Roman" w:cs="Times New Roman"/>
          <w:b/>
          <w:sz w:val="20"/>
          <w:szCs w:val="20"/>
        </w:rPr>
        <w:t xml:space="preserve"> Comparison</w:t>
      </w:r>
      <w:proofErr w:type="gramEnd"/>
      <w:r w:rsidRPr="00365117">
        <w:rPr>
          <w:rFonts w:ascii="Times New Roman" w:hAnsi="Times New Roman" w:cs="Times New Roman"/>
          <w:b/>
          <w:sz w:val="20"/>
          <w:szCs w:val="20"/>
        </w:rPr>
        <w:t xml:space="preserve"> of </w:t>
      </w:r>
      <w:proofErr w:type="spellStart"/>
      <w:r w:rsidRPr="00365117">
        <w:rPr>
          <w:rFonts w:ascii="Times New Roman" w:hAnsi="Times New Roman" w:cs="Times New Roman"/>
          <w:b/>
          <w:sz w:val="20"/>
          <w:szCs w:val="20"/>
        </w:rPr>
        <w:t>Creatinine</w:t>
      </w:r>
      <w:proofErr w:type="spellEnd"/>
      <w:r w:rsidRPr="00365117">
        <w:rPr>
          <w:rFonts w:ascii="Times New Roman" w:hAnsi="Times New Roman" w:cs="Times New Roman"/>
          <w:b/>
          <w:sz w:val="20"/>
          <w:szCs w:val="20"/>
        </w:rPr>
        <w:t>-P value</w:t>
      </w:r>
    </w:p>
    <w:p w:rsidR="009E1352" w:rsidRPr="00365117" w:rsidRDefault="009E1352" w:rsidP="00365117">
      <w:pPr>
        <w:pStyle w:val="BodyText"/>
        <w:spacing w:line="360" w:lineRule="auto"/>
        <w:jc w:val="both"/>
        <w:rPr>
          <w:b/>
          <w:sz w:val="20"/>
          <w:szCs w:val="20"/>
        </w:rPr>
      </w:pPr>
    </w:p>
    <w:p w:rsidR="009E1352" w:rsidRPr="00365117" w:rsidRDefault="009E1352" w:rsidP="00365117">
      <w:pPr>
        <w:pStyle w:val="BodyText"/>
        <w:spacing w:line="360" w:lineRule="auto"/>
        <w:jc w:val="both"/>
        <w:rPr>
          <w:b/>
          <w:sz w:val="20"/>
          <w:szCs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004"/>
        <w:gridCol w:w="1896"/>
        <w:gridCol w:w="1604"/>
        <w:gridCol w:w="1236"/>
        <w:gridCol w:w="1013"/>
      </w:tblGrid>
      <w:tr w:rsidR="009E1352" w:rsidRPr="00365117" w:rsidTr="0098100F">
        <w:trPr>
          <w:trHeight w:val="551"/>
        </w:trPr>
        <w:tc>
          <w:tcPr>
            <w:tcW w:w="1589" w:type="dxa"/>
          </w:tcPr>
          <w:p w:rsidR="009E1352" w:rsidRPr="00365117" w:rsidRDefault="009E1352" w:rsidP="00365117">
            <w:pPr>
              <w:pStyle w:val="TableParagraph"/>
              <w:spacing w:line="360" w:lineRule="auto"/>
              <w:ind w:left="107"/>
              <w:jc w:val="both"/>
              <w:rPr>
                <w:sz w:val="20"/>
                <w:szCs w:val="20"/>
              </w:rPr>
            </w:pPr>
            <w:r w:rsidRPr="00365117">
              <w:rPr>
                <w:sz w:val="20"/>
                <w:szCs w:val="20"/>
              </w:rPr>
              <w:t>Group</w:t>
            </w:r>
          </w:p>
        </w:tc>
        <w:tc>
          <w:tcPr>
            <w:tcW w:w="1004" w:type="dxa"/>
          </w:tcPr>
          <w:p w:rsidR="009E1352" w:rsidRPr="00365117" w:rsidRDefault="009E1352" w:rsidP="00365117">
            <w:pPr>
              <w:pStyle w:val="TableParagraph"/>
              <w:spacing w:line="360" w:lineRule="auto"/>
              <w:ind w:left="107"/>
              <w:jc w:val="both"/>
              <w:rPr>
                <w:sz w:val="20"/>
                <w:szCs w:val="20"/>
              </w:rPr>
            </w:pPr>
            <w:r w:rsidRPr="00365117">
              <w:rPr>
                <w:sz w:val="20"/>
                <w:szCs w:val="20"/>
              </w:rPr>
              <w:t>Number</w:t>
            </w:r>
          </w:p>
        </w:tc>
        <w:tc>
          <w:tcPr>
            <w:tcW w:w="1896" w:type="dxa"/>
          </w:tcPr>
          <w:p w:rsidR="009E1352" w:rsidRPr="00365117" w:rsidRDefault="009E1352" w:rsidP="00365117">
            <w:pPr>
              <w:pStyle w:val="TableParagraph"/>
              <w:spacing w:line="360" w:lineRule="auto"/>
              <w:ind w:right="1231"/>
              <w:jc w:val="both"/>
              <w:rPr>
                <w:sz w:val="20"/>
                <w:szCs w:val="20"/>
              </w:rPr>
            </w:pPr>
            <w:r w:rsidRPr="00365117">
              <w:rPr>
                <w:sz w:val="20"/>
                <w:szCs w:val="20"/>
              </w:rPr>
              <w:t>Mean</w:t>
            </w:r>
          </w:p>
        </w:tc>
        <w:tc>
          <w:tcPr>
            <w:tcW w:w="1604" w:type="dxa"/>
          </w:tcPr>
          <w:p w:rsidR="009E1352" w:rsidRPr="00365117" w:rsidRDefault="009E1352" w:rsidP="00365117">
            <w:pPr>
              <w:pStyle w:val="TableParagraph"/>
              <w:spacing w:line="360" w:lineRule="auto"/>
              <w:ind w:left="107"/>
              <w:jc w:val="both"/>
              <w:rPr>
                <w:sz w:val="20"/>
                <w:szCs w:val="20"/>
              </w:rPr>
            </w:pPr>
            <w:r w:rsidRPr="00365117">
              <w:rPr>
                <w:sz w:val="20"/>
                <w:szCs w:val="20"/>
              </w:rPr>
              <w:t>Std. Deviation</w:t>
            </w:r>
          </w:p>
        </w:tc>
        <w:tc>
          <w:tcPr>
            <w:tcW w:w="1236" w:type="dxa"/>
          </w:tcPr>
          <w:p w:rsidR="009E1352" w:rsidRPr="00365117" w:rsidRDefault="009E1352" w:rsidP="00365117">
            <w:pPr>
              <w:pStyle w:val="TableParagraph"/>
              <w:spacing w:line="360" w:lineRule="auto"/>
              <w:ind w:left="106"/>
              <w:jc w:val="both"/>
              <w:rPr>
                <w:sz w:val="20"/>
                <w:szCs w:val="20"/>
              </w:rPr>
            </w:pPr>
            <w:r w:rsidRPr="00365117">
              <w:rPr>
                <w:sz w:val="20"/>
                <w:szCs w:val="20"/>
              </w:rPr>
              <w:t>Unpaired t</w:t>
            </w:r>
          </w:p>
        </w:tc>
        <w:tc>
          <w:tcPr>
            <w:tcW w:w="1013" w:type="dxa"/>
          </w:tcPr>
          <w:p w:rsidR="009E1352" w:rsidRPr="00365117" w:rsidRDefault="009E1352" w:rsidP="00365117">
            <w:pPr>
              <w:pStyle w:val="TableParagraph"/>
              <w:spacing w:line="360" w:lineRule="auto"/>
              <w:ind w:left="539"/>
              <w:jc w:val="both"/>
              <w:rPr>
                <w:sz w:val="20"/>
                <w:szCs w:val="20"/>
              </w:rPr>
            </w:pPr>
            <w:r w:rsidRPr="00365117">
              <w:rPr>
                <w:w w:val="99"/>
                <w:sz w:val="20"/>
                <w:szCs w:val="20"/>
              </w:rPr>
              <w:t>P</w:t>
            </w:r>
          </w:p>
        </w:tc>
      </w:tr>
      <w:tr w:rsidR="009E1352" w:rsidRPr="00365117" w:rsidTr="0098100F">
        <w:trPr>
          <w:trHeight w:val="551"/>
        </w:trPr>
        <w:tc>
          <w:tcPr>
            <w:tcW w:w="1589" w:type="dxa"/>
          </w:tcPr>
          <w:p w:rsidR="009E1352" w:rsidRPr="00365117" w:rsidRDefault="009E1352" w:rsidP="00365117">
            <w:pPr>
              <w:pStyle w:val="TableParagraph"/>
              <w:spacing w:line="360" w:lineRule="auto"/>
              <w:ind w:left="107"/>
              <w:jc w:val="both"/>
              <w:rPr>
                <w:sz w:val="20"/>
                <w:szCs w:val="20"/>
              </w:rPr>
            </w:pPr>
            <w:r w:rsidRPr="00365117">
              <w:rPr>
                <w:sz w:val="20"/>
                <w:szCs w:val="20"/>
              </w:rPr>
              <w:t>Preeclampsia</w:t>
            </w:r>
          </w:p>
          <w:p w:rsidR="009E1352" w:rsidRPr="00365117" w:rsidRDefault="009E1352" w:rsidP="00365117">
            <w:pPr>
              <w:pStyle w:val="TableParagraph"/>
              <w:spacing w:line="360" w:lineRule="auto"/>
              <w:ind w:left="107"/>
              <w:jc w:val="both"/>
              <w:rPr>
                <w:sz w:val="20"/>
                <w:szCs w:val="20"/>
              </w:rPr>
            </w:pPr>
            <w:r w:rsidRPr="00365117">
              <w:rPr>
                <w:sz w:val="20"/>
                <w:szCs w:val="20"/>
              </w:rPr>
              <w:t>group</w:t>
            </w:r>
          </w:p>
        </w:tc>
        <w:tc>
          <w:tcPr>
            <w:tcW w:w="1004" w:type="dxa"/>
          </w:tcPr>
          <w:p w:rsidR="009E1352" w:rsidRPr="00365117" w:rsidRDefault="009E1352" w:rsidP="00365117">
            <w:pPr>
              <w:pStyle w:val="TableParagraph"/>
              <w:spacing w:line="360" w:lineRule="auto"/>
              <w:ind w:left="107"/>
              <w:jc w:val="both"/>
              <w:rPr>
                <w:sz w:val="20"/>
                <w:szCs w:val="20"/>
              </w:rPr>
            </w:pPr>
            <w:r w:rsidRPr="00365117">
              <w:rPr>
                <w:sz w:val="20"/>
                <w:szCs w:val="20"/>
              </w:rPr>
              <w:t>35</w:t>
            </w:r>
          </w:p>
        </w:tc>
        <w:tc>
          <w:tcPr>
            <w:tcW w:w="1896" w:type="dxa"/>
          </w:tcPr>
          <w:p w:rsidR="009E1352" w:rsidRPr="00365117" w:rsidRDefault="009E1352" w:rsidP="00365117">
            <w:pPr>
              <w:pStyle w:val="TableParagraph"/>
              <w:spacing w:line="360" w:lineRule="auto"/>
              <w:ind w:right="1231"/>
              <w:jc w:val="both"/>
              <w:rPr>
                <w:sz w:val="20"/>
                <w:szCs w:val="20"/>
              </w:rPr>
            </w:pPr>
            <w:r w:rsidRPr="00365117">
              <w:rPr>
                <w:sz w:val="20"/>
                <w:szCs w:val="20"/>
              </w:rPr>
              <w:t>0.80</w:t>
            </w:r>
          </w:p>
        </w:tc>
        <w:tc>
          <w:tcPr>
            <w:tcW w:w="1604" w:type="dxa"/>
          </w:tcPr>
          <w:p w:rsidR="009E1352" w:rsidRPr="00365117" w:rsidRDefault="009E1352" w:rsidP="00365117">
            <w:pPr>
              <w:pStyle w:val="TableParagraph"/>
              <w:spacing w:line="360" w:lineRule="auto"/>
              <w:ind w:left="107"/>
              <w:jc w:val="both"/>
              <w:rPr>
                <w:sz w:val="20"/>
                <w:szCs w:val="20"/>
              </w:rPr>
            </w:pPr>
            <w:r w:rsidRPr="00365117">
              <w:rPr>
                <w:sz w:val="20"/>
                <w:szCs w:val="20"/>
              </w:rPr>
              <w:t>0.167</w:t>
            </w:r>
          </w:p>
        </w:tc>
        <w:tc>
          <w:tcPr>
            <w:tcW w:w="1236" w:type="dxa"/>
            <w:vMerge w:val="restart"/>
          </w:tcPr>
          <w:p w:rsidR="009E1352" w:rsidRPr="00365117" w:rsidRDefault="009E1352" w:rsidP="00365117">
            <w:pPr>
              <w:pStyle w:val="TableParagraph"/>
              <w:spacing w:line="360" w:lineRule="auto"/>
              <w:jc w:val="both"/>
              <w:rPr>
                <w:b/>
                <w:sz w:val="20"/>
                <w:szCs w:val="20"/>
              </w:rPr>
            </w:pPr>
          </w:p>
          <w:p w:rsidR="009E1352" w:rsidRPr="00365117" w:rsidRDefault="009E1352" w:rsidP="00365117">
            <w:pPr>
              <w:pStyle w:val="TableParagraph"/>
              <w:spacing w:line="360" w:lineRule="auto"/>
              <w:ind w:left="346"/>
              <w:jc w:val="both"/>
              <w:rPr>
                <w:sz w:val="20"/>
                <w:szCs w:val="20"/>
              </w:rPr>
            </w:pPr>
            <w:r w:rsidRPr="00365117">
              <w:rPr>
                <w:sz w:val="20"/>
                <w:szCs w:val="20"/>
              </w:rPr>
              <w:t>4.536</w:t>
            </w:r>
          </w:p>
        </w:tc>
        <w:tc>
          <w:tcPr>
            <w:tcW w:w="1013" w:type="dxa"/>
            <w:vMerge w:val="restart"/>
          </w:tcPr>
          <w:p w:rsidR="009E1352" w:rsidRPr="00365117" w:rsidRDefault="009E1352" w:rsidP="00365117">
            <w:pPr>
              <w:pStyle w:val="TableParagraph"/>
              <w:spacing w:line="360" w:lineRule="auto"/>
              <w:jc w:val="both"/>
              <w:rPr>
                <w:b/>
                <w:sz w:val="20"/>
                <w:szCs w:val="20"/>
              </w:rPr>
            </w:pPr>
          </w:p>
          <w:p w:rsidR="009E1352" w:rsidRPr="00365117" w:rsidRDefault="009E1352" w:rsidP="00365117">
            <w:pPr>
              <w:pStyle w:val="TableParagraph"/>
              <w:spacing w:line="360" w:lineRule="auto"/>
              <w:ind w:left="86" w:right="81"/>
              <w:jc w:val="both"/>
              <w:rPr>
                <w:sz w:val="20"/>
                <w:szCs w:val="20"/>
              </w:rPr>
            </w:pPr>
            <w:r w:rsidRPr="00365117">
              <w:rPr>
                <w:sz w:val="20"/>
                <w:szCs w:val="20"/>
              </w:rPr>
              <w:t>&lt;0.0001</w:t>
            </w:r>
          </w:p>
          <w:p w:rsidR="009E1352" w:rsidRPr="00365117" w:rsidRDefault="009E1352" w:rsidP="00365117">
            <w:pPr>
              <w:pStyle w:val="TableParagraph"/>
              <w:spacing w:line="360" w:lineRule="auto"/>
              <w:ind w:left="86" w:right="79"/>
              <w:jc w:val="both"/>
              <w:rPr>
                <w:sz w:val="20"/>
                <w:szCs w:val="20"/>
              </w:rPr>
            </w:pPr>
            <w:r w:rsidRPr="00365117">
              <w:rPr>
                <w:sz w:val="20"/>
                <w:szCs w:val="20"/>
              </w:rPr>
              <w:t>HS</w:t>
            </w:r>
          </w:p>
        </w:tc>
      </w:tr>
      <w:tr w:rsidR="009E1352" w:rsidRPr="00365117" w:rsidTr="0098100F">
        <w:trPr>
          <w:trHeight w:val="553"/>
        </w:trPr>
        <w:tc>
          <w:tcPr>
            <w:tcW w:w="1589" w:type="dxa"/>
          </w:tcPr>
          <w:p w:rsidR="009E1352" w:rsidRPr="00365117" w:rsidRDefault="009E1352" w:rsidP="00365117">
            <w:pPr>
              <w:pStyle w:val="TableParagraph"/>
              <w:spacing w:line="360" w:lineRule="auto"/>
              <w:ind w:left="107"/>
              <w:jc w:val="both"/>
              <w:rPr>
                <w:sz w:val="20"/>
                <w:szCs w:val="20"/>
              </w:rPr>
            </w:pPr>
            <w:r w:rsidRPr="00365117">
              <w:rPr>
                <w:sz w:val="20"/>
                <w:szCs w:val="20"/>
              </w:rPr>
              <w:t>Controls</w:t>
            </w:r>
          </w:p>
        </w:tc>
        <w:tc>
          <w:tcPr>
            <w:tcW w:w="1004" w:type="dxa"/>
          </w:tcPr>
          <w:p w:rsidR="009E1352" w:rsidRPr="00365117" w:rsidRDefault="009E1352" w:rsidP="00365117">
            <w:pPr>
              <w:pStyle w:val="TableParagraph"/>
              <w:spacing w:line="360" w:lineRule="auto"/>
              <w:ind w:left="107"/>
              <w:jc w:val="both"/>
              <w:rPr>
                <w:sz w:val="20"/>
                <w:szCs w:val="20"/>
              </w:rPr>
            </w:pPr>
            <w:r w:rsidRPr="00365117">
              <w:rPr>
                <w:sz w:val="20"/>
                <w:szCs w:val="20"/>
              </w:rPr>
              <w:t>35</w:t>
            </w:r>
          </w:p>
        </w:tc>
        <w:tc>
          <w:tcPr>
            <w:tcW w:w="1896" w:type="dxa"/>
          </w:tcPr>
          <w:p w:rsidR="009E1352" w:rsidRPr="00365117" w:rsidRDefault="009E1352" w:rsidP="00365117">
            <w:pPr>
              <w:pStyle w:val="TableParagraph"/>
              <w:spacing w:line="360" w:lineRule="auto"/>
              <w:ind w:right="1296"/>
              <w:jc w:val="both"/>
              <w:rPr>
                <w:sz w:val="20"/>
                <w:szCs w:val="20"/>
              </w:rPr>
            </w:pPr>
            <w:r w:rsidRPr="00365117">
              <w:rPr>
                <w:sz w:val="20"/>
                <w:szCs w:val="20"/>
              </w:rPr>
              <w:t>0.64</w:t>
            </w:r>
          </w:p>
        </w:tc>
        <w:tc>
          <w:tcPr>
            <w:tcW w:w="1604" w:type="dxa"/>
          </w:tcPr>
          <w:p w:rsidR="009E1352" w:rsidRPr="00365117" w:rsidRDefault="009E1352" w:rsidP="00365117">
            <w:pPr>
              <w:pStyle w:val="TableParagraph"/>
              <w:spacing w:line="360" w:lineRule="auto"/>
              <w:ind w:left="107"/>
              <w:jc w:val="both"/>
              <w:rPr>
                <w:sz w:val="20"/>
                <w:szCs w:val="20"/>
              </w:rPr>
            </w:pPr>
            <w:r w:rsidRPr="00365117">
              <w:rPr>
                <w:sz w:val="20"/>
                <w:szCs w:val="20"/>
              </w:rPr>
              <w:t>0.131</w:t>
            </w:r>
          </w:p>
        </w:tc>
        <w:tc>
          <w:tcPr>
            <w:tcW w:w="1236" w:type="dxa"/>
            <w:vMerge/>
            <w:tcBorders>
              <w:top w:val="nil"/>
            </w:tcBorders>
          </w:tcPr>
          <w:p w:rsidR="009E1352" w:rsidRPr="00365117" w:rsidRDefault="009E1352" w:rsidP="00365117">
            <w:pPr>
              <w:spacing w:after="0" w:line="360" w:lineRule="auto"/>
              <w:jc w:val="both"/>
              <w:rPr>
                <w:rFonts w:ascii="Times New Roman" w:hAnsi="Times New Roman" w:cs="Times New Roman"/>
                <w:sz w:val="20"/>
                <w:szCs w:val="20"/>
              </w:rPr>
            </w:pPr>
          </w:p>
        </w:tc>
        <w:tc>
          <w:tcPr>
            <w:tcW w:w="1013" w:type="dxa"/>
            <w:vMerge/>
            <w:tcBorders>
              <w:top w:val="nil"/>
            </w:tcBorders>
          </w:tcPr>
          <w:p w:rsidR="009E1352" w:rsidRPr="00365117" w:rsidRDefault="009E1352" w:rsidP="00365117">
            <w:pPr>
              <w:spacing w:after="0" w:line="360" w:lineRule="auto"/>
              <w:jc w:val="both"/>
              <w:rPr>
                <w:rFonts w:ascii="Times New Roman" w:hAnsi="Times New Roman" w:cs="Times New Roman"/>
                <w:sz w:val="20"/>
                <w:szCs w:val="20"/>
              </w:rPr>
            </w:pPr>
          </w:p>
        </w:tc>
      </w:tr>
    </w:tbl>
    <w:p w:rsidR="009E1352" w:rsidRPr="00365117" w:rsidRDefault="009E1352" w:rsidP="00365117">
      <w:pPr>
        <w:pStyle w:val="BodyText"/>
        <w:spacing w:line="360" w:lineRule="auto"/>
        <w:jc w:val="both"/>
        <w:rPr>
          <w:b/>
          <w:sz w:val="20"/>
          <w:szCs w:val="20"/>
        </w:rPr>
      </w:pPr>
    </w:p>
    <w:p w:rsidR="009E1352" w:rsidRPr="00365117" w:rsidRDefault="009E1352" w:rsidP="00365117">
      <w:pPr>
        <w:pStyle w:val="BodyText"/>
        <w:spacing w:line="360" w:lineRule="auto"/>
        <w:ind w:right="896"/>
        <w:jc w:val="both"/>
        <w:rPr>
          <w:sz w:val="20"/>
          <w:szCs w:val="20"/>
        </w:rPr>
      </w:pPr>
      <w:r w:rsidRPr="00365117">
        <w:rPr>
          <w:sz w:val="20"/>
          <w:szCs w:val="20"/>
        </w:rPr>
        <w:t xml:space="preserve">The Mean </w:t>
      </w:r>
      <w:proofErr w:type="spellStart"/>
      <w:r w:rsidRPr="00365117">
        <w:rPr>
          <w:sz w:val="20"/>
          <w:szCs w:val="20"/>
        </w:rPr>
        <w:t>creatinine</w:t>
      </w:r>
      <w:proofErr w:type="spellEnd"/>
      <w:r w:rsidRPr="00365117">
        <w:rPr>
          <w:sz w:val="20"/>
          <w:szCs w:val="20"/>
        </w:rPr>
        <w:t xml:space="preserve"> levels in </w:t>
      </w:r>
      <w:proofErr w:type="spellStart"/>
      <w:r w:rsidRPr="00365117">
        <w:rPr>
          <w:sz w:val="20"/>
          <w:szCs w:val="20"/>
        </w:rPr>
        <w:t>Preeclamptic</w:t>
      </w:r>
      <w:proofErr w:type="spellEnd"/>
      <w:r w:rsidRPr="00365117">
        <w:rPr>
          <w:sz w:val="20"/>
          <w:szCs w:val="20"/>
        </w:rPr>
        <w:t xml:space="preserve"> group isn0.8 mg/dl and control group is0.64 mg/dl</w:t>
      </w:r>
      <w:proofErr w:type="gramStart"/>
      <w:r w:rsidRPr="00365117">
        <w:rPr>
          <w:sz w:val="20"/>
          <w:szCs w:val="20"/>
        </w:rPr>
        <w:t>.(</w:t>
      </w:r>
      <w:proofErr w:type="gramEnd"/>
      <w:r w:rsidRPr="00365117">
        <w:rPr>
          <w:sz w:val="20"/>
          <w:szCs w:val="20"/>
        </w:rPr>
        <w:t xml:space="preserve">Mean ±SD of cases=0.8±0.167 and that of controls = 0.64±0.131).These values suggests there is highly significant difference in </w:t>
      </w:r>
      <w:proofErr w:type="spellStart"/>
      <w:r w:rsidRPr="00365117">
        <w:rPr>
          <w:sz w:val="20"/>
          <w:szCs w:val="20"/>
        </w:rPr>
        <w:t>creatinine</w:t>
      </w:r>
      <w:proofErr w:type="spellEnd"/>
      <w:r w:rsidRPr="00365117">
        <w:rPr>
          <w:sz w:val="20"/>
          <w:szCs w:val="20"/>
        </w:rPr>
        <w:t xml:space="preserve"> levels in between 2 groups.</w:t>
      </w:r>
    </w:p>
    <w:p w:rsidR="00D37F4B" w:rsidRDefault="00D37F4B" w:rsidP="00365117">
      <w:pPr>
        <w:spacing w:after="0" w:line="360" w:lineRule="auto"/>
        <w:ind w:left="1380"/>
        <w:jc w:val="both"/>
        <w:rPr>
          <w:rFonts w:ascii="Times New Roman" w:hAnsi="Times New Roman" w:cs="Times New Roman"/>
          <w:b/>
          <w:sz w:val="20"/>
          <w:szCs w:val="20"/>
          <w:u w:val="thick"/>
        </w:rPr>
      </w:pPr>
    </w:p>
    <w:p w:rsidR="00D37F4B" w:rsidRDefault="00D37F4B" w:rsidP="00365117">
      <w:pPr>
        <w:spacing w:after="0" w:line="360" w:lineRule="auto"/>
        <w:ind w:left="1380"/>
        <w:jc w:val="both"/>
        <w:rPr>
          <w:rFonts w:ascii="Times New Roman" w:hAnsi="Times New Roman" w:cs="Times New Roman"/>
          <w:b/>
          <w:sz w:val="20"/>
          <w:szCs w:val="20"/>
          <w:u w:val="thick"/>
        </w:rPr>
      </w:pPr>
    </w:p>
    <w:p w:rsidR="00D37F4B" w:rsidRDefault="00D37F4B" w:rsidP="00365117">
      <w:pPr>
        <w:spacing w:after="0" w:line="360" w:lineRule="auto"/>
        <w:ind w:left="1380"/>
        <w:jc w:val="both"/>
        <w:rPr>
          <w:rFonts w:ascii="Times New Roman" w:hAnsi="Times New Roman" w:cs="Times New Roman"/>
          <w:b/>
          <w:sz w:val="20"/>
          <w:szCs w:val="20"/>
          <w:u w:val="thick"/>
        </w:rPr>
      </w:pPr>
    </w:p>
    <w:p w:rsidR="00D37F4B" w:rsidRDefault="00D37F4B" w:rsidP="00365117">
      <w:pPr>
        <w:spacing w:after="0" w:line="360" w:lineRule="auto"/>
        <w:ind w:left="1380"/>
        <w:jc w:val="both"/>
        <w:rPr>
          <w:rFonts w:ascii="Times New Roman" w:hAnsi="Times New Roman" w:cs="Times New Roman"/>
          <w:b/>
          <w:sz w:val="20"/>
          <w:szCs w:val="20"/>
          <w:u w:val="thick"/>
        </w:rPr>
      </w:pPr>
    </w:p>
    <w:p w:rsidR="009E1352" w:rsidRPr="00365117" w:rsidRDefault="009E1352" w:rsidP="00365117">
      <w:pPr>
        <w:spacing w:after="0" w:line="360" w:lineRule="auto"/>
        <w:ind w:left="1380"/>
        <w:jc w:val="both"/>
        <w:rPr>
          <w:rFonts w:ascii="Times New Roman" w:hAnsi="Times New Roman" w:cs="Times New Roman"/>
          <w:b/>
          <w:sz w:val="20"/>
          <w:szCs w:val="20"/>
        </w:rPr>
      </w:pPr>
      <w:r w:rsidRPr="00365117">
        <w:rPr>
          <w:rFonts w:ascii="Times New Roman" w:hAnsi="Times New Roman" w:cs="Times New Roman"/>
          <w:b/>
          <w:sz w:val="20"/>
          <w:szCs w:val="20"/>
          <w:u w:val="thick"/>
        </w:rPr>
        <w:t xml:space="preserve">Table </w:t>
      </w:r>
      <w:proofErr w:type="gramStart"/>
      <w:r w:rsidR="00D37F4B">
        <w:rPr>
          <w:rFonts w:ascii="Times New Roman" w:hAnsi="Times New Roman" w:cs="Times New Roman"/>
          <w:b/>
          <w:sz w:val="20"/>
          <w:szCs w:val="20"/>
        </w:rPr>
        <w:t xml:space="preserve">2 </w:t>
      </w:r>
      <w:r w:rsidRPr="00365117">
        <w:rPr>
          <w:rFonts w:ascii="Times New Roman" w:hAnsi="Times New Roman" w:cs="Times New Roman"/>
          <w:b/>
          <w:sz w:val="20"/>
          <w:szCs w:val="20"/>
        </w:rPr>
        <w:t xml:space="preserve"> Comparison</w:t>
      </w:r>
      <w:proofErr w:type="gramEnd"/>
      <w:r w:rsidRPr="00365117">
        <w:rPr>
          <w:rFonts w:ascii="Times New Roman" w:hAnsi="Times New Roman" w:cs="Times New Roman"/>
          <w:b/>
          <w:sz w:val="20"/>
          <w:szCs w:val="20"/>
        </w:rPr>
        <w:t xml:space="preserve"> of </w:t>
      </w:r>
      <w:proofErr w:type="spellStart"/>
      <w:r w:rsidRPr="00365117">
        <w:rPr>
          <w:rFonts w:ascii="Times New Roman" w:hAnsi="Times New Roman" w:cs="Times New Roman"/>
          <w:b/>
          <w:sz w:val="20"/>
          <w:szCs w:val="20"/>
        </w:rPr>
        <w:t>Cystatin</w:t>
      </w:r>
      <w:proofErr w:type="spellEnd"/>
      <w:r w:rsidRPr="00365117">
        <w:rPr>
          <w:rFonts w:ascii="Times New Roman" w:hAnsi="Times New Roman" w:cs="Times New Roman"/>
          <w:b/>
          <w:sz w:val="20"/>
          <w:szCs w:val="20"/>
        </w:rPr>
        <w:t xml:space="preserve"> C-P value</w:t>
      </w:r>
    </w:p>
    <w:p w:rsidR="009E1352" w:rsidRPr="00365117" w:rsidRDefault="009E1352" w:rsidP="00365117">
      <w:pPr>
        <w:pStyle w:val="BodyText"/>
        <w:spacing w:line="360" w:lineRule="auto"/>
        <w:jc w:val="both"/>
        <w:rPr>
          <w:b/>
          <w:sz w:val="20"/>
          <w:szCs w:val="20"/>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003"/>
        <w:gridCol w:w="1224"/>
        <w:gridCol w:w="1543"/>
        <w:gridCol w:w="1235"/>
        <w:gridCol w:w="1442"/>
      </w:tblGrid>
      <w:tr w:rsidR="009E1352" w:rsidRPr="00365117" w:rsidTr="0098100F">
        <w:trPr>
          <w:trHeight w:val="551"/>
        </w:trPr>
        <w:tc>
          <w:tcPr>
            <w:tcW w:w="1495" w:type="dxa"/>
          </w:tcPr>
          <w:p w:rsidR="009E1352" w:rsidRPr="00365117" w:rsidRDefault="009E1352" w:rsidP="00365117">
            <w:pPr>
              <w:pStyle w:val="TableParagraph"/>
              <w:spacing w:line="360" w:lineRule="auto"/>
              <w:ind w:left="107"/>
              <w:jc w:val="both"/>
              <w:rPr>
                <w:sz w:val="20"/>
                <w:szCs w:val="20"/>
              </w:rPr>
            </w:pPr>
            <w:proofErr w:type="spellStart"/>
            <w:r w:rsidRPr="00365117">
              <w:rPr>
                <w:sz w:val="20"/>
                <w:szCs w:val="20"/>
              </w:rPr>
              <w:t>Cystatin</w:t>
            </w:r>
            <w:proofErr w:type="spellEnd"/>
            <w:r w:rsidRPr="00365117">
              <w:rPr>
                <w:sz w:val="20"/>
                <w:szCs w:val="20"/>
              </w:rPr>
              <w:t xml:space="preserve"> C</w:t>
            </w:r>
          </w:p>
        </w:tc>
        <w:tc>
          <w:tcPr>
            <w:tcW w:w="1003" w:type="dxa"/>
          </w:tcPr>
          <w:p w:rsidR="009E1352" w:rsidRPr="00365117" w:rsidRDefault="009E1352" w:rsidP="00365117">
            <w:pPr>
              <w:pStyle w:val="TableParagraph"/>
              <w:spacing w:line="360" w:lineRule="auto"/>
              <w:ind w:left="87" w:right="79"/>
              <w:jc w:val="both"/>
              <w:rPr>
                <w:sz w:val="20"/>
                <w:szCs w:val="20"/>
              </w:rPr>
            </w:pPr>
            <w:r w:rsidRPr="00365117">
              <w:rPr>
                <w:sz w:val="20"/>
                <w:szCs w:val="20"/>
              </w:rPr>
              <w:t>Number</w:t>
            </w:r>
          </w:p>
        </w:tc>
        <w:tc>
          <w:tcPr>
            <w:tcW w:w="1224" w:type="dxa"/>
          </w:tcPr>
          <w:p w:rsidR="009E1352" w:rsidRPr="00365117" w:rsidRDefault="009E1352" w:rsidP="00365117">
            <w:pPr>
              <w:pStyle w:val="TableParagraph"/>
              <w:spacing w:line="360" w:lineRule="auto"/>
              <w:ind w:left="108"/>
              <w:jc w:val="both"/>
              <w:rPr>
                <w:sz w:val="20"/>
                <w:szCs w:val="20"/>
              </w:rPr>
            </w:pPr>
            <w:r w:rsidRPr="00365117">
              <w:rPr>
                <w:sz w:val="20"/>
                <w:szCs w:val="20"/>
              </w:rPr>
              <w:t>Mean</w:t>
            </w:r>
          </w:p>
        </w:tc>
        <w:tc>
          <w:tcPr>
            <w:tcW w:w="1543" w:type="dxa"/>
          </w:tcPr>
          <w:p w:rsidR="009E1352" w:rsidRPr="00365117" w:rsidRDefault="009E1352" w:rsidP="00365117">
            <w:pPr>
              <w:pStyle w:val="TableParagraph"/>
              <w:spacing w:line="360" w:lineRule="auto"/>
              <w:ind w:left="88" w:right="78"/>
              <w:jc w:val="both"/>
              <w:rPr>
                <w:sz w:val="20"/>
                <w:szCs w:val="20"/>
              </w:rPr>
            </w:pPr>
            <w:proofErr w:type="spellStart"/>
            <w:r w:rsidRPr="00365117">
              <w:rPr>
                <w:sz w:val="20"/>
                <w:szCs w:val="20"/>
              </w:rPr>
              <w:t>Std</w:t>
            </w:r>
            <w:proofErr w:type="spellEnd"/>
            <w:r w:rsidRPr="00365117">
              <w:rPr>
                <w:sz w:val="20"/>
                <w:szCs w:val="20"/>
              </w:rPr>
              <w:t xml:space="preserve"> Deviation</w:t>
            </w:r>
          </w:p>
        </w:tc>
        <w:tc>
          <w:tcPr>
            <w:tcW w:w="1235" w:type="dxa"/>
          </w:tcPr>
          <w:p w:rsidR="009E1352" w:rsidRPr="00365117" w:rsidRDefault="009E1352" w:rsidP="00365117">
            <w:pPr>
              <w:pStyle w:val="TableParagraph"/>
              <w:spacing w:line="360" w:lineRule="auto"/>
              <w:ind w:left="106"/>
              <w:jc w:val="both"/>
              <w:rPr>
                <w:sz w:val="20"/>
                <w:szCs w:val="20"/>
              </w:rPr>
            </w:pPr>
            <w:r w:rsidRPr="00365117">
              <w:rPr>
                <w:sz w:val="20"/>
                <w:szCs w:val="20"/>
              </w:rPr>
              <w:t>Unpaired t</w:t>
            </w:r>
          </w:p>
        </w:tc>
        <w:tc>
          <w:tcPr>
            <w:tcW w:w="1442" w:type="dxa"/>
          </w:tcPr>
          <w:p w:rsidR="009E1352" w:rsidRPr="00365117" w:rsidRDefault="009E1352" w:rsidP="00365117">
            <w:pPr>
              <w:pStyle w:val="TableParagraph"/>
              <w:spacing w:line="360" w:lineRule="auto"/>
              <w:ind w:left="827"/>
              <w:jc w:val="both"/>
              <w:rPr>
                <w:sz w:val="20"/>
                <w:szCs w:val="20"/>
              </w:rPr>
            </w:pPr>
            <w:r w:rsidRPr="00365117">
              <w:rPr>
                <w:w w:val="99"/>
                <w:sz w:val="20"/>
                <w:szCs w:val="20"/>
              </w:rPr>
              <w:t>P</w:t>
            </w:r>
          </w:p>
        </w:tc>
      </w:tr>
      <w:tr w:rsidR="009E1352" w:rsidRPr="00365117" w:rsidTr="0098100F">
        <w:trPr>
          <w:trHeight w:val="554"/>
        </w:trPr>
        <w:tc>
          <w:tcPr>
            <w:tcW w:w="1495" w:type="dxa"/>
          </w:tcPr>
          <w:p w:rsidR="009E1352" w:rsidRPr="00365117" w:rsidRDefault="009E1352" w:rsidP="00365117">
            <w:pPr>
              <w:pStyle w:val="TableParagraph"/>
              <w:spacing w:line="360" w:lineRule="auto"/>
              <w:ind w:left="107"/>
              <w:jc w:val="both"/>
              <w:rPr>
                <w:sz w:val="20"/>
                <w:szCs w:val="20"/>
              </w:rPr>
            </w:pPr>
            <w:r w:rsidRPr="00365117">
              <w:rPr>
                <w:sz w:val="20"/>
                <w:szCs w:val="20"/>
              </w:rPr>
              <w:t>Preeclampsia</w:t>
            </w:r>
          </w:p>
        </w:tc>
        <w:tc>
          <w:tcPr>
            <w:tcW w:w="1003" w:type="dxa"/>
          </w:tcPr>
          <w:p w:rsidR="009E1352" w:rsidRPr="00365117" w:rsidRDefault="009E1352" w:rsidP="00365117">
            <w:pPr>
              <w:pStyle w:val="TableParagraph"/>
              <w:spacing w:line="360" w:lineRule="auto"/>
              <w:ind w:left="87" w:right="77"/>
              <w:jc w:val="both"/>
              <w:rPr>
                <w:sz w:val="20"/>
                <w:szCs w:val="20"/>
              </w:rPr>
            </w:pPr>
            <w:r w:rsidRPr="00365117">
              <w:rPr>
                <w:sz w:val="20"/>
                <w:szCs w:val="20"/>
              </w:rPr>
              <w:t>35</w:t>
            </w:r>
          </w:p>
        </w:tc>
        <w:tc>
          <w:tcPr>
            <w:tcW w:w="1224" w:type="dxa"/>
          </w:tcPr>
          <w:p w:rsidR="009E1352" w:rsidRPr="00365117" w:rsidRDefault="009E1352" w:rsidP="00365117">
            <w:pPr>
              <w:pStyle w:val="TableParagraph"/>
              <w:spacing w:line="360" w:lineRule="auto"/>
              <w:ind w:right="390"/>
              <w:jc w:val="both"/>
              <w:rPr>
                <w:sz w:val="20"/>
                <w:szCs w:val="20"/>
              </w:rPr>
            </w:pPr>
            <w:r w:rsidRPr="00365117">
              <w:rPr>
                <w:sz w:val="20"/>
                <w:szCs w:val="20"/>
              </w:rPr>
              <w:t>1.62</w:t>
            </w:r>
          </w:p>
        </w:tc>
        <w:tc>
          <w:tcPr>
            <w:tcW w:w="1543" w:type="dxa"/>
          </w:tcPr>
          <w:p w:rsidR="009E1352" w:rsidRPr="00365117" w:rsidRDefault="009E1352" w:rsidP="00365117">
            <w:pPr>
              <w:pStyle w:val="TableParagraph"/>
              <w:spacing w:line="360" w:lineRule="auto"/>
              <w:ind w:left="88" w:right="77"/>
              <w:jc w:val="both"/>
              <w:rPr>
                <w:sz w:val="20"/>
                <w:szCs w:val="20"/>
              </w:rPr>
            </w:pPr>
            <w:r w:rsidRPr="00365117">
              <w:rPr>
                <w:sz w:val="20"/>
                <w:szCs w:val="20"/>
              </w:rPr>
              <w:t>0.325</w:t>
            </w:r>
          </w:p>
        </w:tc>
        <w:tc>
          <w:tcPr>
            <w:tcW w:w="1235" w:type="dxa"/>
            <w:vMerge w:val="restart"/>
          </w:tcPr>
          <w:p w:rsidR="009E1352" w:rsidRPr="00365117" w:rsidRDefault="009E1352" w:rsidP="00365117">
            <w:pPr>
              <w:pStyle w:val="TableParagraph"/>
              <w:spacing w:line="360" w:lineRule="auto"/>
              <w:jc w:val="both"/>
              <w:rPr>
                <w:b/>
                <w:sz w:val="20"/>
                <w:szCs w:val="20"/>
              </w:rPr>
            </w:pPr>
          </w:p>
          <w:p w:rsidR="009E1352" w:rsidRPr="00365117" w:rsidRDefault="009E1352" w:rsidP="00365117">
            <w:pPr>
              <w:pStyle w:val="TableParagraph"/>
              <w:spacing w:line="360" w:lineRule="auto"/>
              <w:ind w:left="286"/>
              <w:jc w:val="both"/>
              <w:rPr>
                <w:sz w:val="20"/>
                <w:szCs w:val="20"/>
              </w:rPr>
            </w:pPr>
            <w:r w:rsidRPr="00365117">
              <w:rPr>
                <w:sz w:val="20"/>
                <w:szCs w:val="20"/>
              </w:rPr>
              <w:t>11.412</w:t>
            </w:r>
          </w:p>
        </w:tc>
        <w:tc>
          <w:tcPr>
            <w:tcW w:w="1442" w:type="dxa"/>
            <w:vMerge w:val="restart"/>
          </w:tcPr>
          <w:p w:rsidR="009E1352" w:rsidRPr="00365117" w:rsidRDefault="009E1352" w:rsidP="00365117">
            <w:pPr>
              <w:pStyle w:val="TableParagraph"/>
              <w:spacing w:line="360" w:lineRule="auto"/>
              <w:ind w:left="303" w:right="293"/>
              <w:jc w:val="both"/>
              <w:rPr>
                <w:sz w:val="20"/>
                <w:szCs w:val="20"/>
              </w:rPr>
            </w:pPr>
            <w:r w:rsidRPr="00365117">
              <w:rPr>
                <w:sz w:val="20"/>
                <w:szCs w:val="20"/>
              </w:rPr>
              <w:t>&lt;0.0001</w:t>
            </w:r>
          </w:p>
          <w:p w:rsidR="009E1352" w:rsidRPr="00365117" w:rsidRDefault="009E1352" w:rsidP="00365117">
            <w:pPr>
              <w:pStyle w:val="TableParagraph"/>
              <w:spacing w:line="360" w:lineRule="auto"/>
              <w:jc w:val="both"/>
              <w:rPr>
                <w:b/>
                <w:sz w:val="20"/>
                <w:szCs w:val="20"/>
              </w:rPr>
            </w:pPr>
          </w:p>
          <w:p w:rsidR="009E1352" w:rsidRPr="00365117" w:rsidRDefault="009E1352" w:rsidP="00365117">
            <w:pPr>
              <w:pStyle w:val="TableParagraph"/>
              <w:spacing w:line="360" w:lineRule="auto"/>
              <w:ind w:left="249" w:right="293"/>
              <w:jc w:val="both"/>
              <w:rPr>
                <w:sz w:val="20"/>
                <w:szCs w:val="20"/>
              </w:rPr>
            </w:pPr>
            <w:r w:rsidRPr="00365117">
              <w:rPr>
                <w:sz w:val="20"/>
                <w:szCs w:val="20"/>
              </w:rPr>
              <w:t>HS</w:t>
            </w:r>
          </w:p>
        </w:tc>
      </w:tr>
      <w:tr w:rsidR="009E1352" w:rsidRPr="00365117" w:rsidTr="0098100F">
        <w:trPr>
          <w:trHeight w:val="551"/>
        </w:trPr>
        <w:tc>
          <w:tcPr>
            <w:tcW w:w="1495" w:type="dxa"/>
          </w:tcPr>
          <w:p w:rsidR="009E1352" w:rsidRPr="00365117" w:rsidRDefault="009E1352" w:rsidP="00365117">
            <w:pPr>
              <w:pStyle w:val="TableParagraph"/>
              <w:spacing w:line="360" w:lineRule="auto"/>
              <w:ind w:left="107"/>
              <w:jc w:val="both"/>
              <w:rPr>
                <w:sz w:val="20"/>
                <w:szCs w:val="20"/>
              </w:rPr>
            </w:pPr>
            <w:r w:rsidRPr="00365117">
              <w:rPr>
                <w:sz w:val="20"/>
                <w:szCs w:val="20"/>
              </w:rPr>
              <w:t>Controls</w:t>
            </w:r>
          </w:p>
        </w:tc>
        <w:tc>
          <w:tcPr>
            <w:tcW w:w="1003" w:type="dxa"/>
          </w:tcPr>
          <w:p w:rsidR="009E1352" w:rsidRPr="00365117" w:rsidRDefault="009E1352" w:rsidP="00365117">
            <w:pPr>
              <w:pStyle w:val="TableParagraph"/>
              <w:spacing w:line="360" w:lineRule="auto"/>
              <w:ind w:left="87" w:right="77"/>
              <w:jc w:val="both"/>
              <w:rPr>
                <w:sz w:val="20"/>
                <w:szCs w:val="20"/>
              </w:rPr>
            </w:pPr>
            <w:r w:rsidRPr="00365117">
              <w:rPr>
                <w:sz w:val="20"/>
                <w:szCs w:val="20"/>
              </w:rPr>
              <w:t>35</w:t>
            </w:r>
          </w:p>
        </w:tc>
        <w:tc>
          <w:tcPr>
            <w:tcW w:w="1224" w:type="dxa"/>
          </w:tcPr>
          <w:p w:rsidR="009E1352" w:rsidRPr="00365117" w:rsidRDefault="009E1352" w:rsidP="00365117">
            <w:pPr>
              <w:pStyle w:val="TableParagraph"/>
              <w:spacing w:line="360" w:lineRule="auto"/>
              <w:ind w:right="390"/>
              <w:jc w:val="both"/>
              <w:rPr>
                <w:sz w:val="20"/>
                <w:szCs w:val="20"/>
              </w:rPr>
            </w:pPr>
            <w:r w:rsidRPr="00365117">
              <w:rPr>
                <w:sz w:val="20"/>
                <w:szCs w:val="20"/>
              </w:rPr>
              <w:t>0.88</w:t>
            </w:r>
          </w:p>
        </w:tc>
        <w:tc>
          <w:tcPr>
            <w:tcW w:w="1543" w:type="dxa"/>
          </w:tcPr>
          <w:p w:rsidR="009E1352" w:rsidRPr="00365117" w:rsidRDefault="009E1352" w:rsidP="00365117">
            <w:pPr>
              <w:pStyle w:val="TableParagraph"/>
              <w:spacing w:line="360" w:lineRule="auto"/>
              <w:ind w:left="88" w:right="77"/>
              <w:jc w:val="both"/>
              <w:rPr>
                <w:sz w:val="20"/>
                <w:szCs w:val="20"/>
              </w:rPr>
            </w:pPr>
            <w:r w:rsidRPr="00365117">
              <w:rPr>
                <w:sz w:val="20"/>
                <w:szCs w:val="20"/>
              </w:rPr>
              <w:t>0.205</w:t>
            </w:r>
          </w:p>
        </w:tc>
        <w:tc>
          <w:tcPr>
            <w:tcW w:w="1235" w:type="dxa"/>
            <w:vMerge/>
            <w:tcBorders>
              <w:top w:val="nil"/>
            </w:tcBorders>
          </w:tcPr>
          <w:p w:rsidR="009E1352" w:rsidRPr="00365117" w:rsidRDefault="009E1352" w:rsidP="00365117">
            <w:pPr>
              <w:spacing w:after="0" w:line="360" w:lineRule="auto"/>
              <w:jc w:val="both"/>
              <w:rPr>
                <w:rFonts w:ascii="Times New Roman" w:hAnsi="Times New Roman" w:cs="Times New Roman"/>
                <w:sz w:val="20"/>
                <w:szCs w:val="20"/>
              </w:rPr>
            </w:pPr>
          </w:p>
        </w:tc>
        <w:tc>
          <w:tcPr>
            <w:tcW w:w="1442" w:type="dxa"/>
            <w:vMerge/>
            <w:tcBorders>
              <w:top w:val="nil"/>
            </w:tcBorders>
          </w:tcPr>
          <w:p w:rsidR="009E1352" w:rsidRPr="00365117" w:rsidRDefault="009E1352" w:rsidP="00365117">
            <w:pPr>
              <w:spacing w:after="0" w:line="360" w:lineRule="auto"/>
              <w:jc w:val="both"/>
              <w:rPr>
                <w:rFonts w:ascii="Times New Roman" w:hAnsi="Times New Roman" w:cs="Times New Roman"/>
                <w:sz w:val="20"/>
                <w:szCs w:val="20"/>
              </w:rPr>
            </w:pPr>
          </w:p>
        </w:tc>
      </w:tr>
    </w:tbl>
    <w:p w:rsidR="009E1352" w:rsidRPr="00365117" w:rsidRDefault="009E1352" w:rsidP="00365117">
      <w:pPr>
        <w:pStyle w:val="BodyText"/>
        <w:spacing w:line="360" w:lineRule="auto"/>
        <w:jc w:val="both"/>
        <w:rPr>
          <w:b/>
          <w:sz w:val="20"/>
          <w:szCs w:val="20"/>
        </w:rPr>
      </w:pPr>
    </w:p>
    <w:p w:rsidR="009E1352" w:rsidRPr="00365117" w:rsidRDefault="009E1352" w:rsidP="00D37F4B">
      <w:pPr>
        <w:pStyle w:val="BodyText"/>
        <w:spacing w:line="360" w:lineRule="auto"/>
        <w:jc w:val="both"/>
        <w:rPr>
          <w:sz w:val="20"/>
          <w:szCs w:val="20"/>
        </w:rPr>
      </w:pPr>
      <w:r w:rsidRPr="00365117">
        <w:rPr>
          <w:sz w:val="20"/>
          <w:szCs w:val="20"/>
        </w:rPr>
        <w:t xml:space="preserve">The Mean </w:t>
      </w:r>
      <w:proofErr w:type="spellStart"/>
      <w:r w:rsidRPr="00365117">
        <w:rPr>
          <w:sz w:val="20"/>
          <w:szCs w:val="20"/>
        </w:rPr>
        <w:t>Cystatin</w:t>
      </w:r>
      <w:proofErr w:type="spellEnd"/>
      <w:r w:rsidRPr="00365117">
        <w:rPr>
          <w:sz w:val="20"/>
          <w:szCs w:val="20"/>
        </w:rPr>
        <w:t xml:space="preserve"> C levels in </w:t>
      </w:r>
      <w:proofErr w:type="spellStart"/>
      <w:r w:rsidRPr="00365117">
        <w:rPr>
          <w:sz w:val="20"/>
          <w:szCs w:val="20"/>
        </w:rPr>
        <w:t>Preeclamptic</w:t>
      </w:r>
      <w:proofErr w:type="spellEnd"/>
      <w:r w:rsidRPr="00365117">
        <w:rPr>
          <w:sz w:val="20"/>
          <w:szCs w:val="20"/>
        </w:rPr>
        <w:t xml:space="preserve"> group is 1.62mg/L and control group is0.88 mg/l Mean ±SD of </w:t>
      </w:r>
      <w:proofErr w:type="spellStart"/>
      <w:r w:rsidRPr="00365117">
        <w:rPr>
          <w:sz w:val="20"/>
          <w:szCs w:val="20"/>
        </w:rPr>
        <w:t>Preeclamptic</w:t>
      </w:r>
      <w:proofErr w:type="spellEnd"/>
      <w:r w:rsidRPr="00365117">
        <w:rPr>
          <w:sz w:val="20"/>
          <w:szCs w:val="20"/>
        </w:rPr>
        <w:t xml:space="preserve"> group=1.62±0.325 and that of controls= </w:t>
      </w:r>
      <w:proofErr w:type="gramStart"/>
      <w:r w:rsidRPr="00365117">
        <w:rPr>
          <w:sz w:val="20"/>
          <w:szCs w:val="20"/>
        </w:rPr>
        <w:t>0.88±0.205mg/L )these</w:t>
      </w:r>
      <w:proofErr w:type="gramEnd"/>
      <w:r w:rsidRPr="00365117">
        <w:rPr>
          <w:sz w:val="20"/>
          <w:szCs w:val="20"/>
        </w:rPr>
        <w:t xml:space="preserve"> values suggests there is highly significant difference in </w:t>
      </w:r>
      <w:proofErr w:type="spellStart"/>
      <w:r w:rsidRPr="00365117">
        <w:rPr>
          <w:sz w:val="20"/>
          <w:szCs w:val="20"/>
        </w:rPr>
        <w:t>Cystatin</w:t>
      </w:r>
      <w:proofErr w:type="spellEnd"/>
      <w:r w:rsidRPr="00365117">
        <w:rPr>
          <w:sz w:val="20"/>
          <w:szCs w:val="20"/>
        </w:rPr>
        <w:t xml:space="preserve"> C levels in between 2 groups.</w:t>
      </w:r>
    </w:p>
    <w:p w:rsidR="009E1352" w:rsidRPr="00365117" w:rsidRDefault="009E1352" w:rsidP="00D37F4B">
      <w:pPr>
        <w:pStyle w:val="BodyText"/>
        <w:spacing w:line="360" w:lineRule="auto"/>
        <w:jc w:val="both"/>
        <w:rPr>
          <w:sz w:val="20"/>
          <w:szCs w:val="20"/>
        </w:rPr>
      </w:pPr>
      <w:r w:rsidRPr="00365117">
        <w:rPr>
          <w:sz w:val="20"/>
          <w:szCs w:val="20"/>
        </w:rPr>
        <w:t xml:space="preserve">In Preeclampsia group, </w:t>
      </w:r>
      <w:proofErr w:type="spellStart"/>
      <w:r w:rsidRPr="00365117">
        <w:rPr>
          <w:sz w:val="20"/>
          <w:szCs w:val="20"/>
        </w:rPr>
        <w:t>Cystatin</w:t>
      </w:r>
      <w:proofErr w:type="spellEnd"/>
      <w:r w:rsidRPr="00365117">
        <w:rPr>
          <w:sz w:val="20"/>
          <w:szCs w:val="20"/>
        </w:rPr>
        <w:t xml:space="preserve"> C levels are found to be higher also it is correlated with </w:t>
      </w:r>
      <w:proofErr w:type="spellStart"/>
      <w:r w:rsidRPr="00365117">
        <w:rPr>
          <w:sz w:val="20"/>
          <w:szCs w:val="20"/>
        </w:rPr>
        <w:t>creatinine</w:t>
      </w:r>
      <w:proofErr w:type="spellEnd"/>
      <w:r w:rsidRPr="00365117">
        <w:rPr>
          <w:sz w:val="20"/>
          <w:szCs w:val="20"/>
        </w:rPr>
        <w:t xml:space="preserve"> levels. (r=0.467</w:t>
      </w:r>
      <w:proofErr w:type="gramStart"/>
      <w:r w:rsidRPr="00365117">
        <w:rPr>
          <w:sz w:val="20"/>
          <w:szCs w:val="20"/>
        </w:rPr>
        <w:t>,P</w:t>
      </w:r>
      <w:proofErr w:type="gramEnd"/>
      <w:r w:rsidRPr="00365117">
        <w:rPr>
          <w:sz w:val="20"/>
          <w:szCs w:val="20"/>
        </w:rPr>
        <w:t>=0.005).</w:t>
      </w:r>
    </w:p>
    <w:p w:rsidR="009E1352" w:rsidRPr="00365117" w:rsidRDefault="009E1352" w:rsidP="00D37F4B">
      <w:pPr>
        <w:pStyle w:val="BodyText"/>
        <w:spacing w:line="360" w:lineRule="auto"/>
        <w:jc w:val="both"/>
        <w:rPr>
          <w:sz w:val="20"/>
          <w:szCs w:val="20"/>
        </w:rPr>
      </w:pPr>
      <w:r w:rsidRPr="00365117">
        <w:rPr>
          <w:sz w:val="20"/>
          <w:szCs w:val="20"/>
        </w:rPr>
        <w:t xml:space="preserve">In our study reference Range of </w:t>
      </w:r>
      <w:proofErr w:type="spellStart"/>
      <w:r w:rsidRPr="00365117">
        <w:rPr>
          <w:sz w:val="20"/>
          <w:szCs w:val="20"/>
        </w:rPr>
        <w:t>Cystatin</w:t>
      </w:r>
      <w:proofErr w:type="spellEnd"/>
      <w:r w:rsidRPr="00365117">
        <w:rPr>
          <w:sz w:val="20"/>
          <w:szCs w:val="20"/>
        </w:rPr>
        <w:t xml:space="preserve"> C and </w:t>
      </w:r>
      <w:proofErr w:type="spellStart"/>
      <w:r w:rsidRPr="00365117">
        <w:rPr>
          <w:sz w:val="20"/>
          <w:szCs w:val="20"/>
        </w:rPr>
        <w:t>creatinine</w:t>
      </w:r>
      <w:proofErr w:type="spellEnd"/>
      <w:r w:rsidRPr="00365117">
        <w:rPr>
          <w:sz w:val="20"/>
          <w:szCs w:val="20"/>
        </w:rPr>
        <w:t xml:space="preserve"> in normal pregnancy control group is 0.62-1.4 mg/L and 0.4-0.9 mg/dl respectively.</w:t>
      </w:r>
    </w:p>
    <w:p w:rsidR="009E1352" w:rsidRPr="00365117" w:rsidRDefault="009E1352" w:rsidP="00D37F4B">
      <w:pPr>
        <w:pStyle w:val="BodyText"/>
        <w:spacing w:line="360" w:lineRule="auto"/>
        <w:jc w:val="both"/>
        <w:rPr>
          <w:sz w:val="20"/>
          <w:szCs w:val="20"/>
        </w:rPr>
      </w:pPr>
      <w:r w:rsidRPr="00365117">
        <w:rPr>
          <w:sz w:val="20"/>
          <w:szCs w:val="20"/>
        </w:rPr>
        <w:t xml:space="preserve">Among Preeclampsia group only 22.8% patients have </w:t>
      </w:r>
      <w:proofErr w:type="spellStart"/>
      <w:r w:rsidRPr="00365117">
        <w:rPr>
          <w:sz w:val="20"/>
          <w:szCs w:val="20"/>
        </w:rPr>
        <w:t>creatinine</w:t>
      </w:r>
      <w:proofErr w:type="spellEnd"/>
      <w:r w:rsidRPr="00365117">
        <w:rPr>
          <w:sz w:val="20"/>
          <w:szCs w:val="20"/>
        </w:rPr>
        <w:t xml:space="preserve"> levels more than reference range of controls while 80% of patients has higher </w:t>
      </w:r>
      <w:proofErr w:type="spellStart"/>
      <w:r w:rsidRPr="00365117">
        <w:rPr>
          <w:sz w:val="20"/>
          <w:szCs w:val="20"/>
        </w:rPr>
        <w:t>Cystatin</w:t>
      </w:r>
      <w:proofErr w:type="spellEnd"/>
      <w:r w:rsidRPr="00365117">
        <w:rPr>
          <w:sz w:val="20"/>
          <w:szCs w:val="20"/>
        </w:rPr>
        <w:t xml:space="preserve"> C levels than reference range of controls.</w:t>
      </w:r>
    </w:p>
    <w:p w:rsidR="009E1352" w:rsidRPr="00365117" w:rsidRDefault="009E1352" w:rsidP="00D37F4B">
      <w:pPr>
        <w:pStyle w:val="BodyText"/>
        <w:spacing w:line="360" w:lineRule="auto"/>
        <w:jc w:val="both"/>
        <w:rPr>
          <w:sz w:val="20"/>
          <w:szCs w:val="20"/>
        </w:rPr>
      </w:pPr>
      <w:r w:rsidRPr="00365117">
        <w:rPr>
          <w:sz w:val="20"/>
          <w:szCs w:val="20"/>
        </w:rPr>
        <w:t xml:space="preserve">For </w:t>
      </w:r>
      <w:proofErr w:type="spellStart"/>
      <w:r w:rsidRPr="00365117">
        <w:rPr>
          <w:sz w:val="20"/>
          <w:szCs w:val="20"/>
        </w:rPr>
        <w:t>Cystatin</w:t>
      </w:r>
      <w:proofErr w:type="spellEnd"/>
      <w:r w:rsidRPr="00365117">
        <w:rPr>
          <w:sz w:val="20"/>
          <w:szCs w:val="20"/>
        </w:rPr>
        <w:t xml:space="preserve"> C cutoff value of 1.11mg/dl had sensitivity of 91.4% and a specificity of 85.7% for serum </w:t>
      </w:r>
      <w:proofErr w:type="spellStart"/>
      <w:r w:rsidRPr="00365117">
        <w:rPr>
          <w:sz w:val="20"/>
          <w:szCs w:val="20"/>
        </w:rPr>
        <w:t>creatinine</w:t>
      </w:r>
      <w:proofErr w:type="spellEnd"/>
      <w:r w:rsidRPr="00365117">
        <w:rPr>
          <w:sz w:val="20"/>
          <w:szCs w:val="20"/>
        </w:rPr>
        <w:t xml:space="preserve"> concentration higher than 0.65mg/dl had a sensitivity of 82.9% and a specificity of 57.9%.</w:t>
      </w:r>
    </w:p>
    <w:p w:rsidR="00D37F4B" w:rsidRDefault="00D37F4B" w:rsidP="00365117">
      <w:pPr>
        <w:spacing w:after="0" w:line="360" w:lineRule="auto"/>
        <w:ind w:right="893"/>
        <w:jc w:val="both"/>
        <w:rPr>
          <w:rFonts w:ascii="Times New Roman" w:hAnsi="Times New Roman" w:cs="Times New Roman"/>
          <w:b/>
          <w:sz w:val="20"/>
          <w:szCs w:val="20"/>
        </w:rPr>
      </w:pPr>
    </w:p>
    <w:p w:rsidR="009E1352" w:rsidRPr="00365117" w:rsidRDefault="009E1352" w:rsidP="00365117">
      <w:pPr>
        <w:spacing w:after="0" w:line="360" w:lineRule="auto"/>
        <w:ind w:right="893"/>
        <w:jc w:val="both"/>
        <w:rPr>
          <w:rFonts w:ascii="Times New Roman" w:hAnsi="Times New Roman" w:cs="Times New Roman"/>
          <w:b/>
          <w:sz w:val="20"/>
          <w:szCs w:val="20"/>
        </w:rPr>
      </w:pPr>
      <w:r w:rsidRPr="00365117">
        <w:rPr>
          <w:rFonts w:ascii="Times New Roman" w:hAnsi="Times New Roman" w:cs="Times New Roman"/>
          <w:b/>
          <w:sz w:val="20"/>
          <w:szCs w:val="20"/>
        </w:rPr>
        <w:t>Receiver Operating Characteristic Curve (ROC curve</w:t>
      </w:r>
      <w:proofErr w:type="gramStart"/>
      <w:r w:rsidRPr="00365117">
        <w:rPr>
          <w:rFonts w:ascii="Times New Roman" w:hAnsi="Times New Roman" w:cs="Times New Roman"/>
          <w:b/>
          <w:sz w:val="20"/>
          <w:szCs w:val="20"/>
        </w:rPr>
        <w:t>)analysis</w:t>
      </w:r>
      <w:proofErr w:type="gramEnd"/>
      <w:r w:rsidRPr="00365117">
        <w:rPr>
          <w:rFonts w:ascii="Times New Roman" w:hAnsi="Times New Roman" w:cs="Times New Roman"/>
          <w:b/>
          <w:sz w:val="20"/>
          <w:szCs w:val="20"/>
        </w:rPr>
        <w:t xml:space="preserve"> for </w:t>
      </w:r>
      <w:proofErr w:type="spellStart"/>
      <w:r w:rsidRPr="00365117">
        <w:rPr>
          <w:rFonts w:ascii="Times New Roman" w:hAnsi="Times New Roman" w:cs="Times New Roman"/>
          <w:b/>
          <w:sz w:val="20"/>
          <w:szCs w:val="20"/>
        </w:rPr>
        <w:t>Creatinine</w:t>
      </w:r>
      <w:proofErr w:type="spellEnd"/>
      <w:r w:rsidRPr="00365117">
        <w:rPr>
          <w:rFonts w:ascii="Times New Roman" w:hAnsi="Times New Roman" w:cs="Times New Roman"/>
          <w:b/>
          <w:sz w:val="20"/>
          <w:szCs w:val="20"/>
        </w:rPr>
        <w:t xml:space="preserve"> and </w:t>
      </w:r>
      <w:proofErr w:type="spellStart"/>
      <w:r w:rsidRPr="00365117">
        <w:rPr>
          <w:rFonts w:ascii="Times New Roman" w:hAnsi="Times New Roman" w:cs="Times New Roman"/>
          <w:b/>
          <w:sz w:val="20"/>
          <w:szCs w:val="20"/>
        </w:rPr>
        <w:t>Cystatin</w:t>
      </w:r>
      <w:proofErr w:type="spellEnd"/>
      <w:r w:rsidRPr="00365117">
        <w:rPr>
          <w:rFonts w:ascii="Times New Roman" w:hAnsi="Times New Roman" w:cs="Times New Roman"/>
          <w:b/>
          <w:sz w:val="20"/>
          <w:szCs w:val="20"/>
        </w:rPr>
        <w:t xml:space="preserve"> C:</w:t>
      </w:r>
    </w:p>
    <w:p w:rsidR="009E1352" w:rsidRPr="00365117" w:rsidRDefault="009E1352" w:rsidP="00365117">
      <w:pPr>
        <w:pStyle w:val="BodyText"/>
        <w:spacing w:line="360" w:lineRule="auto"/>
        <w:ind w:right="897"/>
        <w:jc w:val="both"/>
        <w:rPr>
          <w:sz w:val="20"/>
          <w:szCs w:val="20"/>
        </w:rPr>
      </w:pPr>
      <w:r w:rsidRPr="00365117">
        <w:rPr>
          <w:sz w:val="20"/>
          <w:szCs w:val="20"/>
        </w:rPr>
        <w:t xml:space="preserve">ROC analysis was done which showed that serum </w:t>
      </w:r>
      <w:proofErr w:type="spellStart"/>
      <w:r w:rsidRPr="00365117">
        <w:rPr>
          <w:sz w:val="20"/>
          <w:szCs w:val="20"/>
        </w:rPr>
        <w:t>Cystatin</w:t>
      </w:r>
      <w:proofErr w:type="spellEnd"/>
      <w:r w:rsidRPr="00365117">
        <w:rPr>
          <w:sz w:val="20"/>
          <w:szCs w:val="20"/>
        </w:rPr>
        <w:t xml:space="preserve"> C (AUC 0.967)more accurate when compared to serum </w:t>
      </w:r>
      <w:proofErr w:type="spellStart"/>
      <w:r w:rsidRPr="00365117">
        <w:rPr>
          <w:sz w:val="20"/>
          <w:szCs w:val="20"/>
        </w:rPr>
        <w:t>creatinine</w:t>
      </w:r>
      <w:proofErr w:type="spellEnd"/>
      <w:r w:rsidRPr="00365117">
        <w:rPr>
          <w:sz w:val="20"/>
          <w:szCs w:val="20"/>
        </w:rPr>
        <w:t xml:space="preserve"> (AUC 0.768) taking </w:t>
      </w:r>
      <w:proofErr w:type="spellStart"/>
      <w:r w:rsidRPr="00365117">
        <w:rPr>
          <w:sz w:val="20"/>
          <w:szCs w:val="20"/>
        </w:rPr>
        <w:t>Cystatin</w:t>
      </w:r>
      <w:proofErr w:type="spellEnd"/>
      <w:r w:rsidRPr="00365117">
        <w:rPr>
          <w:sz w:val="20"/>
          <w:szCs w:val="20"/>
        </w:rPr>
        <w:t xml:space="preserve"> C cutoff as 1.11mg/L and </w:t>
      </w:r>
      <w:proofErr w:type="spellStart"/>
      <w:r w:rsidRPr="00365117">
        <w:rPr>
          <w:sz w:val="20"/>
          <w:szCs w:val="20"/>
        </w:rPr>
        <w:t>creatinine</w:t>
      </w:r>
      <w:proofErr w:type="spellEnd"/>
      <w:r w:rsidRPr="00365117">
        <w:rPr>
          <w:sz w:val="20"/>
          <w:szCs w:val="20"/>
        </w:rPr>
        <w:t xml:space="preserve"> cutoff as 0.65mg/dl.</w:t>
      </w:r>
    </w:p>
    <w:p w:rsidR="00D37F4B" w:rsidRDefault="00D37F4B" w:rsidP="00365117">
      <w:pPr>
        <w:pStyle w:val="Heading4"/>
        <w:spacing w:line="360" w:lineRule="auto"/>
        <w:jc w:val="both"/>
        <w:rPr>
          <w:sz w:val="20"/>
          <w:szCs w:val="20"/>
          <w:u w:val="thick"/>
        </w:rPr>
      </w:pPr>
    </w:p>
    <w:p w:rsidR="009E1352" w:rsidRPr="00365117" w:rsidRDefault="009E1352" w:rsidP="00365117">
      <w:pPr>
        <w:pStyle w:val="Heading4"/>
        <w:spacing w:line="360" w:lineRule="auto"/>
        <w:jc w:val="both"/>
        <w:rPr>
          <w:sz w:val="20"/>
          <w:szCs w:val="20"/>
        </w:rPr>
      </w:pPr>
      <w:r w:rsidRPr="00365117">
        <w:rPr>
          <w:sz w:val="20"/>
          <w:szCs w:val="20"/>
          <w:u w:val="thick"/>
        </w:rPr>
        <w:t>Table</w:t>
      </w:r>
      <w:r w:rsidR="00D37F4B">
        <w:rPr>
          <w:sz w:val="20"/>
          <w:szCs w:val="20"/>
        </w:rPr>
        <w:t xml:space="preserve"> 3</w:t>
      </w:r>
      <w:r w:rsidRPr="00365117">
        <w:rPr>
          <w:sz w:val="20"/>
          <w:szCs w:val="20"/>
        </w:rPr>
        <w:t xml:space="preserve"> Area under curve (AUC) And Confidence Interval (CI)</w:t>
      </w:r>
    </w:p>
    <w:p w:rsidR="009E1352" w:rsidRPr="00365117" w:rsidRDefault="009E1352" w:rsidP="00365117">
      <w:pPr>
        <w:pStyle w:val="BodyText"/>
        <w:spacing w:line="360" w:lineRule="auto"/>
        <w:jc w:val="both"/>
        <w:rPr>
          <w:b/>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405"/>
        <w:gridCol w:w="1078"/>
        <w:gridCol w:w="989"/>
      </w:tblGrid>
      <w:tr w:rsidR="009E1352" w:rsidRPr="00365117" w:rsidTr="0098100F">
        <w:trPr>
          <w:trHeight w:val="551"/>
        </w:trPr>
        <w:tc>
          <w:tcPr>
            <w:tcW w:w="1858" w:type="dxa"/>
            <w:tcBorders>
              <w:left w:val="single" w:sz="6" w:space="0" w:color="000000"/>
            </w:tcBorders>
          </w:tcPr>
          <w:p w:rsidR="009E1352" w:rsidRPr="00365117" w:rsidRDefault="009E1352" w:rsidP="00365117">
            <w:pPr>
              <w:pStyle w:val="TableParagraph"/>
              <w:spacing w:line="360" w:lineRule="auto"/>
              <w:jc w:val="both"/>
              <w:rPr>
                <w:sz w:val="20"/>
                <w:szCs w:val="20"/>
              </w:rPr>
            </w:pPr>
          </w:p>
        </w:tc>
        <w:tc>
          <w:tcPr>
            <w:tcW w:w="1405" w:type="dxa"/>
          </w:tcPr>
          <w:p w:rsidR="009E1352" w:rsidRPr="00365117" w:rsidRDefault="009E1352" w:rsidP="00365117">
            <w:pPr>
              <w:pStyle w:val="TableParagraph"/>
              <w:spacing w:line="360" w:lineRule="auto"/>
              <w:ind w:left="107"/>
              <w:jc w:val="both"/>
              <w:rPr>
                <w:sz w:val="20"/>
                <w:szCs w:val="20"/>
              </w:rPr>
            </w:pPr>
            <w:r w:rsidRPr="00365117">
              <w:rPr>
                <w:sz w:val="20"/>
                <w:szCs w:val="20"/>
              </w:rPr>
              <w:t>AUC</w:t>
            </w:r>
          </w:p>
        </w:tc>
        <w:tc>
          <w:tcPr>
            <w:tcW w:w="2067" w:type="dxa"/>
            <w:gridSpan w:val="2"/>
            <w:tcBorders>
              <w:right w:val="single" w:sz="6" w:space="0" w:color="000000"/>
            </w:tcBorders>
          </w:tcPr>
          <w:p w:rsidR="009E1352" w:rsidRPr="00365117" w:rsidRDefault="009E1352" w:rsidP="00365117">
            <w:pPr>
              <w:pStyle w:val="TableParagraph"/>
              <w:spacing w:line="360" w:lineRule="auto"/>
              <w:ind w:left="827"/>
              <w:jc w:val="both"/>
              <w:rPr>
                <w:sz w:val="20"/>
                <w:szCs w:val="20"/>
              </w:rPr>
            </w:pPr>
            <w:r w:rsidRPr="00365117">
              <w:rPr>
                <w:sz w:val="20"/>
                <w:szCs w:val="20"/>
              </w:rPr>
              <w:t>95% CI</w:t>
            </w:r>
          </w:p>
        </w:tc>
      </w:tr>
      <w:tr w:rsidR="009E1352" w:rsidRPr="00365117" w:rsidTr="0098100F">
        <w:trPr>
          <w:trHeight w:val="552"/>
        </w:trPr>
        <w:tc>
          <w:tcPr>
            <w:tcW w:w="1858" w:type="dxa"/>
            <w:tcBorders>
              <w:left w:val="single" w:sz="6" w:space="0" w:color="000000"/>
            </w:tcBorders>
          </w:tcPr>
          <w:p w:rsidR="009E1352" w:rsidRPr="00365117" w:rsidRDefault="009E1352" w:rsidP="00365117">
            <w:pPr>
              <w:pStyle w:val="TableParagraph"/>
              <w:spacing w:line="360" w:lineRule="auto"/>
              <w:ind w:left="105"/>
              <w:jc w:val="both"/>
              <w:rPr>
                <w:sz w:val="20"/>
                <w:szCs w:val="20"/>
              </w:rPr>
            </w:pPr>
            <w:proofErr w:type="spellStart"/>
            <w:r w:rsidRPr="00365117">
              <w:rPr>
                <w:sz w:val="20"/>
                <w:szCs w:val="20"/>
              </w:rPr>
              <w:t>Creatinine</w:t>
            </w:r>
            <w:proofErr w:type="spellEnd"/>
          </w:p>
        </w:tc>
        <w:tc>
          <w:tcPr>
            <w:tcW w:w="1405" w:type="dxa"/>
          </w:tcPr>
          <w:p w:rsidR="009E1352" w:rsidRPr="00365117" w:rsidRDefault="009E1352" w:rsidP="00365117">
            <w:pPr>
              <w:pStyle w:val="TableParagraph"/>
              <w:spacing w:line="360" w:lineRule="auto"/>
              <w:ind w:left="107"/>
              <w:jc w:val="both"/>
              <w:rPr>
                <w:sz w:val="20"/>
                <w:szCs w:val="20"/>
              </w:rPr>
            </w:pPr>
            <w:r w:rsidRPr="00365117">
              <w:rPr>
                <w:sz w:val="20"/>
                <w:szCs w:val="20"/>
              </w:rPr>
              <w:t>0.768</w:t>
            </w:r>
          </w:p>
        </w:tc>
        <w:tc>
          <w:tcPr>
            <w:tcW w:w="1078" w:type="dxa"/>
          </w:tcPr>
          <w:p w:rsidR="009E1352" w:rsidRPr="00365117" w:rsidRDefault="009E1352" w:rsidP="00365117">
            <w:pPr>
              <w:pStyle w:val="TableParagraph"/>
              <w:spacing w:line="360" w:lineRule="auto"/>
              <w:ind w:left="107"/>
              <w:jc w:val="both"/>
              <w:rPr>
                <w:sz w:val="20"/>
                <w:szCs w:val="20"/>
              </w:rPr>
            </w:pPr>
            <w:r w:rsidRPr="00365117">
              <w:rPr>
                <w:sz w:val="20"/>
                <w:szCs w:val="20"/>
              </w:rPr>
              <w:t>0.658</w:t>
            </w:r>
          </w:p>
        </w:tc>
        <w:tc>
          <w:tcPr>
            <w:tcW w:w="989" w:type="dxa"/>
            <w:tcBorders>
              <w:right w:val="single" w:sz="6" w:space="0" w:color="000000"/>
            </w:tcBorders>
          </w:tcPr>
          <w:p w:rsidR="009E1352" w:rsidRPr="00365117" w:rsidRDefault="009E1352" w:rsidP="00365117">
            <w:pPr>
              <w:pStyle w:val="TableParagraph"/>
              <w:spacing w:line="360" w:lineRule="auto"/>
              <w:ind w:left="104"/>
              <w:jc w:val="both"/>
              <w:rPr>
                <w:sz w:val="20"/>
                <w:szCs w:val="20"/>
              </w:rPr>
            </w:pPr>
            <w:r w:rsidRPr="00365117">
              <w:rPr>
                <w:sz w:val="20"/>
                <w:szCs w:val="20"/>
              </w:rPr>
              <w:t>0.877</w:t>
            </w:r>
          </w:p>
        </w:tc>
      </w:tr>
      <w:tr w:rsidR="009E1352" w:rsidRPr="00365117" w:rsidTr="0098100F">
        <w:trPr>
          <w:trHeight w:val="551"/>
        </w:trPr>
        <w:tc>
          <w:tcPr>
            <w:tcW w:w="1858" w:type="dxa"/>
            <w:tcBorders>
              <w:left w:val="single" w:sz="6" w:space="0" w:color="000000"/>
            </w:tcBorders>
          </w:tcPr>
          <w:p w:rsidR="009E1352" w:rsidRPr="00365117" w:rsidRDefault="009E1352" w:rsidP="00365117">
            <w:pPr>
              <w:pStyle w:val="TableParagraph"/>
              <w:spacing w:line="360" w:lineRule="auto"/>
              <w:ind w:left="105"/>
              <w:jc w:val="both"/>
              <w:rPr>
                <w:sz w:val="20"/>
                <w:szCs w:val="20"/>
              </w:rPr>
            </w:pPr>
            <w:proofErr w:type="spellStart"/>
            <w:r w:rsidRPr="00365117">
              <w:rPr>
                <w:sz w:val="20"/>
                <w:szCs w:val="20"/>
              </w:rPr>
              <w:t>Cystatin</w:t>
            </w:r>
            <w:proofErr w:type="spellEnd"/>
            <w:r w:rsidRPr="00365117">
              <w:rPr>
                <w:sz w:val="20"/>
                <w:szCs w:val="20"/>
              </w:rPr>
              <w:t xml:space="preserve"> C</w:t>
            </w:r>
          </w:p>
        </w:tc>
        <w:tc>
          <w:tcPr>
            <w:tcW w:w="1405" w:type="dxa"/>
          </w:tcPr>
          <w:p w:rsidR="009E1352" w:rsidRPr="00365117" w:rsidRDefault="009E1352" w:rsidP="00365117">
            <w:pPr>
              <w:pStyle w:val="TableParagraph"/>
              <w:spacing w:line="360" w:lineRule="auto"/>
              <w:ind w:left="107"/>
              <w:jc w:val="both"/>
              <w:rPr>
                <w:sz w:val="20"/>
                <w:szCs w:val="20"/>
              </w:rPr>
            </w:pPr>
            <w:r w:rsidRPr="00365117">
              <w:rPr>
                <w:sz w:val="20"/>
                <w:szCs w:val="20"/>
              </w:rPr>
              <w:t>0.967</w:t>
            </w:r>
          </w:p>
        </w:tc>
        <w:tc>
          <w:tcPr>
            <w:tcW w:w="1078" w:type="dxa"/>
          </w:tcPr>
          <w:p w:rsidR="009E1352" w:rsidRPr="00365117" w:rsidRDefault="009E1352" w:rsidP="00365117">
            <w:pPr>
              <w:pStyle w:val="TableParagraph"/>
              <w:spacing w:line="360" w:lineRule="auto"/>
              <w:ind w:left="107"/>
              <w:jc w:val="both"/>
              <w:rPr>
                <w:sz w:val="20"/>
                <w:szCs w:val="20"/>
              </w:rPr>
            </w:pPr>
            <w:r w:rsidRPr="00365117">
              <w:rPr>
                <w:sz w:val="20"/>
                <w:szCs w:val="20"/>
              </w:rPr>
              <w:t>0.933</w:t>
            </w:r>
          </w:p>
        </w:tc>
        <w:tc>
          <w:tcPr>
            <w:tcW w:w="989" w:type="dxa"/>
            <w:tcBorders>
              <w:right w:val="single" w:sz="6" w:space="0" w:color="000000"/>
            </w:tcBorders>
          </w:tcPr>
          <w:p w:rsidR="009E1352" w:rsidRPr="00365117" w:rsidRDefault="009E1352" w:rsidP="00365117">
            <w:pPr>
              <w:pStyle w:val="TableParagraph"/>
              <w:spacing w:line="360" w:lineRule="auto"/>
              <w:ind w:left="104"/>
              <w:jc w:val="both"/>
              <w:rPr>
                <w:sz w:val="20"/>
                <w:szCs w:val="20"/>
              </w:rPr>
            </w:pPr>
            <w:r w:rsidRPr="00365117">
              <w:rPr>
                <w:sz w:val="20"/>
                <w:szCs w:val="20"/>
              </w:rPr>
              <w:t>1.000</w:t>
            </w:r>
          </w:p>
        </w:tc>
      </w:tr>
    </w:tbl>
    <w:p w:rsidR="002D413A" w:rsidRPr="00365117" w:rsidRDefault="002D413A" w:rsidP="00365117">
      <w:pPr>
        <w:pStyle w:val="BodyText"/>
        <w:spacing w:line="360" w:lineRule="auto"/>
        <w:ind w:right="896"/>
        <w:jc w:val="both"/>
        <w:rPr>
          <w:sz w:val="20"/>
          <w:szCs w:val="20"/>
        </w:rPr>
      </w:pPr>
    </w:p>
    <w:p w:rsidR="009E1352" w:rsidRPr="00365117" w:rsidRDefault="009E1352" w:rsidP="00D37F4B">
      <w:pPr>
        <w:pStyle w:val="BodyText"/>
        <w:spacing w:line="360" w:lineRule="auto"/>
        <w:jc w:val="both"/>
        <w:rPr>
          <w:b/>
          <w:sz w:val="20"/>
          <w:szCs w:val="20"/>
        </w:rPr>
      </w:pPr>
      <w:proofErr w:type="spellStart"/>
      <w:r w:rsidRPr="00365117">
        <w:rPr>
          <w:sz w:val="20"/>
          <w:szCs w:val="20"/>
        </w:rPr>
        <w:t>Cystatin</w:t>
      </w:r>
      <w:proofErr w:type="spellEnd"/>
      <w:r w:rsidRPr="00365117">
        <w:rPr>
          <w:sz w:val="20"/>
          <w:szCs w:val="20"/>
        </w:rPr>
        <w:t xml:space="preserve"> C is considered an endogenous marker of kidney function </w:t>
      </w:r>
      <w:r w:rsidRPr="00365117">
        <w:rPr>
          <w:b/>
          <w:sz w:val="20"/>
          <w:szCs w:val="20"/>
          <w:vertAlign w:val="superscript"/>
        </w:rPr>
        <w:t>(76)</w:t>
      </w:r>
      <w:r w:rsidRPr="00365117">
        <w:rPr>
          <w:b/>
          <w:sz w:val="20"/>
          <w:szCs w:val="20"/>
        </w:rPr>
        <w:t xml:space="preserve">. </w:t>
      </w:r>
      <w:r w:rsidRPr="00365117">
        <w:rPr>
          <w:sz w:val="20"/>
          <w:szCs w:val="20"/>
        </w:rPr>
        <w:t xml:space="preserve">As Preeclampsia involves renal system it can cause elevation of </w:t>
      </w:r>
      <w:proofErr w:type="spellStart"/>
      <w:r w:rsidRPr="00365117">
        <w:rPr>
          <w:sz w:val="20"/>
          <w:szCs w:val="20"/>
        </w:rPr>
        <w:t>Cystatin</w:t>
      </w:r>
      <w:proofErr w:type="spellEnd"/>
      <w:r w:rsidRPr="00365117">
        <w:rPr>
          <w:sz w:val="20"/>
          <w:szCs w:val="20"/>
        </w:rPr>
        <w:t xml:space="preserve"> C in serum of </w:t>
      </w:r>
      <w:proofErr w:type="spellStart"/>
      <w:r w:rsidRPr="00365117">
        <w:rPr>
          <w:sz w:val="20"/>
          <w:szCs w:val="20"/>
        </w:rPr>
        <w:t>Preeclamptic</w:t>
      </w:r>
      <w:proofErr w:type="spellEnd"/>
      <w:r w:rsidRPr="00365117">
        <w:rPr>
          <w:sz w:val="20"/>
          <w:szCs w:val="20"/>
        </w:rPr>
        <w:t xml:space="preserve"> patients. Studies have been carried out to assess importance of </w:t>
      </w:r>
      <w:proofErr w:type="spellStart"/>
      <w:r w:rsidRPr="00365117">
        <w:rPr>
          <w:sz w:val="20"/>
          <w:szCs w:val="20"/>
        </w:rPr>
        <w:t>Cystatin</w:t>
      </w:r>
      <w:proofErr w:type="spellEnd"/>
      <w:r w:rsidRPr="00365117">
        <w:rPr>
          <w:sz w:val="20"/>
          <w:szCs w:val="20"/>
        </w:rPr>
        <w:t xml:space="preserve"> C as severity indicator as well as</w:t>
      </w:r>
      <w:r w:rsidR="0074587F" w:rsidRPr="00365117">
        <w:rPr>
          <w:sz w:val="20"/>
          <w:szCs w:val="20"/>
        </w:rPr>
        <w:t xml:space="preserve"> progress of preeclampsia</w:t>
      </w:r>
    </w:p>
    <w:p w:rsidR="009E1352" w:rsidRDefault="009E1352" w:rsidP="00D37F4B">
      <w:pPr>
        <w:pStyle w:val="BodyText"/>
        <w:spacing w:line="360" w:lineRule="auto"/>
        <w:jc w:val="both"/>
        <w:rPr>
          <w:b/>
          <w:sz w:val="20"/>
          <w:szCs w:val="20"/>
        </w:rPr>
      </w:pPr>
      <w:proofErr w:type="spellStart"/>
      <w:r w:rsidRPr="00365117">
        <w:rPr>
          <w:sz w:val="20"/>
          <w:szCs w:val="20"/>
        </w:rPr>
        <w:t>Cystatin</w:t>
      </w:r>
      <w:proofErr w:type="spellEnd"/>
      <w:r w:rsidRPr="00365117">
        <w:rPr>
          <w:sz w:val="20"/>
          <w:szCs w:val="20"/>
        </w:rPr>
        <w:t xml:space="preserve"> C is freely filtered and almost completely reabsorbed in kidney. So, </w:t>
      </w:r>
      <w:proofErr w:type="spellStart"/>
      <w:r w:rsidRPr="00365117">
        <w:rPr>
          <w:sz w:val="20"/>
          <w:szCs w:val="20"/>
        </w:rPr>
        <w:t>Cystatin</w:t>
      </w:r>
      <w:proofErr w:type="spellEnd"/>
      <w:r w:rsidRPr="00365117">
        <w:rPr>
          <w:sz w:val="20"/>
          <w:szCs w:val="20"/>
        </w:rPr>
        <w:t xml:space="preserve"> C could be an excellent indicator of GFR </w:t>
      </w:r>
      <w:r w:rsidRPr="00365117">
        <w:rPr>
          <w:b/>
          <w:sz w:val="20"/>
          <w:szCs w:val="20"/>
          <w:vertAlign w:val="superscript"/>
        </w:rPr>
        <w:t>(61)</w:t>
      </w:r>
      <w:r w:rsidRPr="00365117">
        <w:rPr>
          <w:b/>
          <w:sz w:val="20"/>
          <w:szCs w:val="20"/>
        </w:rPr>
        <w:t>.</w:t>
      </w:r>
    </w:p>
    <w:p w:rsidR="00D37F4B" w:rsidRPr="00365117" w:rsidRDefault="00D37F4B" w:rsidP="00D37F4B">
      <w:pPr>
        <w:pStyle w:val="BodyText"/>
        <w:spacing w:line="360" w:lineRule="auto"/>
        <w:jc w:val="both"/>
        <w:rPr>
          <w:b/>
          <w:sz w:val="20"/>
          <w:szCs w:val="20"/>
        </w:rPr>
      </w:pPr>
    </w:p>
    <w:p w:rsidR="009E1352" w:rsidRPr="00365117" w:rsidRDefault="009E1352" w:rsidP="00D37F4B">
      <w:pPr>
        <w:pStyle w:val="BodyText"/>
        <w:spacing w:line="360" w:lineRule="auto"/>
        <w:jc w:val="both"/>
        <w:rPr>
          <w:sz w:val="20"/>
          <w:szCs w:val="20"/>
        </w:rPr>
      </w:pPr>
      <w:r w:rsidRPr="00365117">
        <w:rPr>
          <w:sz w:val="20"/>
          <w:szCs w:val="20"/>
        </w:rPr>
        <w:lastRenderedPageBreak/>
        <w:t xml:space="preserve">Considering these facts evaluation of </w:t>
      </w:r>
      <w:proofErr w:type="spellStart"/>
      <w:r w:rsidRPr="00365117">
        <w:rPr>
          <w:sz w:val="20"/>
          <w:szCs w:val="20"/>
        </w:rPr>
        <w:t>creatinine</w:t>
      </w:r>
      <w:proofErr w:type="spellEnd"/>
      <w:r w:rsidRPr="00365117">
        <w:rPr>
          <w:sz w:val="20"/>
          <w:szCs w:val="20"/>
        </w:rPr>
        <w:t xml:space="preserve"> and </w:t>
      </w:r>
      <w:proofErr w:type="spellStart"/>
      <w:r w:rsidRPr="00365117">
        <w:rPr>
          <w:sz w:val="20"/>
          <w:szCs w:val="20"/>
        </w:rPr>
        <w:t>Cystatin</w:t>
      </w:r>
      <w:proofErr w:type="spellEnd"/>
      <w:r w:rsidRPr="00365117">
        <w:rPr>
          <w:sz w:val="20"/>
          <w:szCs w:val="20"/>
        </w:rPr>
        <w:t xml:space="preserve"> C was done in diagnosed patients of preeclampsia as well as in normal pregnant women as controls.</w:t>
      </w:r>
    </w:p>
    <w:p w:rsidR="002D413A" w:rsidRPr="00365117" w:rsidRDefault="002D413A" w:rsidP="00D37F4B">
      <w:pPr>
        <w:pStyle w:val="BodyText"/>
        <w:spacing w:line="360" w:lineRule="auto"/>
        <w:jc w:val="both"/>
        <w:rPr>
          <w:b/>
          <w:sz w:val="20"/>
          <w:szCs w:val="20"/>
        </w:rPr>
      </w:pPr>
      <w:r w:rsidRPr="00365117">
        <w:rPr>
          <w:b/>
          <w:sz w:val="20"/>
          <w:szCs w:val="20"/>
        </w:rPr>
        <w:t xml:space="preserve">Discussion: </w:t>
      </w:r>
    </w:p>
    <w:p w:rsidR="009E1352" w:rsidRPr="00365117" w:rsidRDefault="009E1352" w:rsidP="00D37F4B">
      <w:pPr>
        <w:pStyle w:val="BodyText"/>
        <w:spacing w:line="360" w:lineRule="auto"/>
        <w:jc w:val="both"/>
        <w:rPr>
          <w:sz w:val="20"/>
          <w:szCs w:val="20"/>
        </w:rPr>
      </w:pPr>
      <w:r w:rsidRPr="00365117">
        <w:rPr>
          <w:sz w:val="20"/>
          <w:szCs w:val="20"/>
        </w:rPr>
        <w:t xml:space="preserve">Evaluation of CRP and ESR was also done to rule out rise of </w:t>
      </w:r>
      <w:proofErr w:type="spellStart"/>
      <w:r w:rsidRPr="00365117">
        <w:rPr>
          <w:sz w:val="20"/>
          <w:szCs w:val="20"/>
        </w:rPr>
        <w:t>Cystatin</w:t>
      </w:r>
      <w:proofErr w:type="spellEnd"/>
      <w:r w:rsidRPr="00365117">
        <w:rPr>
          <w:sz w:val="20"/>
          <w:szCs w:val="20"/>
        </w:rPr>
        <w:t xml:space="preserve"> C as a part of acute inflammation. The present study was carried out on 70 subjects The patients were divided into two groups; 35 diagnosed cases of preeclampsia (Group 1) and 35 normal pregnant women were studied as controls (Group 2) Diagnosis of Preeclampsia was based on presence of proteinuria and BP greater than or equal to140/90 and presence of proteinuria </w:t>
      </w:r>
      <w:r w:rsidR="0074587F" w:rsidRPr="00365117">
        <w:rPr>
          <w:b/>
          <w:sz w:val="20"/>
          <w:szCs w:val="20"/>
          <w:vertAlign w:val="superscript"/>
        </w:rPr>
        <w:t>(7</w:t>
      </w:r>
      <w:r w:rsidRPr="00365117">
        <w:rPr>
          <w:b/>
          <w:sz w:val="20"/>
          <w:szCs w:val="20"/>
          <w:vertAlign w:val="superscript"/>
        </w:rPr>
        <w:t>)</w:t>
      </w:r>
      <w:r w:rsidRPr="00365117">
        <w:rPr>
          <w:b/>
          <w:sz w:val="20"/>
          <w:szCs w:val="20"/>
        </w:rPr>
        <w:t>.</w:t>
      </w:r>
      <w:r w:rsidRPr="00365117">
        <w:rPr>
          <w:sz w:val="20"/>
          <w:szCs w:val="20"/>
        </w:rPr>
        <w:t>Results were compared among the 2 Groups. The study protocol was approved by the Ethical Committee of the Institute Informed written consent was obtained from all the study subjects enrolled in the</w:t>
      </w:r>
      <w:r w:rsidRPr="00365117">
        <w:rPr>
          <w:spacing w:val="-2"/>
          <w:sz w:val="20"/>
          <w:szCs w:val="20"/>
        </w:rPr>
        <w:t xml:space="preserve"> </w:t>
      </w:r>
      <w:r w:rsidRPr="00365117">
        <w:rPr>
          <w:sz w:val="20"/>
          <w:szCs w:val="20"/>
        </w:rPr>
        <w:t>study.</w:t>
      </w:r>
    </w:p>
    <w:p w:rsidR="009E1352" w:rsidRPr="00365117" w:rsidRDefault="009E1352" w:rsidP="00D37F4B">
      <w:pPr>
        <w:pStyle w:val="BodyText"/>
        <w:spacing w:line="360" w:lineRule="auto"/>
        <w:jc w:val="both"/>
        <w:rPr>
          <w:sz w:val="20"/>
          <w:szCs w:val="20"/>
        </w:rPr>
      </w:pPr>
      <w:r w:rsidRPr="00365117">
        <w:rPr>
          <w:sz w:val="20"/>
          <w:szCs w:val="20"/>
        </w:rPr>
        <w:t xml:space="preserve">Age group of patients in present study is between 20 to 35 years. Mean age in </w:t>
      </w:r>
      <w:proofErr w:type="spellStart"/>
      <w:r w:rsidRPr="00365117">
        <w:rPr>
          <w:sz w:val="20"/>
          <w:szCs w:val="20"/>
        </w:rPr>
        <w:t>Preeclamptic</w:t>
      </w:r>
      <w:proofErr w:type="spellEnd"/>
      <w:r w:rsidRPr="00365117">
        <w:rPr>
          <w:sz w:val="20"/>
          <w:szCs w:val="20"/>
        </w:rPr>
        <w:t xml:space="preserve"> group is found to be 27.4 years and 25.6 years in control group. Mean age in </w:t>
      </w:r>
      <w:proofErr w:type="spellStart"/>
      <w:r w:rsidRPr="00365117">
        <w:rPr>
          <w:sz w:val="20"/>
          <w:szCs w:val="20"/>
        </w:rPr>
        <w:t>Preeclamptic</w:t>
      </w:r>
      <w:proofErr w:type="spellEnd"/>
      <w:r w:rsidRPr="00365117">
        <w:rPr>
          <w:sz w:val="20"/>
          <w:szCs w:val="20"/>
        </w:rPr>
        <w:t xml:space="preserve"> group is slightly higher as compared to normotensive pregnant women group. (</w:t>
      </w:r>
      <w:proofErr w:type="gramStart"/>
      <w:r w:rsidRPr="00365117">
        <w:rPr>
          <w:sz w:val="20"/>
          <w:szCs w:val="20"/>
        </w:rPr>
        <w:t>table</w:t>
      </w:r>
      <w:proofErr w:type="gramEnd"/>
      <w:r w:rsidRPr="00365117">
        <w:rPr>
          <w:sz w:val="20"/>
          <w:szCs w:val="20"/>
        </w:rPr>
        <w:t xml:space="preserve"> no11) Mean Gestational age of </w:t>
      </w:r>
      <w:proofErr w:type="spellStart"/>
      <w:r w:rsidRPr="00365117">
        <w:rPr>
          <w:sz w:val="20"/>
          <w:szCs w:val="20"/>
        </w:rPr>
        <w:t>Preeclamptic</w:t>
      </w:r>
      <w:proofErr w:type="spellEnd"/>
      <w:r w:rsidRPr="00365117">
        <w:rPr>
          <w:sz w:val="20"/>
          <w:szCs w:val="20"/>
        </w:rPr>
        <w:t xml:space="preserve"> group found to be 27.78 weeks and 26.97 weeks in normotensive pregnant women control group. We found mean gestational age wa</w:t>
      </w:r>
      <w:r w:rsidR="0074587F" w:rsidRPr="00365117">
        <w:rPr>
          <w:sz w:val="20"/>
          <w:szCs w:val="20"/>
        </w:rPr>
        <w:t>s higher in preeclampsia group.</w:t>
      </w:r>
    </w:p>
    <w:p w:rsidR="009E1352" w:rsidRPr="00365117" w:rsidRDefault="009E1352" w:rsidP="00D37F4B">
      <w:pPr>
        <w:pStyle w:val="BodyText"/>
        <w:spacing w:line="360" w:lineRule="auto"/>
        <w:jc w:val="both"/>
        <w:rPr>
          <w:b/>
          <w:sz w:val="20"/>
          <w:szCs w:val="20"/>
        </w:rPr>
      </w:pPr>
      <w:r w:rsidRPr="00365117">
        <w:rPr>
          <w:sz w:val="20"/>
          <w:szCs w:val="20"/>
        </w:rPr>
        <w:t xml:space="preserve">Serum </w:t>
      </w:r>
      <w:proofErr w:type="spellStart"/>
      <w:r w:rsidRPr="00365117">
        <w:rPr>
          <w:sz w:val="20"/>
          <w:szCs w:val="20"/>
        </w:rPr>
        <w:t>Cystatin</w:t>
      </w:r>
      <w:proofErr w:type="spellEnd"/>
      <w:r w:rsidRPr="00365117">
        <w:rPr>
          <w:sz w:val="20"/>
          <w:szCs w:val="20"/>
        </w:rPr>
        <w:t xml:space="preserve"> C is a reliable marker of GFR in pregnant women when levels were compared to healthy </w:t>
      </w:r>
      <w:proofErr w:type="spellStart"/>
      <w:r w:rsidRPr="00365117">
        <w:rPr>
          <w:sz w:val="20"/>
          <w:szCs w:val="20"/>
        </w:rPr>
        <w:t>nonpregnant</w:t>
      </w:r>
      <w:proofErr w:type="spellEnd"/>
      <w:r w:rsidRPr="00365117">
        <w:rPr>
          <w:sz w:val="20"/>
          <w:szCs w:val="20"/>
        </w:rPr>
        <w:t xml:space="preserve"> women. In PE, the serum concentration of </w:t>
      </w:r>
      <w:proofErr w:type="spellStart"/>
      <w:r w:rsidRPr="00365117">
        <w:rPr>
          <w:sz w:val="20"/>
          <w:szCs w:val="20"/>
        </w:rPr>
        <w:t>Cystatin</w:t>
      </w:r>
      <w:proofErr w:type="spellEnd"/>
      <w:r w:rsidRPr="00365117">
        <w:rPr>
          <w:sz w:val="20"/>
          <w:szCs w:val="20"/>
        </w:rPr>
        <w:t xml:space="preserve"> C relates significantly to structural and functional changes in the kidneys</w:t>
      </w:r>
      <w:r w:rsidRPr="00365117">
        <w:rPr>
          <w:spacing w:val="-26"/>
          <w:sz w:val="20"/>
          <w:szCs w:val="20"/>
        </w:rPr>
        <w:t xml:space="preserve"> </w:t>
      </w:r>
      <w:r w:rsidR="0074587F" w:rsidRPr="00365117">
        <w:rPr>
          <w:b/>
          <w:sz w:val="20"/>
          <w:szCs w:val="20"/>
          <w:vertAlign w:val="superscript"/>
        </w:rPr>
        <w:t>(6</w:t>
      </w:r>
      <w:r w:rsidRPr="00365117">
        <w:rPr>
          <w:b/>
          <w:sz w:val="20"/>
          <w:szCs w:val="20"/>
          <w:vertAlign w:val="superscript"/>
        </w:rPr>
        <w:t>)</w:t>
      </w:r>
      <w:r w:rsidRPr="00365117">
        <w:rPr>
          <w:b/>
          <w:sz w:val="20"/>
          <w:szCs w:val="20"/>
        </w:rPr>
        <w:t>.</w:t>
      </w:r>
    </w:p>
    <w:p w:rsidR="009E1352" w:rsidRPr="00365117" w:rsidRDefault="009E1352" w:rsidP="00D37F4B">
      <w:pPr>
        <w:pStyle w:val="BodyText"/>
        <w:spacing w:line="360" w:lineRule="auto"/>
        <w:jc w:val="both"/>
        <w:rPr>
          <w:b/>
          <w:sz w:val="20"/>
          <w:szCs w:val="20"/>
        </w:rPr>
      </w:pPr>
      <w:proofErr w:type="spellStart"/>
      <w:r w:rsidRPr="00365117">
        <w:rPr>
          <w:sz w:val="20"/>
          <w:szCs w:val="20"/>
        </w:rPr>
        <w:t>Cystatin</w:t>
      </w:r>
      <w:proofErr w:type="spellEnd"/>
      <w:r w:rsidRPr="00365117">
        <w:rPr>
          <w:sz w:val="20"/>
          <w:szCs w:val="20"/>
        </w:rPr>
        <w:t xml:space="preserve"> C does not cross the placental barrier, and previous studies have found </w:t>
      </w:r>
      <w:proofErr w:type="gramStart"/>
      <w:r w:rsidRPr="00365117">
        <w:rPr>
          <w:sz w:val="20"/>
          <w:szCs w:val="20"/>
        </w:rPr>
        <w:t>no  correlation</w:t>
      </w:r>
      <w:proofErr w:type="gramEnd"/>
      <w:r w:rsidRPr="00365117">
        <w:rPr>
          <w:sz w:val="20"/>
          <w:szCs w:val="20"/>
        </w:rPr>
        <w:t xml:space="preserve"> between maternal and neonatal serum .</w:t>
      </w:r>
      <w:proofErr w:type="spellStart"/>
      <w:r w:rsidRPr="00365117">
        <w:rPr>
          <w:sz w:val="20"/>
          <w:szCs w:val="20"/>
        </w:rPr>
        <w:t>Cystatin</w:t>
      </w:r>
      <w:proofErr w:type="spellEnd"/>
      <w:r w:rsidRPr="00365117">
        <w:rPr>
          <w:sz w:val="20"/>
          <w:szCs w:val="20"/>
        </w:rPr>
        <w:t xml:space="preserve"> C values suggesting that neonatal serum </w:t>
      </w:r>
      <w:proofErr w:type="spellStart"/>
      <w:r w:rsidRPr="00365117">
        <w:rPr>
          <w:sz w:val="20"/>
          <w:szCs w:val="20"/>
        </w:rPr>
        <w:t>Cystatin</w:t>
      </w:r>
      <w:proofErr w:type="spellEnd"/>
      <w:r w:rsidRPr="00365117">
        <w:rPr>
          <w:sz w:val="20"/>
          <w:szCs w:val="20"/>
        </w:rPr>
        <w:t xml:space="preserve"> C originates almost exclusively in the neonate thus having no effect on the maternal </w:t>
      </w:r>
      <w:proofErr w:type="spellStart"/>
      <w:r w:rsidRPr="00365117">
        <w:rPr>
          <w:sz w:val="20"/>
          <w:szCs w:val="20"/>
        </w:rPr>
        <w:t>Cystatin</w:t>
      </w:r>
      <w:proofErr w:type="spellEnd"/>
      <w:r w:rsidRPr="00365117">
        <w:rPr>
          <w:sz w:val="20"/>
          <w:szCs w:val="20"/>
        </w:rPr>
        <w:t xml:space="preserve"> C levels</w:t>
      </w:r>
      <w:r w:rsidRPr="00365117">
        <w:rPr>
          <w:spacing w:val="1"/>
          <w:sz w:val="20"/>
          <w:szCs w:val="20"/>
        </w:rPr>
        <w:t xml:space="preserve"> </w:t>
      </w:r>
      <w:r w:rsidR="0074587F" w:rsidRPr="00365117">
        <w:rPr>
          <w:b/>
          <w:sz w:val="20"/>
          <w:szCs w:val="20"/>
          <w:vertAlign w:val="superscript"/>
        </w:rPr>
        <w:t>(8)</w:t>
      </w:r>
      <w:r w:rsidRPr="00365117">
        <w:rPr>
          <w:b/>
          <w:sz w:val="20"/>
          <w:szCs w:val="20"/>
        </w:rPr>
        <w:t>.</w:t>
      </w:r>
    </w:p>
    <w:p w:rsidR="009E1352" w:rsidRPr="00365117" w:rsidRDefault="009E1352" w:rsidP="00D37F4B">
      <w:pPr>
        <w:pStyle w:val="BodyText"/>
        <w:spacing w:line="360" w:lineRule="auto"/>
        <w:jc w:val="both"/>
        <w:rPr>
          <w:sz w:val="20"/>
          <w:szCs w:val="20"/>
        </w:rPr>
      </w:pPr>
      <w:r w:rsidRPr="00365117">
        <w:rPr>
          <w:sz w:val="20"/>
          <w:szCs w:val="20"/>
        </w:rPr>
        <w:t xml:space="preserve">Our study results have shown that serum </w:t>
      </w:r>
      <w:proofErr w:type="spellStart"/>
      <w:r w:rsidRPr="00365117">
        <w:rPr>
          <w:sz w:val="20"/>
          <w:szCs w:val="20"/>
        </w:rPr>
        <w:t>Cystatin</w:t>
      </w:r>
      <w:proofErr w:type="spellEnd"/>
      <w:r w:rsidRPr="00365117">
        <w:rPr>
          <w:sz w:val="20"/>
          <w:szCs w:val="20"/>
        </w:rPr>
        <w:t xml:space="preserve"> C levels in </w:t>
      </w:r>
      <w:proofErr w:type="spellStart"/>
      <w:r w:rsidRPr="00365117">
        <w:rPr>
          <w:sz w:val="20"/>
          <w:szCs w:val="20"/>
        </w:rPr>
        <w:t>Preeclamptic</w:t>
      </w:r>
      <w:proofErr w:type="spellEnd"/>
      <w:r w:rsidRPr="00365117">
        <w:rPr>
          <w:sz w:val="20"/>
          <w:szCs w:val="20"/>
        </w:rPr>
        <w:t xml:space="preserve"> group were significantly higher (1.62±0.325) than that of non </w:t>
      </w:r>
      <w:proofErr w:type="spellStart"/>
      <w:r w:rsidRPr="00365117">
        <w:rPr>
          <w:sz w:val="20"/>
          <w:szCs w:val="20"/>
        </w:rPr>
        <w:t>Preeclamptic</w:t>
      </w:r>
      <w:proofErr w:type="spellEnd"/>
      <w:r w:rsidRPr="00365117">
        <w:rPr>
          <w:sz w:val="20"/>
          <w:szCs w:val="20"/>
        </w:rPr>
        <w:t xml:space="preserve"> group (0.88±0.205mg/L,</w:t>
      </w:r>
    </w:p>
    <w:p w:rsidR="009E1352" w:rsidRPr="00365117" w:rsidRDefault="009E1352" w:rsidP="00D37F4B">
      <w:pPr>
        <w:pStyle w:val="BodyText"/>
        <w:spacing w:line="360" w:lineRule="auto"/>
        <w:jc w:val="both"/>
        <w:rPr>
          <w:b/>
          <w:sz w:val="20"/>
          <w:szCs w:val="20"/>
        </w:rPr>
      </w:pPr>
      <w:r w:rsidRPr="00365117">
        <w:rPr>
          <w:sz w:val="20"/>
          <w:szCs w:val="20"/>
        </w:rPr>
        <w:t xml:space="preserve">P &lt;0.0001) (table no 18). Also 80% of </w:t>
      </w:r>
      <w:proofErr w:type="spellStart"/>
      <w:r w:rsidRPr="00365117">
        <w:rPr>
          <w:sz w:val="20"/>
          <w:szCs w:val="20"/>
        </w:rPr>
        <w:t>Preeclamptic</w:t>
      </w:r>
      <w:proofErr w:type="spellEnd"/>
      <w:r w:rsidRPr="00365117">
        <w:rPr>
          <w:sz w:val="20"/>
          <w:szCs w:val="20"/>
        </w:rPr>
        <w:t xml:space="preserve"> patients were showing </w:t>
      </w:r>
      <w:proofErr w:type="spellStart"/>
      <w:r w:rsidRPr="00365117">
        <w:rPr>
          <w:sz w:val="20"/>
          <w:szCs w:val="20"/>
        </w:rPr>
        <w:t>Cystatin</w:t>
      </w:r>
      <w:proofErr w:type="spellEnd"/>
      <w:r w:rsidRPr="00365117">
        <w:rPr>
          <w:sz w:val="20"/>
          <w:szCs w:val="20"/>
        </w:rPr>
        <w:t xml:space="preserve"> C levels higher than control group‘s reference range, while 22.8% of </w:t>
      </w:r>
      <w:proofErr w:type="spellStart"/>
      <w:r w:rsidRPr="00365117">
        <w:rPr>
          <w:sz w:val="20"/>
          <w:szCs w:val="20"/>
        </w:rPr>
        <w:t>Preeclamptic</w:t>
      </w:r>
      <w:proofErr w:type="spellEnd"/>
      <w:r w:rsidRPr="00365117">
        <w:rPr>
          <w:sz w:val="20"/>
          <w:szCs w:val="20"/>
        </w:rPr>
        <w:t xml:space="preserve"> patients were showing </w:t>
      </w:r>
      <w:proofErr w:type="spellStart"/>
      <w:r w:rsidRPr="00365117">
        <w:rPr>
          <w:sz w:val="20"/>
          <w:szCs w:val="20"/>
        </w:rPr>
        <w:t>Creatinine</w:t>
      </w:r>
      <w:proofErr w:type="spellEnd"/>
      <w:r w:rsidRPr="00365117">
        <w:rPr>
          <w:sz w:val="20"/>
          <w:szCs w:val="20"/>
        </w:rPr>
        <w:t xml:space="preserve"> levels higher than control group‘s reference range. Similar results were obtained by </w:t>
      </w:r>
      <w:proofErr w:type="spellStart"/>
      <w:r w:rsidRPr="00365117">
        <w:rPr>
          <w:sz w:val="20"/>
          <w:szCs w:val="20"/>
        </w:rPr>
        <w:t>Strevens</w:t>
      </w:r>
      <w:proofErr w:type="spellEnd"/>
      <w:r w:rsidRPr="00365117">
        <w:rPr>
          <w:sz w:val="20"/>
          <w:szCs w:val="20"/>
        </w:rPr>
        <w:t xml:space="preserve"> et al</w:t>
      </w:r>
      <w:r w:rsidR="0074587F" w:rsidRPr="00365117">
        <w:rPr>
          <w:b/>
          <w:sz w:val="20"/>
          <w:szCs w:val="20"/>
          <w:vertAlign w:val="superscript"/>
        </w:rPr>
        <w:t>(9</w:t>
      </w:r>
      <w:r w:rsidRPr="00365117">
        <w:rPr>
          <w:b/>
          <w:sz w:val="20"/>
          <w:szCs w:val="20"/>
          <w:vertAlign w:val="superscript"/>
        </w:rPr>
        <w:t>)</w:t>
      </w:r>
      <w:r w:rsidRPr="00365117">
        <w:rPr>
          <w:b/>
          <w:sz w:val="20"/>
          <w:szCs w:val="20"/>
        </w:rPr>
        <w:t xml:space="preserve"> </w:t>
      </w:r>
      <w:proofErr w:type="spellStart"/>
      <w:r w:rsidRPr="00365117">
        <w:rPr>
          <w:sz w:val="20"/>
          <w:szCs w:val="20"/>
        </w:rPr>
        <w:t>Sherif</w:t>
      </w:r>
      <w:proofErr w:type="spellEnd"/>
      <w:r w:rsidRPr="00365117">
        <w:rPr>
          <w:sz w:val="20"/>
          <w:szCs w:val="20"/>
        </w:rPr>
        <w:t xml:space="preserve"> </w:t>
      </w:r>
      <w:proofErr w:type="spellStart"/>
      <w:r w:rsidRPr="00365117">
        <w:rPr>
          <w:sz w:val="20"/>
          <w:szCs w:val="20"/>
        </w:rPr>
        <w:t>Saleh</w:t>
      </w:r>
      <w:proofErr w:type="spellEnd"/>
      <w:r w:rsidRPr="00365117">
        <w:rPr>
          <w:sz w:val="20"/>
          <w:szCs w:val="20"/>
        </w:rPr>
        <w:t xml:space="preserve"> et al</w:t>
      </w:r>
      <w:r w:rsidR="0074587F" w:rsidRPr="00365117">
        <w:rPr>
          <w:b/>
          <w:sz w:val="20"/>
          <w:szCs w:val="20"/>
          <w:vertAlign w:val="superscript"/>
        </w:rPr>
        <w:t>(10</w:t>
      </w:r>
      <w:r w:rsidRPr="00365117">
        <w:rPr>
          <w:b/>
          <w:sz w:val="20"/>
          <w:szCs w:val="20"/>
          <w:vertAlign w:val="superscript"/>
        </w:rPr>
        <w:t>)</w:t>
      </w:r>
      <w:r w:rsidRPr="00365117">
        <w:rPr>
          <w:b/>
          <w:sz w:val="20"/>
          <w:szCs w:val="20"/>
        </w:rPr>
        <w:t xml:space="preserve"> </w:t>
      </w:r>
      <w:r w:rsidRPr="00365117">
        <w:rPr>
          <w:sz w:val="20"/>
          <w:szCs w:val="20"/>
        </w:rPr>
        <w:t xml:space="preserve">, Hong-Xia </w:t>
      </w:r>
      <w:proofErr w:type="spellStart"/>
      <w:r w:rsidRPr="00365117">
        <w:rPr>
          <w:sz w:val="20"/>
          <w:szCs w:val="20"/>
        </w:rPr>
        <w:t>Guo</w:t>
      </w:r>
      <w:proofErr w:type="spellEnd"/>
      <w:r w:rsidR="0074587F" w:rsidRPr="00365117">
        <w:rPr>
          <w:b/>
          <w:sz w:val="20"/>
          <w:szCs w:val="20"/>
          <w:vertAlign w:val="superscript"/>
        </w:rPr>
        <w:t>(11</w:t>
      </w:r>
      <w:r w:rsidRPr="00365117">
        <w:rPr>
          <w:b/>
          <w:sz w:val="20"/>
          <w:szCs w:val="20"/>
          <w:vertAlign w:val="superscript"/>
        </w:rPr>
        <w:t>)</w:t>
      </w:r>
      <w:r w:rsidRPr="00365117">
        <w:rPr>
          <w:sz w:val="20"/>
          <w:szCs w:val="20"/>
        </w:rPr>
        <w:t>Huang QT et al</w:t>
      </w:r>
      <w:r w:rsidR="0074587F" w:rsidRPr="00365117">
        <w:rPr>
          <w:b/>
          <w:sz w:val="20"/>
          <w:szCs w:val="20"/>
          <w:vertAlign w:val="superscript"/>
        </w:rPr>
        <w:t>(12</w:t>
      </w:r>
      <w:r w:rsidRPr="00365117">
        <w:rPr>
          <w:b/>
          <w:sz w:val="20"/>
          <w:szCs w:val="20"/>
          <w:vertAlign w:val="superscript"/>
        </w:rPr>
        <w:t>),</w:t>
      </w:r>
      <w:r w:rsidRPr="00365117">
        <w:rPr>
          <w:sz w:val="20"/>
          <w:szCs w:val="20"/>
        </w:rPr>
        <w:t xml:space="preserve">However </w:t>
      </w:r>
      <w:proofErr w:type="spellStart"/>
      <w:r w:rsidRPr="00365117">
        <w:rPr>
          <w:sz w:val="20"/>
          <w:szCs w:val="20"/>
        </w:rPr>
        <w:t>Yalamati</w:t>
      </w:r>
      <w:proofErr w:type="spellEnd"/>
      <w:r w:rsidRPr="00365117">
        <w:rPr>
          <w:sz w:val="20"/>
          <w:szCs w:val="20"/>
        </w:rPr>
        <w:t xml:space="preserve"> et al observed that </w:t>
      </w:r>
      <w:proofErr w:type="spellStart"/>
      <w:r w:rsidRPr="00365117">
        <w:rPr>
          <w:sz w:val="20"/>
          <w:szCs w:val="20"/>
        </w:rPr>
        <w:t>Cystatin</w:t>
      </w:r>
      <w:proofErr w:type="spellEnd"/>
      <w:r w:rsidRPr="00365117">
        <w:rPr>
          <w:sz w:val="20"/>
          <w:szCs w:val="20"/>
        </w:rPr>
        <w:t xml:space="preserve"> C levels were not associated with maternal and fetal outcome studied in Hypertensive pregnancies</w:t>
      </w:r>
      <w:r w:rsidR="0074587F" w:rsidRPr="00365117">
        <w:rPr>
          <w:b/>
          <w:sz w:val="20"/>
          <w:szCs w:val="20"/>
          <w:vertAlign w:val="superscript"/>
        </w:rPr>
        <w:t>(13</w:t>
      </w:r>
      <w:r w:rsidRPr="00365117">
        <w:rPr>
          <w:b/>
          <w:sz w:val="20"/>
          <w:szCs w:val="20"/>
          <w:vertAlign w:val="superscript"/>
        </w:rPr>
        <w:t>)</w:t>
      </w:r>
      <w:r w:rsidRPr="00365117">
        <w:rPr>
          <w:b/>
          <w:sz w:val="20"/>
          <w:szCs w:val="20"/>
        </w:rPr>
        <w:t>.</w:t>
      </w:r>
    </w:p>
    <w:p w:rsidR="002D413A" w:rsidRPr="00365117" w:rsidRDefault="002D413A" w:rsidP="00D37F4B">
      <w:pPr>
        <w:pStyle w:val="BodyText"/>
        <w:spacing w:line="360" w:lineRule="auto"/>
        <w:jc w:val="both"/>
        <w:rPr>
          <w:b/>
          <w:sz w:val="20"/>
          <w:szCs w:val="20"/>
        </w:rPr>
      </w:pPr>
      <w:r w:rsidRPr="00365117">
        <w:rPr>
          <w:b/>
          <w:sz w:val="20"/>
          <w:szCs w:val="20"/>
        </w:rPr>
        <w:t xml:space="preserve">Conclusion: </w:t>
      </w:r>
    </w:p>
    <w:p w:rsidR="009E1352" w:rsidRPr="00365117" w:rsidRDefault="009E1352" w:rsidP="00D37F4B">
      <w:pPr>
        <w:pStyle w:val="BodyText"/>
        <w:spacing w:line="360" w:lineRule="auto"/>
        <w:jc w:val="both"/>
        <w:rPr>
          <w:sz w:val="20"/>
          <w:szCs w:val="20"/>
        </w:rPr>
      </w:pPr>
      <w:r w:rsidRPr="00365117">
        <w:rPr>
          <w:sz w:val="20"/>
          <w:szCs w:val="20"/>
        </w:rPr>
        <w:t xml:space="preserve">In our study, 22.8% of </w:t>
      </w:r>
      <w:proofErr w:type="spellStart"/>
      <w:r w:rsidRPr="00365117">
        <w:rPr>
          <w:sz w:val="20"/>
          <w:szCs w:val="20"/>
        </w:rPr>
        <w:t>Preeclamptic</w:t>
      </w:r>
      <w:proofErr w:type="spellEnd"/>
      <w:r w:rsidRPr="00365117">
        <w:rPr>
          <w:sz w:val="20"/>
          <w:szCs w:val="20"/>
        </w:rPr>
        <w:t xml:space="preserve"> patients were having high </w:t>
      </w:r>
      <w:proofErr w:type="spellStart"/>
      <w:r w:rsidRPr="00365117">
        <w:rPr>
          <w:sz w:val="20"/>
          <w:szCs w:val="20"/>
        </w:rPr>
        <w:t>Creatinine</w:t>
      </w:r>
      <w:proofErr w:type="spellEnd"/>
      <w:r w:rsidRPr="00365117">
        <w:rPr>
          <w:sz w:val="20"/>
          <w:szCs w:val="20"/>
        </w:rPr>
        <w:t xml:space="preserve"> levels, while 80% of patients were showing high </w:t>
      </w:r>
      <w:proofErr w:type="spellStart"/>
      <w:r w:rsidRPr="00365117">
        <w:rPr>
          <w:sz w:val="20"/>
          <w:szCs w:val="20"/>
        </w:rPr>
        <w:t>Cystatin</w:t>
      </w:r>
      <w:proofErr w:type="spellEnd"/>
      <w:r w:rsidRPr="00365117">
        <w:rPr>
          <w:sz w:val="20"/>
          <w:szCs w:val="20"/>
        </w:rPr>
        <w:t xml:space="preserve"> C levels as compared to control group‘s reference range.</w:t>
      </w:r>
    </w:p>
    <w:p w:rsidR="009E1352" w:rsidRPr="00365117" w:rsidRDefault="009E1352" w:rsidP="00365117">
      <w:pPr>
        <w:spacing w:after="0" w:line="360" w:lineRule="auto"/>
        <w:rPr>
          <w:rFonts w:ascii="Times New Roman" w:hAnsi="Times New Roman" w:cs="Times New Roman"/>
          <w:sz w:val="20"/>
          <w:szCs w:val="20"/>
        </w:rPr>
      </w:pPr>
    </w:p>
    <w:p w:rsidR="0074587F" w:rsidRPr="00365117" w:rsidRDefault="0074587F" w:rsidP="00365117">
      <w:pPr>
        <w:spacing w:after="0" w:line="360" w:lineRule="auto"/>
        <w:rPr>
          <w:rFonts w:ascii="Times New Roman" w:hAnsi="Times New Roman" w:cs="Times New Roman"/>
          <w:b/>
          <w:sz w:val="20"/>
          <w:szCs w:val="20"/>
        </w:rPr>
      </w:pPr>
      <w:r w:rsidRPr="00365117">
        <w:rPr>
          <w:rFonts w:ascii="Times New Roman" w:hAnsi="Times New Roman" w:cs="Times New Roman"/>
          <w:b/>
          <w:sz w:val="20"/>
          <w:szCs w:val="20"/>
        </w:rPr>
        <w:t xml:space="preserve">References: </w:t>
      </w:r>
    </w:p>
    <w:p w:rsidR="0074587F" w:rsidRPr="00365117" w:rsidRDefault="0074587F" w:rsidP="00D37F4B">
      <w:pPr>
        <w:pStyle w:val="ListParagraph"/>
        <w:numPr>
          <w:ilvl w:val="0"/>
          <w:numId w:val="5"/>
        </w:numPr>
        <w:tabs>
          <w:tab w:val="left" w:pos="1031"/>
        </w:tabs>
        <w:spacing w:line="360" w:lineRule="auto"/>
        <w:rPr>
          <w:sz w:val="20"/>
          <w:szCs w:val="20"/>
        </w:rPr>
      </w:pPr>
      <w:r w:rsidRPr="00365117">
        <w:rPr>
          <w:sz w:val="20"/>
          <w:szCs w:val="20"/>
        </w:rPr>
        <w:t xml:space="preserve">Peres, G M, Mariana, M, &amp; </w:t>
      </w:r>
      <w:proofErr w:type="spellStart"/>
      <w:r w:rsidRPr="00365117">
        <w:rPr>
          <w:sz w:val="20"/>
          <w:szCs w:val="20"/>
        </w:rPr>
        <w:t>Cairrão</w:t>
      </w:r>
      <w:proofErr w:type="spellEnd"/>
      <w:r w:rsidRPr="00365117">
        <w:rPr>
          <w:sz w:val="20"/>
          <w:szCs w:val="20"/>
        </w:rPr>
        <w:t>, E Pre-</w:t>
      </w:r>
      <w:proofErr w:type="spellStart"/>
      <w:r w:rsidRPr="00365117">
        <w:rPr>
          <w:sz w:val="20"/>
          <w:szCs w:val="20"/>
        </w:rPr>
        <w:t>Eclampsia</w:t>
      </w:r>
      <w:proofErr w:type="spellEnd"/>
      <w:r w:rsidRPr="00365117">
        <w:rPr>
          <w:sz w:val="20"/>
          <w:szCs w:val="20"/>
        </w:rPr>
        <w:t xml:space="preserve"> and </w:t>
      </w:r>
      <w:proofErr w:type="spellStart"/>
      <w:r w:rsidRPr="00365117">
        <w:rPr>
          <w:sz w:val="20"/>
          <w:szCs w:val="20"/>
        </w:rPr>
        <w:t>Eclampsia</w:t>
      </w:r>
      <w:proofErr w:type="spellEnd"/>
      <w:r w:rsidRPr="00365117">
        <w:rPr>
          <w:sz w:val="20"/>
          <w:szCs w:val="20"/>
        </w:rPr>
        <w:t>: An Update on the Pharmacological Treatment Applied in Portugal Journal of cardiovascular development and disease,2018; 5(1),</w:t>
      </w:r>
      <w:r w:rsidRPr="00365117">
        <w:rPr>
          <w:spacing w:val="-1"/>
          <w:sz w:val="20"/>
          <w:szCs w:val="20"/>
        </w:rPr>
        <w:t xml:space="preserve"> </w:t>
      </w:r>
      <w:r w:rsidRPr="00365117">
        <w:rPr>
          <w:sz w:val="20"/>
          <w:szCs w:val="20"/>
        </w:rPr>
        <w:t>3</w:t>
      </w:r>
    </w:p>
    <w:p w:rsidR="0074587F" w:rsidRPr="00365117" w:rsidRDefault="0074587F" w:rsidP="00365117">
      <w:pPr>
        <w:pStyle w:val="ListParagraph"/>
        <w:numPr>
          <w:ilvl w:val="0"/>
          <w:numId w:val="5"/>
        </w:numPr>
        <w:tabs>
          <w:tab w:val="left" w:pos="1081"/>
        </w:tabs>
        <w:spacing w:line="360" w:lineRule="auto"/>
        <w:jc w:val="both"/>
        <w:rPr>
          <w:sz w:val="20"/>
          <w:szCs w:val="20"/>
        </w:rPr>
      </w:pPr>
      <w:proofErr w:type="spellStart"/>
      <w:r w:rsidRPr="00365117">
        <w:rPr>
          <w:sz w:val="20"/>
          <w:szCs w:val="20"/>
        </w:rPr>
        <w:t>Agrawal</w:t>
      </w:r>
      <w:proofErr w:type="spellEnd"/>
      <w:r w:rsidRPr="00365117">
        <w:rPr>
          <w:sz w:val="20"/>
          <w:szCs w:val="20"/>
        </w:rPr>
        <w:t xml:space="preserve">, </w:t>
      </w:r>
      <w:proofErr w:type="spellStart"/>
      <w:r w:rsidRPr="00365117">
        <w:rPr>
          <w:sz w:val="20"/>
          <w:szCs w:val="20"/>
        </w:rPr>
        <w:t>Sutapa</w:t>
      </w:r>
      <w:proofErr w:type="spellEnd"/>
      <w:r w:rsidRPr="00365117">
        <w:rPr>
          <w:sz w:val="20"/>
          <w:szCs w:val="20"/>
        </w:rPr>
        <w:t xml:space="preserve"> &amp; </w:t>
      </w:r>
      <w:proofErr w:type="spellStart"/>
      <w:r w:rsidRPr="00365117">
        <w:rPr>
          <w:sz w:val="20"/>
          <w:szCs w:val="20"/>
        </w:rPr>
        <w:t>Walia</w:t>
      </w:r>
      <w:proofErr w:type="spellEnd"/>
      <w:r w:rsidRPr="00365117">
        <w:rPr>
          <w:sz w:val="20"/>
          <w:szCs w:val="20"/>
        </w:rPr>
        <w:t xml:space="preserve">, </w:t>
      </w:r>
      <w:proofErr w:type="spellStart"/>
      <w:r w:rsidRPr="00365117">
        <w:rPr>
          <w:sz w:val="20"/>
          <w:szCs w:val="20"/>
        </w:rPr>
        <w:t>Gagandeep</w:t>
      </w:r>
      <w:proofErr w:type="spellEnd"/>
      <w:r w:rsidRPr="00365117">
        <w:rPr>
          <w:sz w:val="20"/>
          <w:szCs w:val="20"/>
        </w:rPr>
        <w:t xml:space="preserve"> Prevalence and Risk Factors for Symptoms Suggestive of Pre-</w:t>
      </w:r>
      <w:proofErr w:type="spellStart"/>
      <w:r w:rsidRPr="00365117">
        <w:rPr>
          <w:sz w:val="20"/>
          <w:szCs w:val="20"/>
        </w:rPr>
        <w:t>Eclampsia</w:t>
      </w:r>
      <w:proofErr w:type="spellEnd"/>
      <w:r w:rsidRPr="00365117">
        <w:rPr>
          <w:sz w:val="20"/>
          <w:szCs w:val="20"/>
        </w:rPr>
        <w:t xml:space="preserve"> in Indian Women Journal of Women's Health, Issues &amp; Care 2014;3:6</w:t>
      </w:r>
    </w:p>
    <w:p w:rsidR="0074587F" w:rsidRPr="00365117" w:rsidRDefault="0074587F" w:rsidP="00365117">
      <w:pPr>
        <w:pStyle w:val="ListParagraph"/>
        <w:numPr>
          <w:ilvl w:val="0"/>
          <w:numId w:val="5"/>
        </w:numPr>
        <w:tabs>
          <w:tab w:val="left" w:pos="1047"/>
        </w:tabs>
        <w:spacing w:line="360" w:lineRule="auto"/>
        <w:rPr>
          <w:sz w:val="20"/>
          <w:szCs w:val="20"/>
        </w:rPr>
      </w:pPr>
      <w:proofErr w:type="spellStart"/>
      <w:r w:rsidRPr="00365117">
        <w:rPr>
          <w:sz w:val="20"/>
          <w:szCs w:val="20"/>
        </w:rPr>
        <w:t>Parveen</w:t>
      </w:r>
      <w:proofErr w:type="spellEnd"/>
      <w:r w:rsidRPr="00365117">
        <w:rPr>
          <w:sz w:val="20"/>
          <w:szCs w:val="20"/>
        </w:rPr>
        <w:t xml:space="preserve"> S, </w:t>
      </w:r>
      <w:proofErr w:type="spellStart"/>
      <w:r w:rsidRPr="00365117">
        <w:rPr>
          <w:sz w:val="20"/>
          <w:szCs w:val="20"/>
        </w:rPr>
        <w:t>Suseela</w:t>
      </w:r>
      <w:proofErr w:type="spellEnd"/>
      <w:r w:rsidRPr="00365117">
        <w:rPr>
          <w:sz w:val="20"/>
          <w:szCs w:val="20"/>
        </w:rPr>
        <w:t xml:space="preserve"> TL, </w:t>
      </w:r>
      <w:proofErr w:type="spellStart"/>
      <w:r w:rsidRPr="00365117">
        <w:rPr>
          <w:sz w:val="20"/>
          <w:szCs w:val="20"/>
        </w:rPr>
        <w:t>Yojitha</w:t>
      </w:r>
      <w:proofErr w:type="spellEnd"/>
      <w:r w:rsidRPr="00365117">
        <w:rPr>
          <w:sz w:val="20"/>
          <w:szCs w:val="20"/>
        </w:rPr>
        <w:t xml:space="preserve"> C </w:t>
      </w:r>
      <w:proofErr w:type="spellStart"/>
      <w:r w:rsidRPr="00365117">
        <w:rPr>
          <w:sz w:val="20"/>
          <w:szCs w:val="20"/>
        </w:rPr>
        <w:t>etal</w:t>
      </w:r>
      <w:proofErr w:type="spellEnd"/>
      <w:r w:rsidRPr="00365117">
        <w:rPr>
          <w:sz w:val="20"/>
          <w:szCs w:val="20"/>
        </w:rPr>
        <w:t xml:space="preserve"> Comparison of high dose and low dose calcium intake to prevent Preeclampsia and </w:t>
      </w:r>
      <w:proofErr w:type="spellStart"/>
      <w:r w:rsidRPr="00365117">
        <w:rPr>
          <w:sz w:val="20"/>
          <w:szCs w:val="20"/>
        </w:rPr>
        <w:t>eclampsia</w:t>
      </w:r>
      <w:proofErr w:type="spellEnd"/>
      <w:r w:rsidRPr="00365117">
        <w:rPr>
          <w:sz w:val="20"/>
          <w:szCs w:val="20"/>
        </w:rPr>
        <w:t xml:space="preserve"> International Journal of Research and Review 2018;</w:t>
      </w:r>
      <w:r w:rsidRPr="00365117">
        <w:rPr>
          <w:spacing w:val="-1"/>
          <w:sz w:val="20"/>
          <w:szCs w:val="20"/>
        </w:rPr>
        <w:t xml:space="preserve"> </w:t>
      </w:r>
      <w:r w:rsidRPr="00365117">
        <w:rPr>
          <w:sz w:val="20"/>
          <w:szCs w:val="20"/>
        </w:rPr>
        <w:t>5(8):133-139)</w:t>
      </w:r>
    </w:p>
    <w:p w:rsidR="0074587F" w:rsidRPr="00365117" w:rsidRDefault="0074587F" w:rsidP="00365117">
      <w:pPr>
        <w:pStyle w:val="ListParagraph"/>
        <w:numPr>
          <w:ilvl w:val="0"/>
          <w:numId w:val="5"/>
        </w:numPr>
        <w:tabs>
          <w:tab w:val="left" w:pos="925"/>
        </w:tabs>
        <w:spacing w:line="360" w:lineRule="auto"/>
        <w:rPr>
          <w:sz w:val="20"/>
          <w:szCs w:val="20"/>
        </w:rPr>
      </w:pPr>
      <w:proofErr w:type="spellStart"/>
      <w:r w:rsidRPr="00365117">
        <w:rPr>
          <w:sz w:val="20"/>
          <w:szCs w:val="20"/>
        </w:rPr>
        <w:lastRenderedPageBreak/>
        <w:t>Norwitz</w:t>
      </w:r>
      <w:proofErr w:type="spellEnd"/>
      <w:r w:rsidRPr="00365117">
        <w:rPr>
          <w:sz w:val="20"/>
          <w:szCs w:val="20"/>
        </w:rPr>
        <w:t xml:space="preserve"> &amp; </w:t>
      </w:r>
      <w:proofErr w:type="spellStart"/>
      <w:r w:rsidRPr="00365117">
        <w:rPr>
          <w:sz w:val="20"/>
          <w:szCs w:val="20"/>
        </w:rPr>
        <w:t>Repke</w:t>
      </w:r>
      <w:proofErr w:type="spellEnd"/>
      <w:r w:rsidRPr="00365117">
        <w:rPr>
          <w:sz w:val="20"/>
          <w:szCs w:val="20"/>
        </w:rPr>
        <w:t xml:space="preserve"> American NHLBI National High Blood Pressure Education Program; College of Obstetricians and Gynecologists (ACOG);</w:t>
      </w:r>
      <w:r w:rsidRPr="00365117">
        <w:rPr>
          <w:spacing w:val="2"/>
          <w:sz w:val="20"/>
          <w:szCs w:val="20"/>
        </w:rPr>
        <w:t xml:space="preserve"> </w:t>
      </w:r>
      <w:r w:rsidRPr="00365117">
        <w:rPr>
          <w:sz w:val="20"/>
          <w:szCs w:val="20"/>
        </w:rPr>
        <w:t>2009</w:t>
      </w:r>
    </w:p>
    <w:p w:rsidR="0074587F" w:rsidRPr="00365117" w:rsidRDefault="0074587F" w:rsidP="00365117">
      <w:pPr>
        <w:pStyle w:val="ListParagraph"/>
        <w:numPr>
          <w:ilvl w:val="0"/>
          <w:numId w:val="5"/>
        </w:numPr>
        <w:tabs>
          <w:tab w:val="left" w:pos="925"/>
        </w:tabs>
        <w:spacing w:line="360" w:lineRule="auto"/>
        <w:rPr>
          <w:sz w:val="20"/>
          <w:szCs w:val="20"/>
        </w:rPr>
      </w:pPr>
      <w:proofErr w:type="spellStart"/>
      <w:r w:rsidRPr="00365117">
        <w:rPr>
          <w:sz w:val="20"/>
          <w:szCs w:val="20"/>
        </w:rPr>
        <w:t>Hortin</w:t>
      </w:r>
      <w:proofErr w:type="spellEnd"/>
      <w:r w:rsidRPr="00365117">
        <w:rPr>
          <w:sz w:val="20"/>
          <w:szCs w:val="20"/>
        </w:rPr>
        <w:t xml:space="preserve"> GL Renal function test In: </w:t>
      </w:r>
      <w:proofErr w:type="spellStart"/>
      <w:r w:rsidRPr="00365117">
        <w:rPr>
          <w:sz w:val="20"/>
          <w:szCs w:val="20"/>
        </w:rPr>
        <w:t>Burtis</w:t>
      </w:r>
      <w:proofErr w:type="spellEnd"/>
      <w:r w:rsidRPr="00365117">
        <w:rPr>
          <w:sz w:val="20"/>
          <w:szCs w:val="20"/>
        </w:rPr>
        <w:t xml:space="preserve"> CA, </w:t>
      </w:r>
      <w:proofErr w:type="spellStart"/>
      <w:r w:rsidRPr="00365117">
        <w:rPr>
          <w:sz w:val="20"/>
          <w:szCs w:val="20"/>
        </w:rPr>
        <w:t>Ashwood</w:t>
      </w:r>
      <w:proofErr w:type="spellEnd"/>
      <w:r w:rsidRPr="00365117">
        <w:rPr>
          <w:sz w:val="20"/>
          <w:szCs w:val="20"/>
        </w:rPr>
        <w:t xml:space="preserve"> ER, Burns DE, editors </w:t>
      </w:r>
      <w:proofErr w:type="spellStart"/>
      <w:r w:rsidRPr="00365117">
        <w:rPr>
          <w:sz w:val="20"/>
          <w:szCs w:val="20"/>
        </w:rPr>
        <w:t>Tietz</w:t>
      </w:r>
      <w:proofErr w:type="spellEnd"/>
      <w:r w:rsidRPr="00365117">
        <w:rPr>
          <w:sz w:val="20"/>
          <w:szCs w:val="20"/>
        </w:rPr>
        <w:t xml:space="preserve"> textbook of clinical chemistry and molecular diagnostics 5th </w:t>
      </w:r>
      <w:proofErr w:type="spellStart"/>
      <w:r w:rsidRPr="00365117">
        <w:rPr>
          <w:sz w:val="20"/>
          <w:szCs w:val="20"/>
        </w:rPr>
        <w:t>ed</w:t>
      </w:r>
      <w:proofErr w:type="spellEnd"/>
      <w:r w:rsidRPr="00365117">
        <w:rPr>
          <w:sz w:val="20"/>
          <w:szCs w:val="20"/>
        </w:rPr>
        <w:t xml:space="preserve"> Elsevier; 2011 821</w:t>
      </w:r>
    </w:p>
    <w:p w:rsidR="0074587F" w:rsidRPr="00365117" w:rsidRDefault="0074587F" w:rsidP="00365117">
      <w:pPr>
        <w:pStyle w:val="ListParagraph"/>
        <w:numPr>
          <w:ilvl w:val="0"/>
          <w:numId w:val="5"/>
        </w:numPr>
        <w:tabs>
          <w:tab w:val="left" w:pos="962"/>
        </w:tabs>
        <w:spacing w:line="360" w:lineRule="auto"/>
        <w:rPr>
          <w:sz w:val="20"/>
          <w:szCs w:val="20"/>
        </w:rPr>
      </w:pPr>
      <w:proofErr w:type="spellStart"/>
      <w:r w:rsidRPr="00365117">
        <w:rPr>
          <w:sz w:val="20"/>
          <w:szCs w:val="20"/>
        </w:rPr>
        <w:t>Strevens</w:t>
      </w:r>
      <w:proofErr w:type="spellEnd"/>
      <w:r w:rsidRPr="00365117">
        <w:rPr>
          <w:sz w:val="20"/>
          <w:szCs w:val="20"/>
        </w:rPr>
        <w:t xml:space="preserve"> H, Wide-</w:t>
      </w:r>
      <w:proofErr w:type="spellStart"/>
      <w:r w:rsidRPr="00365117">
        <w:rPr>
          <w:sz w:val="20"/>
          <w:szCs w:val="20"/>
        </w:rPr>
        <w:t>Swensson</w:t>
      </w:r>
      <w:proofErr w:type="spellEnd"/>
      <w:r w:rsidRPr="00365117">
        <w:rPr>
          <w:sz w:val="20"/>
          <w:szCs w:val="20"/>
        </w:rPr>
        <w:t xml:space="preserve"> D, Grubb A, Hansen A, Horn T, </w:t>
      </w:r>
      <w:proofErr w:type="spellStart"/>
      <w:r w:rsidRPr="00365117">
        <w:rPr>
          <w:sz w:val="20"/>
          <w:szCs w:val="20"/>
        </w:rPr>
        <w:t>Ingemarsson</w:t>
      </w:r>
      <w:proofErr w:type="spellEnd"/>
      <w:r w:rsidRPr="00365117">
        <w:rPr>
          <w:sz w:val="20"/>
          <w:szCs w:val="20"/>
        </w:rPr>
        <w:t xml:space="preserve"> I, Larsen S, et al Serum </w:t>
      </w:r>
      <w:proofErr w:type="spellStart"/>
      <w:r w:rsidRPr="00365117">
        <w:rPr>
          <w:sz w:val="20"/>
          <w:szCs w:val="20"/>
        </w:rPr>
        <w:t>Cystatin</w:t>
      </w:r>
      <w:proofErr w:type="spellEnd"/>
      <w:r w:rsidRPr="00365117">
        <w:rPr>
          <w:sz w:val="20"/>
          <w:szCs w:val="20"/>
        </w:rPr>
        <w:t xml:space="preserve"> C reflects glomerular </w:t>
      </w:r>
      <w:proofErr w:type="spellStart"/>
      <w:r w:rsidRPr="00365117">
        <w:rPr>
          <w:sz w:val="20"/>
          <w:szCs w:val="20"/>
        </w:rPr>
        <w:t>endotheliosis</w:t>
      </w:r>
      <w:proofErr w:type="spellEnd"/>
      <w:r w:rsidRPr="00365117">
        <w:rPr>
          <w:sz w:val="20"/>
          <w:szCs w:val="20"/>
        </w:rPr>
        <w:t xml:space="preserve"> in normal, hypertensive and pre- </w:t>
      </w:r>
      <w:proofErr w:type="spellStart"/>
      <w:r w:rsidRPr="00365117">
        <w:rPr>
          <w:sz w:val="20"/>
          <w:szCs w:val="20"/>
        </w:rPr>
        <w:t>eclamptic</w:t>
      </w:r>
      <w:proofErr w:type="spellEnd"/>
      <w:r w:rsidRPr="00365117">
        <w:rPr>
          <w:sz w:val="20"/>
          <w:szCs w:val="20"/>
        </w:rPr>
        <w:t xml:space="preserve"> pregnancies BJOG 2003; 110: 825-830</w:t>
      </w:r>
    </w:p>
    <w:p w:rsidR="0074587F" w:rsidRPr="00365117" w:rsidRDefault="0074587F" w:rsidP="00365117">
      <w:pPr>
        <w:pStyle w:val="ListParagraph"/>
        <w:numPr>
          <w:ilvl w:val="0"/>
          <w:numId w:val="5"/>
        </w:numPr>
        <w:tabs>
          <w:tab w:val="left" w:pos="962"/>
        </w:tabs>
        <w:spacing w:line="360" w:lineRule="auto"/>
        <w:rPr>
          <w:sz w:val="20"/>
          <w:szCs w:val="20"/>
        </w:rPr>
      </w:pPr>
      <w:r w:rsidRPr="00365117">
        <w:rPr>
          <w:sz w:val="20"/>
          <w:szCs w:val="20"/>
        </w:rPr>
        <w:t xml:space="preserve">Cunningham F, </w:t>
      </w:r>
      <w:proofErr w:type="spellStart"/>
      <w:r w:rsidRPr="00365117">
        <w:rPr>
          <w:sz w:val="20"/>
          <w:szCs w:val="20"/>
        </w:rPr>
        <w:t>Leveno</w:t>
      </w:r>
      <w:proofErr w:type="spellEnd"/>
      <w:r w:rsidRPr="00365117">
        <w:rPr>
          <w:sz w:val="20"/>
          <w:szCs w:val="20"/>
        </w:rPr>
        <w:t xml:space="preserve"> K, Bloom S, </w:t>
      </w:r>
      <w:proofErr w:type="spellStart"/>
      <w:r w:rsidRPr="00365117">
        <w:rPr>
          <w:sz w:val="20"/>
          <w:szCs w:val="20"/>
        </w:rPr>
        <w:t>Houth</w:t>
      </w:r>
      <w:proofErr w:type="spellEnd"/>
      <w:r w:rsidRPr="00365117">
        <w:rPr>
          <w:sz w:val="20"/>
          <w:szCs w:val="20"/>
        </w:rPr>
        <w:t xml:space="preserve"> J, Rouse D, </w:t>
      </w:r>
      <w:proofErr w:type="spellStart"/>
      <w:r w:rsidRPr="00365117">
        <w:rPr>
          <w:sz w:val="20"/>
          <w:szCs w:val="20"/>
        </w:rPr>
        <w:t>Spong</w:t>
      </w:r>
      <w:proofErr w:type="spellEnd"/>
      <w:r w:rsidRPr="00365117">
        <w:rPr>
          <w:sz w:val="20"/>
          <w:szCs w:val="20"/>
        </w:rPr>
        <w:t xml:space="preserve"> C Hypertension In Pregnancy: William‘s Obstetrics 23rd ed. New Delhi: </w:t>
      </w:r>
      <w:proofErr w:type="spellStart"/>
      <w:r w:rsidRPr="00365117">
        <w:rPr>
          <w:sz w:val="20"/>
          <w:szCs w:val="20"/>
        </w:rPr>
        <w:t>Mc</w:t>
      </w:r>
      <w:proofErr w:type="spellEnd"/>
      <w:r w:rsidRPr="00365117">
        <w:rPr>
          <w:sz w:val="20"/>
          <w:szCs w:val="20"/>
        </w:rPr>
        <w:t xml:space="preserve"> </w:t>
      </w:r>
      <w:proofErr w:type="spellStart"/>
      <w:r w:rsidRPr="00365117">
        <w:rPr>
          <w:sz w:val="20"/>
          <w:szCs w:val="20"/>
        </w:rPr>
        <w:t>Graw</w:t>
      </w:r>
      <w:proofErr w:type="spellEnd"/>
      <w:r w:rsidRPr="00365117">
        <w:rPr>
          <w:sz w:val="20"/>
          <w:szCs w:val="20"/>
        </w:rPr>
        <w:t xml:space="preserve"> Hill Companies; 2010 p 706– 56</w:t>
      </w:r>
    </w:p>
    <w:p w:rsidR="0074587F" w:rsidRPr="00365117" w:rsidRDefault="0074587F" w:rsidP="00365117">
      <w:pPr>
        <w:pStyle w:val="ListParagraph"/>
        <w:numPr>
          <w:ilvl w:val="0"/>
          <w:numId w:val="5"/>
        </w:numPr>
        <w:tabs>
          <w:tab w:val="left" w:pos="1082"/>
        </w:tabs>
        <w:spacing w:line="360" w:lineRule="auto"/>
        <w:rPr>
          <w:sz w:val="20"/>
          <w:szCs w:val="20"/>
        </w:rPr>
      </w:pPr>
      <w:proofErr w:type="spellStart"/>
      <w:r w:rsidRPr="00365117">
        <w:rPr>
          <w:sz w:val="20"/>
          <w:szCs w:val="20"/>
        </w:rPr>
        <w:t>Cataldi</w:t>
      </w:r>
      <w:proofErr w:type="spellEnd"/>
      <w:r w:rsidRPr="00365117">
        <w:rPr>
          <w:sz w:val="20"/>
          <w:szCs w:val="20"/>
        </w:rPr>
        <w:t xml:space="preserve"> </w:t>
      </w:r>
      <w:r w:rsidRPr="00365117">
        <w:rPr>
          <w:spacing w:val="-3"/>
          <w:sz w:val="20"/>
          <w:szCs w:val="20"/>
        </w:rPr>
        <w:t xml:space="preserve">L, </w:t>
      </w:r>
      <w:proofErr w:type="spellStart"/>
      <w:r w:rsidRPr="00365117">
        <w:rPr>
          <w:sz w:val="20"/>
          <w:szCs w:val="20"/>
        </w:rPr>
        <w:t>Mussap</w:t>
      </w:r>
      <w:proofErr w:type="spellEnd"/>
      <w:r w:rsidRPr="00365117">
        <w:rPr>
          <w:sz w:val="20"/>
          <w:szCs w:val="20"/>
        </w:rPr>
        <w:t xml:space="preserve"> M, </w:t>
      </w:r>
      <w:proofErr w:type="spellStart"/>
      <w:r w:rsidRPr="00365117">
        <w:rPr>
          <w:sz w:val="20"/>
          <w:szCs w:val="20"/>
        </w:rPr>
        <w:t>Bertelli</w:t>
      </w:r>
      <w:proofErr w:type="spellEnd"/>
      <w:r w:rsidRPr="00365117">
        <w:rPr>
          <w:sz w:val="20"/>
          <w:szCs w:val="20"/>
        </w:rPr>
        <w:t xml:space="preserve"> L, </w:t>
      </w:r>
      <w:proofErr w:type="spellStart"/>
      <w:r w:rsidRPr="00365117">
        <w:rPr>
          <w:sz w:val="20"/>
          <w:szCs w:val="20"/>
        </w:rPr>
        <w:t>Ruzzante</w:t>
      </w:r>
      <w:proofErr w:type="spellEnd"/>
      <w:r w:rsidRPr="00365117">
        <w:rPr>
          <w:sz w:val="20"/>
          <w:szCs w:val="20"/>
        </w:rPr>
        <w:t xml:space="preserve"> N, </w:t>
      </w:r>
      <w:proofErr w:type="spellStart"/>
      <w:r w:rsidRPr="00365117">
        <w:rPr>
          <w:sz w:val="20"/>
          <w:szCs w:val="20"/>
        </w:rPr>
        <w:t>Fanos</w:t>
      </w:r>
      <w:proofErr w:type="spellEnd"/>
      <w:r w:rsidRPr="00365117">
        <w:rPr>
          <w:sz w:val="20"/>
          <w:szCs w:val="20"/>
        </w:rPr>
        <w:t xml:space="preserve"> V, </w:t>
      </w:r>
      <w:proofErr w:type="spellStart"/>
      <w:r w:rsidRPr="00365117">
        <w:rPr>
          <w:sz w:val="20"/>
          <w:szCs w:val="20"/>
        </w:rPr>
        <w:t>Plebani</w:t>
      </w:r>
      <w:proofErr w:type="spellEnd"/>
      <w:r w:rsidRPr="00365117">
        <w:rPr>
          <w:sz w:val="20"/>
          <w:szCs w:val="20"/>
        </w:rPr>
        <w:t xml:space="preserve"> M </w:t>
      </w:r>
      <w:proofErr w:type="spellStart"/>
      <w:r w:rsidRPr="00365117">
        <w:rPr>
          <w:sz w:val="20"/>
          <w:szCs w:val="20"/>
        </w:rPr>
        <w:t>Cystatin</w:t>
      </w:r>
      <w:proofErr w:type="spellEnd"/>
      <w:r w:rsidRPr="00365117">
        <w:rPr>
          <w:sz w:val="20"/>
          <w:szCs w:val="20"/>
        </w:rPr>
        <w:t xml:space="preserve"> C in healthy women at term pregnancy and in their infant newborns: relationship between maternal and neonatal serum levels and reference values Am J </w:t>
      </w:r>
      <w:proofErr w:type="spellStart"/>
      <w:r w:rsidRPr="00365117">
        <w:rPr>
          <w:sz w:val="20"/>
          <w:szCs w:val="20"/>
        </w:rPr>
        <w:t>Perinatol</w:t>
      </w:r>
      <w:proofErr w:type="spellEnd"/>
      <w:r w:rsidRPr="00365117">
        <w:rPr>
          <w:spacing w:val="-2"/>
          <w:sz w:val="20"/>
          <w:szCs w:val="20"/>
        </w:rPr>
        <w:t xml:space="preserve"> </w:t>
      </w:r>
      <w:r w:rsidRPr="00365117">
        <w:rPr>
          <w:sz w:val="20"/>
          <w:szCs w:val="20"/>
        </w:rPr>
        <w:t>1999;16:287–95</w:t>
      </w:r>
    </w:p>
    <w:p w:rsidR="0074587F" w:rsidRPr="00365117" w:rsidRDefault="0074587F" w:rsidP="00365117">
      <w:pPr>
        <w:pStyle w:val="ListParagraph"/>
        <w:numPr>
          <w:ilvl w:val="0"/>
          <w:numId w:val="5"/>
        </w:numPr>
        <w:tabs>
          <w:tab w:val="left" w:pos="962"/>
        </w:tabs>
        <w:spacing w:line="360" w:lineRule="auto"/>
        <w:jc w:val="both"/>
        <w:rPr>
          <w:sz w:val="20"/>
          <w:szCs w:val="20"/>
        </w:rPr>
      </w:pPr>
      <w:proofErr w:type="spellStart"/>
      <w:r w:rsidRPr="00365117">
        <w:rPr>
          <w:sz w:val="20"/>
          <w:szCs w:val="20"/>
        </w:rPr>
        <w:t>Strevens</w:t>
      </w:r>
      <w:proofErr w:type="spellEnd"/>
      <w:r w:rsidRPr="00365117">
        <w:rPr>
          <w:sz w:val="20"/>
          <w:szCs w:val="20"/>
        </w:rPr>
        <w:t xml:space="preserve"> H, Wide-</w:t>
      </w:r>
      <w:proofErr w:type="spellStart"/>
      <w:r w:rsidRPr="00365117">
        <w:rPr>
          <w:sz w:val="20"/>
          <w:szCs w:val="20"/>
        </w:rPr>
        <w:t>Swensson</w:t>
      </w:r>
      <w:proofErr w:type="spellEnd"/>
      <w:r w:rsidRPr="00365117">
        <w:rPr>
          <w:sz w:val="20"/>
          <w:szCs w:val="20"/>
        </w:rPr>
        <w:t xml:space="preserve"> D, Grubb A Serum </w:t>
      </w:r>
      <w:proofErr w:type="spellStart"/>
      <w:r w:rsidRPr="00365117">
        <w:rPr>
          <w:sz w:val="20"/>
          <w:szCs w:val="20"/>
        </w:rPr>
        <w:t>Cystatin</w:t>
      </w:r>
      <w:proofErr w:type="spellEnd"/>
      <w:r w:rsidRPr="00365117">
        <w:rPr>
          <w:sz w:val="20"/>
          <w:szCs w:val="20"/>
        </w:rPr>
        <w:t xml:space="preserve"> C is a better marker for Preeclampsia than serum </w:t>
      </w:r>
      <w:proofErr w:type="spellStart"/>
      <w:r w:rsidRPr="00365117">
        <w:rPr>
          <w:sz w:val="20"/>
          <w:szCs w:val="20"/>
        </w:rPr>
        <w:t>creatinine</w:t>
      </w:r>
      <w:proofErr w:type="spellEnd"/>
      <w:r w:rsidRPr="00365117">
        <w:rPr>
          <w:sz w:val="20"/>
          <w:szCs w:val="20"/>
        </w:rPr>
        <w:t xml:space="preserve"> or serum </w:t>
      </w:r>
      <w:proofErr w:type="spellStart"/>
      <w:r w:rsidRPr="00365117">
        <w:rPr>
          <w:sz w:val="20"/>
          <w:szCs w:val="20"/>
        </w:rPr>
        <w:t>urate</w:t>
      </w:r>
      <w:proofErr w:type="spellEnd"/>
      <w:r w:rsidRPr="00365117">
        <w:rPr>
          <w:sz w:val="20"/>
          <w:szCs w:val="20"/>
        </w:rPr>
        <w:t xml:space="preserve"> </w:t>
      </w:r>
      <w:proofErr w:type="spellStart"/>
      <w:r w:rsidRPr="00365117">
        <w:rPr>
          <w:sz w:val="20"/>
          <w:szCs w:val="20"/>
        </w:rPr>
        <w:t>Scand</w:t>
      </w:r>
      <w:proofErr w:type="spellEnd"/>
      <w:r w:rsidRPr="00365117">
        <w:rPr>
          <w:sz w:val="20"/>
          <w:szCs w:val="20"/>
        </w:rPr>
        <w:t xml:space="preserve"> J </w:t>
      </w:r>
      <w:proofErr w:type="spellStart"/>
      <w:r w:rsidRPr="00365117">
        <w:rPr>
          <w:sz w:val="20"/>
          <w:szCs w:val="20"/>
        </w:rPr>
        <w:t>Clin</w:t>
      </w:r>
      <w:proofErr w:type="spellEnd"/>
      <w:r w:rsidRPr="00365117">
        <w:rPr>
          <w:sz w:val="20"/>
          <w:szCs w:val="20"/>
        </w:rPr>
        <w:t xml:space="preserve"> </w:t>
      </w:r>
      <w:r w:rsidRPr="00365117">
        <w:rPr>
          <w:spacing w:val="-3"/>
          <w:sz w:val="20"/>
          <w:szCs w:val="20"/>
        </w:rPr>
        <w:t xml:space="preserve">Lab </w:t>
      </w:r>
      <w:r w:rsidRPr="00365117">
        <w:rPr>
          <w:sz w:val="20"/>
          <w:szCs w:val="20"/>
        </w:rPr>
        <w:t xml:space="preserve">Invest 2001;61:575–580 74.Vikas R </w:t>
      </w:r>
      <w:proofErr w:type="spellStart"/>
      <w:r w:rsidRPr="00365117">
        <w:rPr>
          <w:sz w:val="20"/>
          <w:szCs w:val="20"/>
        </w:rPr>
        <w:t>Dharnidharka</w:t>
      </w:r>
      <w:proofErr w:type="spellEnd"/>
      <w:r w:rsidRPr="00365117">
        <w:rPr>
          <w:sz w:val="20"/>
          <w:szCs w:val="20"/>
        </w:rPr>
        <w:t xml:space="preserve">, Charles Kwon, Gary </w:t>
      </w:r>
      <w:proofErr w:type="spellStart"/>
      <w:r w:rsidRPr="00365117">
        <w:rPr>
          <w:sz w:val="20"/>
          <w:szCs w:val="20"/>
        </w:rPr>
        <w:t>Stevens,Serum</w:t>
      </w:r>
      <w:proofErr w:type="spellEnd"/>
      <w:r w:rsidRPr="00365117">
        <w:rPr>
          <w:sz w:val="20"/>
          <w:szCs w:val="20"/>
        </w:rPr>
        <w:t xml:space="preserve"> </w:t>
      </w:r>
      <w:proofErr w:type="spellStart"/>
      <w:r w:rsidRPr="00365117">
        <w:rPr>
          <w:sz w:val="20"/>
          <w:szCs w:val="20"/>
        </w:rPr>
        <w:t>Cystatin</w:t>
      </w:r>
      <w:proofErr w:type="spellEnd"/>
      <w:r w:rsidRPr="00365117">
        <w:rPr>
          <w:sz w:val="20"/>
          <w:szCs w:val="20"/>
        </w:rPr>
        <w:t xml:space="preserve"> C is superior to serum </w:t>
      </w:r>
      <w:proofErr w:type="spellStart"/>
      <w:r w:rsidRPr="00365117">
        <w:rPr>
          <w:sz w:val="20"/>
          <w:szCs w:val="20"/>
        </w:rPr>
        <w:t>creatinine</w:t>
      </w:r>
      <w:proofErr w:type="spellEnd"/>
      <w:r w:rsidRPr="00365117">
        <w:rPr>
          <w:sz w:val="20"/>
          <w:szCs w:val="20"/>
        </w:rPr>
        <w:t xml:space="preserve"> as a marker of kidney function: A meta-</w:t>
      </w:r>
      <w:proofErr w:type="spellStart"/>
      <w:r w:rsidRPr="00365117">
        <w:rPr>
          <w:sz w:val="20"/>
          <w:szCs w:val="20"/>
        </w:rPr>
        <w:t>analysis,American</w:t>
      </w:r>
      <w:proofErr w:type="spellEnd"/>
      <w:r w:rsidRPr="00365117">
        <w:rPr>
          <w:sz w:val="20"/>
          <w:szCs w:val="20"/>
        </w:rPr>
        <w:t xml:space="preserve"> Journal of Kidney Diseases,2002; 40(2),Pages</w:t>
      </w:r>
      <w:r w:rsidRPr="00365117">
        <w:rPr>
          <w:spacing w:val="-4"/>
          <w:sz w:val="20"/>
          <w:szCs w:val="20"/>
        </w:rPr>
        <w:t xml:space="preserve"> </w:t>
      </w:r>
      <w:r w:rsidRPr="00365117">
        <w:rPr>
          <w:sz w:val="20"/>
          <w:szCs w:val="20"/>
        </w:rPr>
        <w:t>221-226</w:t>
      </w:r>
    </w:p>
    <w:p w:rsidR="0074587F" w:rsidRPr="00365117" w:rsidRDefault="0074587F" w:rsidP="00365117">
      <w:pPr>
        <w:pStyle w:val="ListParagraph"/>
        <w:numPr>
          <w:ilvl w:val="0"/>
          <w:numId w:val="5"/>
        </w:numPr>
        <w:tabs>
          <w:tab w:val="left" w:pos="962"/>
        </w:tabs>
        <w:spacing w:line="360" w:lineRule="auto"/>
        <w:rPr>
          <w:sz w:val="20"/>
          <w:szCs w:val="20"/>
        </w:rPr>
      </w:pPr>
      <w:proofErr w:type="spellStart"/>
      <w:r w:rsidRPr="00365117">
        <w:rPr>
          <w:sz w:val="20"/>
          <w:szCs w:val="20"/>
        </w:rPr>
        <w:t>Sherif</w:t>
      </w:r>
      <w:proofErr w:type="spellEnd"/>
      <w:r w:rsidRPr="00365117">
        <w:rPr>
          <w:sz w:val="20"/>
          <w:szCs w:val="20"/>
        </w:rPr>
        <w:t xml:space="preserve"> </w:t>
      </w:r>
      <w:proofErr w:type="spellStart"/>
      <w:r w:rsidRPr="00365117">
        <w:rPr>
          <w:sz w:val="20"/>
          <w:szCs w:val="20"/>
        </w:rPr>
        <w:t>Saleh</w:t>
      </w:r>
      <w:proofErr w:type="spellEnd"/>
      <w:r w:rsidRPr="00365117">
        <w:rPr>
          <w:sz w:val="20"/>
          <w:szCs w:val="20"/>
        </w:rPr>
        <w:t xml:space="preserve">, </w:t>
      </w:r>
      <w:proofErr w:type="spellStart"/>
      <w:r w:rsidRPr="00365117">
        <w:rPr>
          <w:sz w:val="20"/>
          <w:szCs w:val="20"/>
        </w:rPr>
        <w:t>Antonios</w:t>
      </w:r>
      <w:proofErr w:type="spellEnd"/>
      <w:r w:rsidRPr="00365117">
        <w:rPr>
          <w:sz w:val="20"/>
          <w:szCs w:val="20"/>
        </w:rPr>
        <w:t xml:space="preserve"> V Antoniou, Kevin Harrington &amp; Joseph </w:t>
      </w:r>
      <w:proofErr w:type="spellStart"/>
      <w:r w:rsidRPr="00365117">
        <w:rPr>
          <w:sz w:val="20"/>
          <w:szCs w:val="20"/>
        </w:rPr>
        <w:t>Aquilina</w:t>
      </w:r>
      <w:proofErr w:type="spellEnd"/>
      <w:r w:rsidRPr="00365117">
        <w:rPr>
          <w:sz w:val="20"/>
          <w:szCs w:val="20"/>
        </w:rPr>
        <w:t xml:space="preserve"> Second Trimester Maternal Serum </w:t>
      </w:r>
      <w:proofErr w:type="spellStart"/>
      <w:r w:rsidRPr="00365117">
        <w:rPr>
          <w:sz w:val="20"/>
          <w:szCs w:val="20"/>
        </w:rPr>
        <w:t>Cystatin</w:t>
      </w:r>
      <w:proofErr w:type="spellEnd"/>
      <w:r w:rsidRPr="00365117">
        <w:rPr>
          <w:sz w:val="20"/>
          <w:szCs w:val="20"/>
        </w:rPr>
        <w:t xml:space="preserve"> C Levels in </w:t>
      </w:r>
      <w:proofErr w:type="spellStart"/>
      <w:r w:rsidRPr="00365117">
        <w:rPr>
          <w:sz w:val="20"/>
          <w:szCs w:val="20"/>
        </w:rPr>
        <w:t>Preeclamptic</w:t>
      </w:r>
      <w:proofErr w:type="spellEnd"/>
      <w:r w:rsidRPr="00365117">
        <w:rPr>
          <w:sz w:val="20"/>
          <w:szCs w:val="20"/>
        </w:rPr>
        <w:t xml:space="preserve"> and Normotensive Pregnancies: A Small Case-Control Study, Hypertension in Pregnancy,2010: 29(1), 112-119</w:t>
      </w:r>
    </w:p>
    <w:p w:rsidR="0074587F" w:rsidRPr="00365117" w:rsidRDefault="0074587F" w:rsidP="00365117">
      <w:pPr>
        <w:pStyle w:val="ListParagraph"/>
        <w:numPr>
          <w:ilvl w:val="0"/>
          <w:numId w:val="5"/>
        </w:numPr>
        <w:tabs>
          <w:tab w:val="left" w:pos="962"/>
        </w:tabs>
        <w:spacing w:line="360" w:lineRule="auto"/>
        <w:rPr>
          <w:sz w:val="20"/>
          <w:szCs w:val="20"/>
        </w:rPr>
      </w:pPr>
      <w:r w:rsidRPr="00365117">
        <w:rPr>
          <w:sz w:val="20"/>
          <w:szCs w:val="20"/>
        </w:rPr>
        <w:t xml:space="preserve">Hong Xia, Wang CH, Li ZQ, Gong SP, Zhou ZQ, </w:t>
      </w:r>
      <w:proofErr w:type="spellStart"/>
      <w:r w:rsidRPr="00365117">
        <w:rPr>
          <w:sz w:val="20"/>
          <w:szCs w:val="20"/>
        </w:rPr>
        <w:t>Leng</w:t>
      </w:r>
      <w:proofErr w:type="spellEnd"/>
      <w:r w:rsidRPr="00365117">
        <w:rPr>
          <w:sz w:val="20"/>
          <w:szCs w:val="20"/>
        </w:rPr>
        <w:t xml:space="preserve"> LZ, </w:t>
      </w:r>
      <w:proofErr w:type="spellStart"/>
      <w:r w:rsidRPr="00365117">
        <w:rPr>
          <w:sz w:val="20"/>
          <w:szCs w:val="20"/>
        </w:rPr>
        <w:t>Zhong</w:t>
      </w:r>
      <w:proofErr w:type="spellEnd"/>
      <w:r w:rsidRPr="00365117">
        <w:rPr>
          <w:sz w:val="20"/>
          <w:szCs w:val="20"/>
        </w:rPr>
        <w:t xml:space="preserve"> M The application of serum </w:t>
      </w:r>
      <w:proofErr w:type="spellStart"/>
      <w:r w:rsidRPr="00365117">
        <w:rPr>
          <w:sz w:val="20"/>
          <w:szCs w:val="20"/>
        </w:rPr>
        <w:t>Cystatin</w:t>
      </w:r>
      <w:proofErr w:type="spellEnd"/>
      <w:r w:rsidRPr="00365117">
        <w:rPr>
          <w:sz w:val="20"/>
          <w:szCs w:val="20"/>
        </w:rPr>
        <w:t xml:space="preserve"> C in estimating the renal function in women with Preeclampsia </w:t>
      </w:r>
      <w:proofErr w:type="spellStart"/>
      <w:r w:rsidRPr="00365117">
        <w:rPr>
          <w:sz w:val="20"/>
          <w:szCs w:val="20"/>
        </w:rPr>
        <w:t>Reprod</w:t>
      </w:r>
      <w:proofErr w:type="spellEnd"/>
      <w:r w:rsidRPr="00365117">
        <w:rPr>
          <w:sz w:val="20"/>
          <w:szCs w:val="20"/>
        </w:rPr>
        <w:t xml:space="preserve"> </w:t>
      </w:r>
      <w:proofErr w:type="spellStart"/>
      <w:r w:rsidRPr="00365117">
        <w:rPr>
          <w:sz w:val="20"/>
          <w:szCs w:val="20"/>
        </w:rPr>
        <w:t>Sci</w:t>
      </w:r>
      <w:proofErr w:type="spellEnd"/>
      <w:r w:rsidRPr="00365117">
        <w:rPr>
          <w:sz w:val="20"/>
          <w:szCs w:val="20"/>
        </w:rPr>
        <w:t xml:space="preserve"> 2012 Jul;19(7):712-7</w:t>
      </w:r>
    </w:p>
    <w:p w:rsidR="0074587F" w:rsidRPr="00365117" w:rsidRDefault="0074587F" w:rsidP="00365117">
      <w:pPr>
        <w:pStyle w:val="ListParagraph"/>
        <w:numPr>
          <w:ilvl w:val="0"/>
          <w:numId w:val="5"/>
        </w:numPr>
        <w:tabs>
          <w:tab w:val="left" w:pos="962"/>
        </w:tabs>
        <w:spacing w:line="360" w:lineRule="auto"/>
        <w:jc w:val="both"/>
        <w:rPr>
          <w:sz w:val="20"/>
          <w:szCs w:val="20"/>
        </w:rPr>
      </w:pPr>
      <w:r w:rsidRPr="00365117">
        <w:rPr>
          <w:sz w:val="20"/>
          <w:szCs w:val="20"/>
        </w:rPr>
        <w:t xml:space="preserve">Huang QT, </w:t>
      </w:r>
      <w:proofErr w:type="spellStart"/>
      <w:r w:rsidRPr="00365117">
        <w:rPr>
          <w:sz w:val="20"/>
          <w:szCs w:val="20"/>
        </w:rPr>
        <w:t>Zhong</w:t>
      </w:r>
      <w:proofErr w:type="spellEnd"/>
      <w:r w:rsidRPr="00365117">
        <w:rPr>
          <w:sz w:val="20"/>
          <w:szCs w:val="20"/>
        </w:rPr>
        <w:t xml:space="preserve"> M, </w:t>
      </w:r>
      <w:proofErr w:type="spellStart"/>
      <w:r w:rsidRPr="00365117">
        <w:rPr>
          <w:sz w:val="20"/>
          <w:szCs w:val="20"/>
        </w:rPr>
        <w:t>Tian</w:t>
      </w:r>
      <w:proofErr w:type="spellEnd"/>
      <w:r w:rsidRPr="00365117">
        <w:rPr>
          <w:sz w:val="20"/>
          <w:szCs w:val="20"/>
        </w:rPr>
        <w:t xml:space="preserve"> JW, </w:t>
      </w:r>
      <w:proofErr w:type="spellStart"/>
      <w:r w:rsidRPr="00365117">
        <w:rPr>
          <w:sz w:val="20"/>
          <w:szCs w:val="20"/>
        </w:rPr>
        <w:t>Hou</w:t>
      </w:r>
      <w:proofErr w:type="spellEnd"/>
      <w:r w:rsidRPr="00365117">
        <w:rPr>
          <w:sz w:val="20"/>
          <w:szCs w:val="20"/>
        </w:rPr>
        <w:t xml:space="preserve"> FF Higher plasma AOPP is associated with increased proteinuria excretion and decreased glomerular filtration rate </w:t>
      </w:r>
      <w:proofErr w:type="spellStart"/>
      <w:r w:rsidRPr="00365117">
        <w:rPr>
          <w:sz w:val="20"/>
          <w:szCs w:val="20"/>
        </w:rPr>
        <w:t>inpre-eclamptic</w:t>
      </w:r>
      <w:proofErr w:type="spellEnd"/>
      <w:r w:rsidRPr="00365117">
        <w:rPr>
          <w:sz w:val="20"/>
          <w:szCs w:val="20"/>
        </w:rPr>
        <w:t xml:space="preserve"> women Pregnancy </w:t>
      </w:r>
      <w:proofErr w:type="spellStart"/>
      <w:r w:rsidRPr="00365117">
        <w:rPr>
          <w:sz w:val="20"/>
          <w:szCs w:val="20"/>
        </w:rPr>
        <w:t>Hypertens</w:t>
      </w:r>
      <w:proofErr w:type="spellEnd"/>
      <w:r w:rsidRPr="00365117">
        <w:rPr>
          <w:sz w:val="20"/>
          <w:szCs w:val="20"/>
        </w:rPr>
        <w:t xml:space="preserve"> 2013</w:t>
      </w:r>
      <w:r w:rsidRPr="00365117">
        <w:rPr>
          <w:spacing w:val="-5"/>
          <w:sz w:val="20"/>
          <w:szCs w:val="20"/>
        </w:rPr>
        <w:t xml:space="preserve"> </w:t>
      </w:r>
      <w:r w:rsidRPr="00365117">
        <w:rPr>
          <w:sz w:val="20"/>
          <w:szCs w:val="20"/>
        </w:rPr>
        <w:t>Jan;3(1):16-20</w:t>
      </w:r>
    </w:p>
    <w:p w:rsidR="0074587F" w:rsidRDefault="0074587F" w:rsidP="00365117">
      <w:pPr>
        <w:pStyle w:val="ListParagraph"/>
        <w:numPr>
          <w:ilvl w:val="0"/>
          <w:numId w:val="5"/>
        </w:numPr>
        <w:tabs>
          <w:tab w:val="left" w:pos="962"/>
        </w:tabs>
        <w:spacing w:line="360" w:lineRule="auto"/>
        <w:jc w:val="both"/>
        <w:rPr>
          <w:sz w:val="20"/>
          <w:szCs w:val="20"/>
        </w:rPr>
      </w:pPr>
      <w:proofErr w:type="spellStart"/>
      <w:r w:rsidRPr="00365117">
        <w:rPr>
          <w:sz w:val="20"/>
          <w:szCs w:val="20"/>
        </w:rPr>
        <w:t>Yalamati</w:t>
      </w:r>
      <w:proofErr w:type="spellEnd"/>
      <w:r w:rsidRPr="00365117">
        <w:rPr>
          <w:sz w:val="20"/>
          <w:szCs w:val="20"/>
        </w:rPr>
        <w:t xml:space="preserve"> P, </w:t>
      </w:r>
      <w:proofErr w:type="spellStart"/>
      <w:r w:rsidRPr="00365117">
        <w:rPr>
          <w:sz w:val="20"/>
          <w:szCs w:val="20"/>
        </w:rPr>
        <w:t>Bhongir</w:t>
      </w:r>
      <w:proofErr w:type="spellEnd"/>
      <w:r w:rsidRPr="00365117">
        <w:rPr>
          <w:sz w:val="20"/>
          <w:szCs w:val="20"/>
        </w:rPr>
        <w:t xml:space="preserve"> AV, </w:t>
      </w:r>
      <w:proofErr w:type="spellStart"/>
      <w:r w:rsidRPr="00365117">
        <w:rPr>
          <w:sz w:val="20"/>
          <w:szCs w:val="20"/>
        </w:rPr>
        <w:t>Betha</w:t>
      </w:r>
      <w:proofErr w:type="spellEnd"/>
      <w:r w:rsidRPr="00365117">
        <w:rPr>
          <w:sz w:val="20"/>
          <w:szCs w:val="20"/>
        </w:rPr>
        <w:t xml:space="preserve"> K, </w:t>
      </w:r>
      <w:proofErr w:type="spellStart"/>
      <w:r w:rsidRPr="00365117">
        <w:rPr>
          <w:sz w:val="20"/>
          <w:szCs w:val="20"/>
        </w:rPr>
        <w:t>Verma</w:t>
      </w:r>
      <w:proofErr w:type="spellEnd"/>
      <w:r w:rsidRPr="00365117">
        <w:rPr>
          <w:sz w:val="20"/>
          <w:szCs w:val="20"/>
        </w:rPr>
        <w:t xml:space="preserve"> R, </w:t>
      </w:r>
      <w:proofErr w:type="spellStart"/>
      <w:r w:rsidRPr="00365117">
        <w:rPr>
          <w:sz w:val="20"/>
          <w:szCs w:val="20"/>
        </w:rPr>
        <w:t>Dandge</w:t>
      </w:r>
      <w:proofErr w:type="spellEnd"/>
      <w:r w:rsidRPr="00365117">
        <w:rPr>
          <w:sz w:val="20"/>
          <w:szCs w:val="20"/>
        </w:rPr>
        <w:t xml:space="preserve"> S Relationship of serum </w:t>
      </w:r>
      <w:proofErr w:type="spellStart"/>
      <w:r w:rsidRPr="00365117">
        <w:rPr>
          <w:sz w:val="20"/>
          <w:szCs w:val="20"/>
        </w:rPr>
        <w:t>uricacid</w:t>
      </w:r>
      <w:proofErr w:type="spellEnd"/>
      <w:r w:rsidRPr="00365117">
        <w:rPr>
          <w:sz w:val="20"/>
          <w:szCs w:val="20"/>
        </w:rPr>
        <w:t xml:space="preserve">, serum </w:t>
      </w:r>
      <w:proofErr w:type="spellStart"/>
      <w:r w:rsidRPr="00365117">
        <w:rPr>
          <w:sz w:val="20"/>
          <w:szCs w:val="20"/>
        </w:rPr>
        <w:t>creatinine</w:t>
      </w:r>
      <w:proofErr w:type="spellEnd"/>
      <w:r w:rsidRPr="00365117">
        <w:rPr>
          <w:sz w:val="20"/>
          <w:szCs w:val="20"/>
        </w:rPr>
        <w:t xml:space="preserve"> and serum </w:t>
      </w:r>
      <w:proofErr w:type="spellStart"/>
      <w:r w:rsidRPr="00365117">
        <w:rPr>
          <w:sz w:val="20"/>
          <w:szCs w:val="20"/>
        </w:rPr>
        <w:t>Cystatin</w:t>
      </w:r>
      <w:proofErr w:type="spellEnd"/>
      <w:r w:rsidRPr="00365117">
        <w:rPr>
          <w:sz w:val="20"/>
          <w:szCs w:val="20"/>
        </w:rPr>
        <w:t xml:space="preserve"> C with maternal and fetal outcomes </w:t>
      </w:r>
      <w:proofErr w:type="spellStart"/>
      <w:r w:rsidRPr="00365117">
        <w:rPr>
          <w:sz w:val="20"/>
          <w:szCs w:val="20"/>
        </w:rPr>
        <w:t>inrural</w:t>
      </w:r>
      <w:proofErr w:type="spellEnd"/>
      <w:r w:rsidRPr="00365117">
        <w:rPr>
          <w:sz w:val="20"/>
          <w:szCs w:val="20"/>
        </w:rPr>
        <w:t xml:space="preserve"> Indian pregnant women </w:t>
      </w:r>
      <w:proofErr w:type="spellStart"/>
      <w:r w:rsidRPr="00365117">
        <w:rPr>
          <w:sz w:val="20"/>
          <w:szCs w:val="20"/>
        </w:rPr>
        <w:t>Int</w:t>
      </w:r>
      <w:proofErr w:type="spellEnd"/>
      <w:r w:rsidRPr="00365117">
        <w:rPr>
          <w:sz w:val="20"/>
          <w:szCs w:val="20"/>
        </w:rPr>
        <w:t xml:space="preserve"> J </w:t>
      </w:r>
      <w:proofErr w:type="spellStart"/>
      <w:r w:rsidRPr="00365117">
        <w:rPr>
          <w:sz w:val="20"/>
          <w:szCs w:val="20"/>
        </w:rPr>
        <w:t>Reprod</w:t>
      </w:r>
      <w:proofErr w:type="spellEnd"/>
      <w:r w:rsidRPr="00365117">
        <w:rPr>
          <w:sz w:val="20"/>
          <w:szCs w:val="20"/>
        </w:rPr>
        <w:t xml:space="preserve"> </w:t>
      </w:r>
      <w:proofErr w:type="spellStart"/>
      <w:r w:rsidRPr="00365117">
        <w:rPr>
          <w:sz w:val="20"/>
          <w:szCs w:val="20"/>
        </w:rPr>
        <w:t>Contracept</w:t>
      </w:r>
      <w:proofErr w:type="spellEnd"/>
      <w:r w:rsidRPr="00365117">
        <w:rPr>
          <w:sz w:val="20"/>
          <w:szCs w:val="20"/>
        </w:rPr>
        <w:t xml:space="preserve"> </w:t>
      </w:r>
      <w:proofErr w:type="spellStart"/>
      <w:r w:rsidRPr="00365117">
        <w:rPr>
          <w:sz w:val="20"/>
          <w:szCs w:val="20"/>
        </w:rPr>
        <w:t>Obstet</w:t>
      </w:r>
      <w:proofErr w:type="spellEnd"/>
      <w:r w:rsidRPr="00365117">
        <w:rPr>
          <w:sz w:val="20"/>
          <w:szCs w:val="20"/>
        </w:rPr>
        <w:t xml:space="preserve"> </w:t>
      </w:r>
      <w:proofErr w:type="spellStart"/>
      <w:r w:rsidRPr="00365117">
        <w:rPr>
          <w:sz w:val="20"/>
          <w:szCs w:val="20"/>
        </w:rPr>
        <w:t>Gynecol</w:t>
      </w:r>
      <w:proofErr w:type="spellEnd"/>
      <w:r w:rsidRPr="00365117">
        <w:rPr>
          <w:sz w:val="20"/>
          <w:szCs w:val="20"/>
        </w:rPr>
        <w:t xml:space="preserve"> 2015Sep-Oct;4(5):1505-1510</w:t>
      </w:r>
    </w:p>
    <w:p w:rsidR="00D37F4B" w:rsidRPr="00365117" w:rsidRDefault="00D37F4B" w:rsidP="00D37F4B">
      <w:pPr>
        <w:pStyle w:val="ListParagraph"/>
        <w:tabs>
          <w:tab w:val="left" w:pos="962"/>
        </w:tabs>
        <w:spacing w:line="360" w:lineRule="auto"/>
        <w:rPr>
          <w:sz w:val="20"/>
          <w:szCs w:val="20"/>
        </w:rPr>
      </w:pP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Date of Submission:  </w:t>
      </w:r>
      <w:proofErr w:type="gramStart"/>
      <w:r w:rsidRPr="00D37F4B">
        <w:rPr>
          <w:rFonts w:ascii="Times New Roman" w:hAnsi="Times New Roman" w:cs="Times New Roman"/>
          <w:sz w:val="18"/>
          <w:szCs w:val="18"/>
        </w:rPr>
        <w:t>22  September</w:t>
      </w:r>
      <w:proofErr w:type="gramEnd"/>
      <w:r w:rsidRPr="00D37F4B">
        <w:rPr>
          <w:rFonts w:ascii="Times New Roman" w:hAnsi="Times New Roman" w:cs="Times New Roman"/>
          <w:sz w:val="18"/>
          <w:szCs w:val="18"/>
        </w:rPr>
        <w:t xml:space="preserve"> 2020</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Date of Publishing:  05 December 2020 </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Author Declaration:  Source of support: Nil, Conflict of interest: Nil </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Ethics Committee Approval obtained for this study? NA</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Was informed consent obtained from the subjects involved in the study?  YES</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For any images presented appropriate consent has been obtained from the subjects: NA</w:t>
      </w: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Plagiarism Checked: </w:t>
      </w:r>
      <w:proofErr w:type="spellStart"/>
      <w:r w:rsidRPr="00D37F4B">
        <w:rPr>
          <w:rFonts w:ascii="Times New Roman" w:hAnsi="Times New Roman" w:cs="Times New Roman"/>
          <w:sz w:val="18"/>
          <w:szCs w:val="18"/>
        </w:rPr>
        <w:t>Urkund</w:t>
      </w:r>
      <w:proofErr w:type="spellEnd"/>
      <w:r w:rsidRPr="00D37F4B">
        <w:rPr>
          <w:rFonts w:ascii="Times New Roman" w:hAnsi="Times New Roman" w:cs="Times New Roman"/>
          <w:sz w:val="18"/>
          <w:szCs w:val="18"/>
        </w:rPr>
        <w:t xml:space="preserve"> Software </w:t>
      </w:r>
    </w:p>
    <w:p w:rsid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Author work published under a Creative Commons Attribution 4.0 International License</w:t>
      </w:r>
    </w:p>
    <w:p w:rsidR="00D37F4B" w:rsidRDefault="00D37F4B" w:rsidP="00D37F4B">
      <w:pPr>
        <w:spacing w:after="0" w:line="360" w:lineRule="auto"/>
        <w:ind w:left="680"/>
        <w:rPr>
          <w:rFonts w:ascii="Times New Roman" w:hAnsi="Times New Roman" w:cs="Times New Roman"/>
          <w:sz w:val="18"/>
          <w:szCs w:val="18"/>
        </w:rPr>
      </w:pPr>
      <w:r w:rsidRPr="0072112F">
        <w:rPr>
          <w:rFonts w:ascii="Times New Roman" w:hAnsi="Times New Roman" w:cs="Times New Roman"/>
          <w:noProof/>
          <w:sz w:val="18"/>
          <w:szCs w:val="18"/>
          <w:lang w:eastAsia="en-IN"/>
        </w:rPr>
        <w:drawing>
          <wp:anchor distT="0" distB="0" distL="114300" distR="114300" simplePos="0" relativeHeight="251659264" behindDoc="0" locked="0" layoutInCell="1" allowOverlap="1" wp14:anchorId="25F330E8" wp14:editId="7DA804D3">
            <wp:simplePos x="0" y="0"/>
            <wp:positionH relativeFrom="column">
              <wp:posOffset>441960</wp:posOffset>
            </wp:positionH>
            <wp:positionV relativeFrom="paragraph">
              <wp:posOffset>55880</wp:posOffset>
            </wp:positionV>
            <wp:extent cx="570230" cy="426720"/>
            <wp:effectExtent l="0" t="0" r="1270" b="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7F4B" w:rsidRPr="00D37F4B" w:rsidRDefault="00D37F4B" w:rsidP="00D37F4B">
      <w:pPr>
        <w:spacing w:after="0" w:line="360" w:lineRule="auto"/>
        <w:ind w:left="680"/>
        <w:rPr>
          <w:rFonts w:ascii="Times New Roman" w:hAnsi="Times New Roman" w:cs="Times New Roman"/>
          <w:sz w:val="18"/>
          <w:szCs w:val="18"/>
        </w:rPr>
      </w:pPr>
    </w:p>
    <w:p w:rsidR="00D37F4B" w:rsidRDefault="00D37F4B" w:rsidP="00D37F4B">
      <w:pPr>
        <w:spacing w:after="0" w:line="360" w:lineRule="auto"/>
        <w:ind w:left="680"/>
        <w:rPr>
          <w:rFonts w:ascii="Times New Roman" w:hAnsi="Times New Roman" w:cs="Times New Roman"/>
          <w:sz w:val="18"/>
          <w:szCs w:val="18"/>
        </w:rPr>
      </w:pPr>
    </w:p>
    <w:p w:rsidR="00D37F4B" w:rsidRPr="00D37F4B" w:rsidRDefault="00D37F4B" w:rsidP="00D37F4B">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DOI: 10.36848/IJBAMR/2</w:t>
      </w:r>
      <w:r>
        <w:rPr>
          <w:rFonts w:ascii="Times New Roman" w:hAnsi="Times New Roman" w:cs="Times New Roman"/>
          <w:sz w:val="18"/>
          <w:szCs w:val="18"/>
        </w:rPr>
        <w:t>020/16215.55575</w:t>
      </w:r>
    </w:p>
    <w:sectPr w:rsidR="00D37F4B" w:rsidRPr="00D37F4B" w:rsidSect="00D37F4B">
      <w:headerReference w:type="default" r:id="rId9"/>
      <w:footerReference w:type="default" r:id="rId10"/>
      <w:pgSz w:w="11906" w:h="16838"/>
      <w:pgMar w:top="1440" w:right="1440" w:bottom="1440" w:left="1440"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23" w:rsidRDefault="004A4B23" w:rsidP="00D37F4B">
      <w:pPr>
        <w:spacing w:after="0" w:line="240" w:lineRule="auto"/>
      </w:pPr>
      <w:r>
        <w:separator/>
      </w:r>
    </w:p>
  </w:endnote>
  <w:endnote w:type="continuationSeparator" w:id="0">
    <w:p w:rsidR="004A4B23" w:rsidRDefault="004A4B23" w:rsidP="00D3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37F4B">
      <w:trPr>
        <w:trHeight w:val="360"/>
      </w:trPr>
      <w:tc>
        <w:tcPr>
          <w:tcW w:w="3500" w:type="pct"/>
        </w:tcPr>
        <w:p w:rsidR="00D37F4B" w:rsidRDefault="00D37F4B">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D37F4B" w:rsidRDefault="00D37F4B">
          <w:pPr>
            <w:pStyle w:val="Footer"/>
            <w:jc w:val="right"/>
            <w:rPr>
              <w:color w:val="FFFFFF" w:themeColor="background1"/>
            </w:rPr>
          </w:pPr>
          <w:r>
            <w:fldChar w:fldCharType="begin"/>
          </w:r>
          <w:r>
            <w:instrText xml:space="preserve"> PAGE    \* MERGEFORMAT </w:instrText>
          </w:r>
          <w:r>
            <w:fldChar w:fldCharType="separate"/>
          </w:r>
          <w:r w:rsidRPr="00D37F4B">
            <w:rPr>
              <w:noProof/>
              <w:color w:val="FFFFFF" w:themeColor="background1"/>
            </w:rPr>
            <w:t>62</w:t>
          </w:r>
          <w:r>
            <w:rPr>
              <w:noProof/>
              <w:color w:val="FFFFFF" w:themeColor="background1"/>
            </w:rPr>
            <w:fldChar w:fldCharType="end"/>
          </w:r>
        </w:p>
      </w:tc>
    </w:tr>
  </w:tbl>
  <w:p w:rsidR="00D37F4B" w:rsidRDefault="00D3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23" w:rsidRDefault="004A4B23" w:rsidP="00D37F4B">
      <w:pPr>
        <w:spacing w:after="0" w:line="240" w:lineRule="auto"/>
      </w:pPr>
      <w:r>
        <w:separator/>
      </w:r>
    </w:p>
  </w:footnote>
  <w:footnote w:type="continuationSeparator" w:id="0">
    <w:p w:rsidR="004A4B23" w:rsidRDefault="004A4B23" w:rsidP="00D37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4B" w:rsidRPr="00EC3B41" w:rsidRDefault="00D37F4B" w:rsidP="00D37F4B">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r w:rsidRPr="00EC3B41">
      <w:rPr>
        <w:rFonts w:ascii="Cambria" w:eastAsia="Cambria" w:hAnsi="Cambria" w:cs="Times New Roman"/>
        <w:sz w:val="20"/>
        <w:szCs w:val="24"/>
        <w:lang w:val="en-US"/>
      </w:rPr>
      <w:t>Indian Journal of Basic and Applied Medical Research; December 2020: Vol.-10, Issue- 1</w:t>
    </w:r>
    <w:proofErr w:type="gramStart"/>
    <w:r w:rsidRPr="00EC3B41">
      <w:rPr>
        <w:rFonts w:ascii="Cambria" w:eastAsia="Cambria" w:hAnsi="Cambria" w:cs="Times New Roman"/>
        <w:sz w:val="20"/>
        <w:szCs w:val="24"/>
        <w:lang w:val="en-US"/>
      </w:rPr>
      <w:t>,  P</w:t>
    </w:r>
    <w:proofErr w:type="gramEnd"/>
    <w:r w:rsidRPr="00EC3B41">
      <w:rPr>
        <w:rFonts w:ascii="Cambria" w:eastAsia="Cambria" w:hAnsi="Cambria" w:cs="Times New Roman"/>
        <w:sz w:val="20"/>
        <w:szCs w:val="24"/>
        <w:lang w:val="en-US"/>
      </w:rPr>
      <w:t xml:space="preserve">. </w:t>
    </w:r>
    <w:r>
      <w:rPr>
        <w:rFonts w:ascii="Cambria" w:eastAsia="Cambria" w:hAnsi="Cambria" w:cs="Times New Roman"/>
        <w:sz w:val="20"/>
        <w:szCs w:val="24"/>
        <w:lang w:val="en-US"/>
      </w:rPr>
      <w:t>62  - 67</w:t>
    </w:r>
  </w:p>
  <w:p w:rsidR="00D37F4B" w:rsidRPr="00EC3B41" w:rsidRDefault="00D37F4B" w:rsidP="00D37F4B">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rPr>
    </w:pPr>
    <w:r w:rsidRPr="00EC3B41">
      <w:rPr>
        <w:rFonts w:ascii="Cambria" w:eastAsia="Times New Roman" w:hAnsi="Cambria" w:cs="Calibri Light"/>
        <w:bCs/>
        <w:sz w:val="20"/>
        <w:szCs w:val="24"/>
        <w:shd w:val="clear" w:color="auto" w:fill="FFFFFF"/>
        <w:lang w:val="en-US"/>
      </w:rPr>
      <w:t xml:space="preserve">DOI: </w:t>
    </w:r>
    <w:r>
      <w:rPr>
        <w:rFonts w:ascii="Cambria" w:eastAsia="Times New Roman" w:hAnsi="Cambria" w:cs="Calibri Light"/>
        <w:bCs/>
        <w:sz w:val="20"/>
        <w:szCs w:val="24"/>
        <w:shd w:val="clear" w:color="auto" w:fill="FFFFFF"/>
        <w:lang w:val="en-US"/>
      </w:rPr>
      <w:t>10.36848/IJBAMR/2020/16215.555</w:t>
    </w:r>
    <w:r>
      <w:rPr>
        <w:rFonts w:ascii="Cambria" w:eastAsia="Times New Roman" w:hAnsi="Cambria" w:cs="Calibri Light"/>
        <w:bCs/>
        <w:sz w:val="20"/>
        <w:szCs w:val="24"/>
        <w:shd w:val="clear" w:color="auto" w:fill="FFFFFF"/>
        <w:lang w:val="en-US"/>
      </w:rPr>
      <w:t>75</w:t>
    </w:r>
  </w:p>
  <w:p w:rsidR="00D37F4B" w:rsidRDefault="00D37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B6F"/>
    <w:multiLevelType w:val="hybridMultilevel"/>
    <w:tmpl w:val="C590C2F4"/>
    <w:lvl w:ilvl="0" w:tplc="ADE229F0">
      <w:start w:val="1"/>
      <w:numFmt w:val="decimal"/>
      <w:lvlText w:val="%1)"/>
      <w:lvlJc w:val="left"/>
      <w:pPr>
        <w:ind w:left="660" w:hanging="274"/>
        <w:jc w:val="left"/>
      </w:pPr>
      <w:rPr>
        <w:rFonts w:ascii="Times New Roman" w:eastAsia="Times New Roman" w:hAnsi="Times New Roman" w:cs="Times New Roman" w:hint="default"/>
        <w:w w:val="99"/>
        <w:sz w:val="24"/>
        <w:szCs w:val="24"/>
        <w:lang w:val="en-US" w:eastAsia="en-US" w:bidi="ar-SA"/>
      </w:rPr>
    </w:lvl>
    <w:lvl w:ilvl="1" w:tplc="5C78EEBE">
      <w:numFmt w:val="bullet"/>
      <w:lvlText w:val="•"/>
      <w:lvlJc w:val="left"/>
      <w:pPr>
        <w:ind w:left="1652" w:hanging="274"/>
      </w:pPr>
      <w:rPr>
        <w:rFonts w:hint="default"/>
        <w:lang w:val="en-US" w:eastAsia="en-US" w:bidi="ar-SA"/>
      </w:rPr>
    </w:lvl>
    <w:lvl w:ilvl="2" w:tplc="78ACE1E8">
      <w:numFmt w:val="bullet"/>
      <w:lvlText w:val="•"/>
      <w:lvlJc w:val="left"/>
      <w:pPr>
        <w:ind w:left="2645" w:hanging="274"/>
      </w:pPr>
      <w:rPr>
        <w:rFonts w:hint="default"/>
        <w:lang w:val="en-US" w:eastAsia="en-US" w:bidi="ar-SA"/>
      </w:rPr>
    </w:lvl>
    <w:lvl w:ilvl="3" w:tplc="26F84EF4">
      <w:numFmt w:val="bullet"/>
      <w:lvlText w:val="•"/>
      <w:lvlJc w:val="left"/>
      <w:pPr>
        <w:ind w:left="3637" w:hanging="274"/>
      </w:pPr>
      <w:rPr>
        <w:rFonts w:hint="default"/>
        <w:lang w:val="en-US" w:eastAsia="en-US" w:bidi="ar-SA"/>
      </w:rPr>
    </w:lvl>
    <w:lvl w:ilvl="4" w:tplc="4B927982">
      <w:numFmt w:val="bullet"/>
      <w:lvlText w:val="•"/>
      <w:lvlJc w:val="left"/>
      <w:pPr>
        <w:ind w:left="4630" w:hanging="274"/>
      </w:pPr>
      <w:rPr>
        <w:rFonts w:hint="default"/>
        <w:lang w:val="en-US" w:eastAsia="en-US" w:bidi="ar-SA"/>
      </w:rPr>
    </w:lvl>
    <w:lvl w:ilvl="5" w:tplc="E5B61542">
      <w:numFmt w:val="bullet"/>
      <w:lvlText w:val="•"/>
      <w:lvlJc w:val="left"/>
      <w:pPr>
        <w:ind w:left="5623" w:hanging="274"/>
      </w:pPr>
      <w:rPr>
        <w:rFonts w:hint="default"/>
        <w:lang w:val="en-US" w:eastAsia="en-US" w:bidi="ar-SA"/>
      </w:rPr>
    </w:lvl>
    <w:lvl w:ilvl="6" w:tplc="ECBCB16A">
      <w:numFmt w:val="bullet"/>
      <w:lvlText w:val="•"/>
      <w:lvlJc w:val="left"/>
      <w:pPr>
        <w:ind w:left="6615" w:hanging="274"/>
      </w:pPr>
      <w:rPr>
        <w:rFonts w:hint="default"/>
        <w:lang w:val="en-US" w:eastAsia="en-US" w:bidi="ar-SA"/>
      </w:rPr>
    </w:lvl>
    <w:lvl w:ilvl="7" w:tplc="A91295D2">
      <w:numFmt w:val="bullet"/>
      <w:lvlText w:val="•"/>
      <w:lvlJc w:val="left"/>
      <w:pPr>
        <w:ind w:left="7608" w:hanging="274"/>
      </w:pPr>
      <w:rPr>
        <w:rFonts w:hint="default"/>
        <w:lang w:val="en-US" w:eastAsia="en-US" w:bidi="ar-SA"/>
      </w:rPr>
    </w:lvl>
    <w:lvl w:ilvl="8" w:tplc="43F69BEE">
      <w:numFmt w:val="bullet"/>
      <w:lvlText w:val="•"/>
      <w:lvlJc w:val="left"/>
      <w:pPr>
        <w:ind w:left="8601" w:hanging="274"/>
      </w:pPr>
      <w:rPr>
        <w:rFonts w:hint="default"/>
        <w:lang w:val="en-US" w:eastAsia="en-US" w:bidi="ar-SA"/>
      </w:rPr>
    </w:lvl>
  </w:abstractNum>
  <w:abstractNum w:abstractNumId="1">
    <w:nsid w:val="1A666D9C"/>
    <w:multiLevelType w:val="hybridMultilevel"/>
    <w:tmpl w:val="A1D0458E"/>
    <w:lvl w:ilvl="0" w:tplc="58C633A8">
      <w:start w:val="1"/>
      <w:numFmt w:val="decimal"/>
      <w:lvlText w:val="%1."/>
      <w:lvlJc w:val="left"/>
      <w:pPr>
        <w:ind w:left="660" w:hanging="180"/>
        <w:jc w:val="left"/>
      </w:pPr>
      <w:rPr>
        <w:rFonts w:ascii="Times New Roman" w:eastAsia="Times New Roman" w:hAnsi="Times New Roman" w:cs="Times New Roman" w:hint="default"/>
        <w:spacing w:val="-5"/>
        <w:w w:val="97"/>
        <w:sz w:val="22"/>
        <w:szCs w:val="22"/>
        <w:lang w:val="en-US" w:eastAsia="en-US" w:bidi="ar-SA"/>
      </w:rPr>
    </w:lvl>
    <w:lvl w:ilvl="1" w:tplc="23B8ABFC">
      <w:numFmt w:val="bullet"/>
      <w:lvlText w:val="•"/>
      <w:lvlJc w:val="left"/>
      <w:pPr>
        <w:ind w:left="1652" w:hanging="180"/>
      </w:pPr>
      <w:rPr>
        <w:rFonts w:hint="default"/>
        <w:lang w:val="en-US" w:eastAsia="en-US" w:bidi="ar-SA"/>
      </w:rPr>
    </w:lvl>
    <w:lvl w:ilvl="2" w:tplc="7D3246B8">
      <w:numFmt w:val="bullet"/>
      <w:lvlText w:val="•"/>
      <w:lvlJc w:val="left"/>
      <w:pPr>
        <w:ind w:left="2645" w:hanging="180"/>
      </w:pPr>
      <w:rPr>
        <w:rFonts w:hint="default"/>
        <w:lang w:val="en-US" w:eastAsia="en-US" w:bidi="ar-SA"/>
      </w:rPr>
    </w:lvl>
    <w:lvl w:ilvl="3" w:tplc="79BA7292">
      <w:numFmt w:val="bullet"/>
      <w:lvlText w:val="•"/>
      <w:lvlJc w:val="left"/>
      <w:pPr>
        <w:ind w:left="3637" w:hanging="180"/>
      </w:pPr>
      <w:rPr>
        <w:rFonts w:hint="default"/>
        <w:lang w:val="en-US" w:eastAsia="en-US" w:bidi="ar-SA"/>
      </w:rPr>
    </w:lvl>
    <w:lvl w:ilvl="4" w:tplc="CB5E5C48">
      <w:numFmt w:val="bullet"/>
      <w:lvlText w:val="•"/>
      <w:lvlJc w:val="left"/>
      <w:pPr>
        <w:ind w:left="4630" w:hanging="180"/>
      </w:pPr>
      <w:rPr>
        <w:rFonts w:hint="default"/>
        <w:lang w:val="en-US" w:eastAsia="en-US" w:bidi="ar-SA"/>
      </w:rPr>
    </w:lvl>
    <w:lvl w:ilvl="5" w:tplc="D4788BA0">
      <w:numFmt w:val="bullet"/>
      <w:lvlText w:val="•"/>
      <w:lvlJc w:val="left"/>
      <w:pPr>
        <w:ind w:left="5623" w:hanging="180"/>
      </w:pPr>
      <w:rPr>
        <w:rFonts w:hint="default"/>
        <w:lang w:val="en-US" w:eastAsia="en-US" w:bidi="ar-SA"/>
      </w:rPr>
    </w:lvl>
    <w:lvl w:ilvl="6" w:tplc="DF6CAFC4">
      <w:numFmt w:val="bullet"/>
      <w:lvlText w:val="•"/>
      <w:lvlJc w:val="left"/>
      <w:pPr>
        <w:ind w:left="6615" w:hanging="180"/>
      </w:pPr>
      <w:rPr>
        <w:rFonts w:hint="default"/>
        <w:lang w:val="en-US" w:eastAsia="en-US" w:bidi="ar-SA"/>
      </w:rPr>
    </w:lvl>
    <w:lvl w:ilvl="7" w:tplc="7BFC0EB2">
      <w:numFmt w:val="bullet"/>
      <w:lvlText w:val="•"/>
      <w:lvlJc w:val="left"/>
      <w:pPr>
        <w:ind w:left="7608" w:hanging="180"/>
      </w:pPr>
      <w:rPr>
        <w:rFonts w:hint="default"/>
        <w:lang w:val="en-US" w:eastAsia="en-US" w:bidi="ar-SA"/>
      </w:rPr>
    </w:lvl>
    <w:lvl w:ilvl="8" w:tplc="2D0A3D9C">
      <w:numFmt w:val="bullet"/>
      <w:lvlText w:val="•"/>
      <w:lvlJc w:val="left"/>
      <w:pPr>
        <w:ind w:left="8601" w:hanging="180"/>
      </w:pPr>
      <w:rPr>
        <w:rFonts w:hint="default"/>
        <w:lang w:val="en-US" w:eastAsia="en-US" w:bidi="ar-SA"/>
      </w:rPr>
    </w:lvl>
  </w:abstractNum>
  <w:abstractNum w:abstractNumId="2">
    <w:nsid w:val="2CE22396"/>
    <w:multiLevelType w:val="hybridMultilevel"/>
    <w:tmpl w:val="D3340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14D7B7C"/>
    <w:multiLevelType w:val="hybridMultilevel"/>
    <w:tmpl w:val="24343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0B92F2C"/>
    <w:multiLevelType w:val="hybridMultilevel"/>
    <w:tmpl w:val="C7604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2"/>
    <w:rsid w:val="000444B1"/>
    <w:rsid w:val="001C7061"/>
    <w:rsid w:val="002D413A"/>
    <w:rsid w:val="00365117"/>
    <w:rsid w:val="004A4B23"/>
    <w:rsid w:val="0074587F"/>
    <w:rsid w:val="0094069F"/>
    <w:rsid w:val="009E1352"/>
    <w:rsid w:val="00D37F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9E1352"/>
    <w:pPr>
      <w:widowControl w:val="0"/>
      <w:autoSpaceDE w:val="0"/>
      <w:autoSpaceDN w:val="0"/>
      <w:spacing w:after="0" w:line="240" w:lineRule="auto"/>
      <w:ind w:left="66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135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E135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E1352"/>
    <w:pPr>
      <w:widowControl w:val="0"/>
      <w:autoSpaceDE w:val="0"/>
      <w:autoSpaceDN w:val="0"/>
      <w:spacing w:after="0" w:line="240" w:lineRule="auto"/>
      <w:ind w:left="6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9E1352"/>
    <w:pPr>
      <w:widowControl w:val="0"/>
      <w:autoSpaceDE w:val="0"/>
      <w:autoSpaceDN w:val="0"/>
      <w:spacing w:after="0" w:line="126" w:lineRule="exact"/>
      <w:jc w:val="right"/>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1"/>
    <w:rsid w:val="009E1352"/>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D3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4B"/>
  </w:style>
  <w:style w:type="paragraph" w:styleId="Footer">
    <w:name w:val="footer"/>
    <w:basedOn w:val="Normal"/>
    <w:link w:val="FooterChar"/>
    <w:uiPriority w:val="99"/>
    <w:unhideWhenUsed/>
    <w:rsid w:val="00D3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4B"/>
  </w:style>
  <w:style w:type="paragraph" w:styleId="BalloonText">
    <w:name w:val="Balloon Text"/>
    <w:basedOn w:val="Normal"/>
    <w:link w:val="BalloonTextChar"/>
    <w:uiPriority w:val="99"/>
    <w:semiHidden/>
    <w:unhideWhenUsed/>
    <w:rsid w:val="00D3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9E1352"/>
    <w:pPr>
      <w:widowControl w:val="0"/>
      <w:autoSpaceDE w:val="0"/>
      <w:autoSpaceDN w:val="0"/>
      <w:spacing w:after="0" w:line="240" w:lineRule="auto"/>
      <w:ind w:left="66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135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E135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E1352"/>
    <w:pPr>
      <w:widowControl w:val="0"/>
      <w:autoSpaceDE w:val="0"/>
      <w:autoSpaceDN w:val="0"/>
      <w:spacing w:after="0" w:line="240" w:lineRule="auto"/>
      <w:ind w:left="6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9E1352"/>
    <w:pPr>
      <w:widowControl w:val="0"/>
      <w:autoSpaceDE w:val="0"/>
      <w:autoSpaceDN w:val="0"/>
      <w:spacing w:after="0" w:line="126" w:lineRule="exact"/>
      <w:jc w:val="right"/>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1"/>
    <w:rsid w:val="009E1352"/>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D3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4B"/>
  </w:style>
  <w:style w:type="paragraph" w:styleId="Footer">
    <w:name w:val="footer"/>
    <w:basedOn w:val="Normal"/>
    <w:link w:val="FooterChar"/>
    <w:uiPriority w:val="99"/>
    <w:unhideWhenUsed/>
    <w:rsid w:val="00D3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4B"/>
  </w:style>
  <w:style w:type="paragraph" w:styleId="BalloonText">
    <w:name w:val="Balloon Text"/>
    <w:basedOn w:val="Normal"/>
    <w:link w:val="BalloonTextChar"/>
    <w:uiPriority w:val="99"/>
    <w:semiHidden/>
    <w:unhideWhenUsed/>
    <w:rsid w:val="00D3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891">
      <w:bodyDiv w:val="1"/>
      <w:marLeft w:val="0"/>
      <w:marRight w:val="0"/>
      <w:marTop w:val="0"/>
      <w:marBottom w:val="0"/>
      <w:divBdr>
        <w:top w:val="none" w:sz="0" w:space="0" w:color="auto"/>
        <w:left w:val="none" w:sz="0" w:space="0" w:color="auto"/>
        <w:bottom w:val="none" w:sz="0" w:space="0" w:color="auto"/>
        <w:right w:val="none" w:sz="0" w:space="0" w:color="auto"/>
      </w:divBdr>
      <w:divsChild>
        <w:div w:id="2009820534">
          <w:marLeft w:val="0"/>
          <w:marRight w:val="0"/>
          <w:marTop w:val="0"/>
          <w:marBottom w:val="0"/>
          <w:divBdr>
            <w:top w:val="none" w:sz="0" w:space="0" w:color="auto"/>
            <w:left w:val="none" w:sz="0" w:space="0" w:color="auto"/>
            <w:bottom w:val="none" w:sz="0" w:space="0" w:color="auto"/>
            <w:right w:val="none" w:sz="0" w:space="0" w:color="auto"/>
          </w:divBdr>
        </w:div>
        <w:div w:id="1896117118">
          <w:marLeft w:val="0"/>
          <w:marRight w:val="0"/>
          <w:marTop w:val="0"/>
          <w:marBottom w:val="0"/>
          <w:divBdr>
            <w:top w:val="none" w:sz="0" w:space="0" w:color="auto"/>
            <w:left w:val="none" w:sz="0" w:space="0" w:color="auto"/>
            <w:bottom w:val="none" w:sz="0" w:space="0" w:color="auto"/>
            <w:right w:val="none" w:sz="0" w:space="0" w:color="auto"/>
          </w:divBdr>
        </w:div>
        <w:div w:id="1296835279">
          <w:marLeft w:val="0"/>
          <w:marRight w:val="0"/>
          <w:marTop w:val="0"/>
          <w:marBottom w:val="0"/>
          <w:divBdr>
            <w:top w:val="none" w:sz="0" w:space="0" w:color="auto"/>
            <w:left w:val="none" w:sz="0" w:space="0" w:color="auto"/>
            <w:bottom w:val="none" w:sz="0" w:space="0" w:color="auto"/>
            <w:right w:val="none" w:sz="0" w:space="0" w:color="auto"/>
          </w:divBdr>
        </w:div>
        <w:div w:id="213667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2020-12-11T10:52:00Z</cp:lastPrinted>
  <dcterms:created xsi:type="dcterms:W3CDTF">2020-12-11T10:44:00Z</dcterms:created>
  <dcterms:modified xsi:type="dcterms:W3CDTF">2020-12-11T10:52:00Z</dcterms:modified>
</cp:coreProperties>
</file>