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88" w:rsidRPr="008B1988" w:rsidRDefault="008B1988" w:rsidP="008B1988">
      <w:pPr>
        <w:spacing w:after="0" w:line="360" w:lineRule="auto"/>
        <w:rPr>
          <w:rFonts w:asciiTheme="minorHAnsi" w:eastAsia="Times New Roman" w:hAnsiTheme="minorHAnsi" w:cs="Times New Roman"/>
          <w:b/>
          <w:sz w:val="24"/>
          <w:szCs w:val="24"/>
        </w:rPr>
      </w:pPr>
      <w:r w:rsidRPr="008B1988">
        <w:rPr>
          <w:rFonts w:asciiTheme="minorHAnsi" w:eastAsia="Times New Roman" w:hAnsiTheme="minorHAnsi" w:cs="Times New Roman"/>
          <w:b/>
          <w:sz w:val="24"/>
          <w:szCs w:val="24"/>
          <w:highlight w:val="lightGray"/>
        </w:rPr>
        <w:t>Original article:</w:t>
      </w:r>
    </w:p>
    <w:p w:rsidR="007714BA" w:rsidRPr="008B1988" w:rsidRDefault="00CB6800" w:rsidP="008B1988">
      <w:pPr>
        <w:spacing w:after="0" w:line="360" w:lineRule="auto"/>
        <w:rPr>
          <w:rFonts w:asciiTheme="minorHAnsi" w:eastAsia="Times New Roman" w:hAnsiTheme="minorHAnsi" w:cs="Times New Roman"/>
          <w:b/>
          <w:color w:val="0070C0"/>
          <w:sz w:val="28"/>
          <w:szCs w:val="28"/>
        </w:rPr>
      </w:pPr>
      <w:r w:rsidRPr="008B1988">
        <w:rPr>
          <w:rFonts w:asciiTheme="minorHAnsi" w:eastAsia="Times New Roman" w:hAnsiTheme="minorHAnsi" w:cs="Times New Roman"/>
          <w:b/>
          <w:color w:val="0070C0"/>
          <w:sz w:val="28"/>
          <w:szCs w:val="28"/>
        </w:rPr>
        <w:t xml:space="preserve">The Risk Factors and Hearing Impairment in Infants </w:t>
      </w:r>
    </w:p>
    <w:p w:rsidR="0061274F" w:rsidRPr="008B1988" w:rsidRDefault="008B1988" w:rsidP="008B1988">
      <w:pPr>
        <w:spacing w:after="0" w:line="360" w:lineRule="auto"/>
        <w:rPr>
          <w:rFonts w:ascii="Cambria" w:eastAsia="Times New Roman" w:hAnsi="Cambria" w:cs="Times New Roman"/>
          <w:b/>
          <w:sz w:val="20"/>
          <w:szCs w:val="20"/>
          <w:vertAlign w:val="superscript"/>
        </w:rPr>
      </w:pPr>
      <w:r>
        <w:rPr>
          <w:rFonts w:ascii="Cambria" w:eastAsia="Times New Roman" w:hAnsi="Cambria" w:cs="Times New Roman"/>
          <w:b/>
          <w:sz w:val="20"/>
          <w:szCs w:val="20"/>
        </w:rPr>
        <w:t>*</w:t>
      </w:r>
      <w:proofErr w:type="spellStart"/>
      <w:r w:rsidR="0061274F" w:rsidRPr="008B1988">
        <w:rPr>
          <w:rFonts w:ascii="Cambria" w:eastAsia="Times New Roman" w:hAnsi="Cambria" w:cs="Times New Roman"/>
          <w:b/>
          <w:sz w:val="20"/>
          <w:szCs w:val="20"/>
        </w:rPr>
        <w:t>Dr.Vimal</w:t>
      </w:r>
      <w:proofErr w:type="spellEnd"/>
      <w:r w:rsidR="0061274F" w:rsidRPr="008B1988">
        <w:rPr>
          <w:rFonts w:ascii="Cambria" w:eastAsia="Times New Roman" w:hAnsi="Cambria" w:cs="Times New Roman"/>
          <w:b/>
          <w:sz w:val="20"/>
          <w:szCs w:val="20"/>
        </w:rPr>
        <w:t xml:space="preserve"> </w:t>
      </w:r>
      <w:r w:rsidR="00316A70" w:rsidRPr="008B1988">
        <w:rPr>
          <w:rFonts w:ascii="Cambria" w:eastAsia="Times New Roman" w:hAnsi="Cambria" w:cs="Times New Roman"/>
          <w:b/>
          <w:sz w:val="20"/>
          <w:szCs w:val="20"/>
        </w:rPr>
        <w:t xml:space="preserve">Kumar </w:t>
      </w:r>
      <w:r w:rsidR="00316A70" w:rsidRPr="008B1988">
        <w:rPr>
          <w:rFonts w:ascii="Cambria" w:eastAsia="Times New Roman" w:hAnsi="Cambria" w:cs="Times New Roman"/>
          <w:b/>
          <w:sz w:val="20"/>
          <w:szCs w:val="20"/>
          <w:vertAlign w:val="superscript"/>
        </w:rPr>
        <w:t>1</w:t>
      </w:r>
      <w:r w:rsidR="00316A70" w:rsidRPr="008B1988">
        <w:rPr>
          <w:rFonts w:ascii="Cambria" w:eastAsia="Times New Roman" w:hAnsi="Cambria" w:cs="Times New Roman"/>
          <w:b/>
          <w:sz w:val="20"/>
          <w:szCs w:val="20"/>
        </w:rPr>
        <w:t xml:space="preserve">, </w:t>
      </w:r>
      <w:proofErr w:type="spellStart"/>
      <w:r w:rsidR="00316A70" w:rsidRPr="008B1988">
        <w:rPr>
          <w:rFonts w:ascii="Cambria" w:eastAsia="Times New Roman" w:hAnsi="Cambria" w:cs="Times New Roman"/>
          <w:b/>
          <w:sz w:val="20"/>
          <w:szCs w:val="20"/>
        </w:rPr>
        <w:t>Dr.Ashok</w:t>
      </w:r>
      <w:proofErr w:type="spellEnd"/>
      <w:r w:rsidR="00316A70" w:rsidRPr="008B1988">
        <w:rPr>
          <w:rFonts w:ascii="Cambria" w:eastAsia="Times New Roman" w:hAnsi="Cambria" w:cs="Times New Roman"/>
          <w:b/>
          <w:sz w:val="20"/>
          <w:szCs w:val="20"/>
        </w:rPr>
        <w:t xml:space="preserve"> Kumar </w:t>
      </w:r>
      <w:r w:rsidR="00316A70" w:rsidRPr="008B1988">
        <w:rPr>
          <w:rFonts w:ascii="Cambria" w:eastAsia="Times New Roman" w:hAnsi="Cambria" w:cs="Times New Roman"/>
          <w:b/>
          <w:sz w:val="20"/>
          <w:szCs w:val="20"/>
          <w:vertAlign w:val="superscript"/>
        </w:rPr>
        <w:t>2</w:t>
      </w:r>
    </w:p>
    <w:p w:rsidR="008B1988" w:rsidRPr="008B1988" w:rsidRDefault="008B1988" w:rsidP="008B1988">
      <w:pPr>
        <w:spacing w:after="0" w:line="360" w:lineRule="auto"/>
        <w:rPr>
          <w:rFonts w:ascii="Cambria" w:eastAsia="Times New Roman" w:hAnsi="Cambria" w:cs="Times New Roman"/>
          <w:b/>
          <w:sz w:val="20"/>
          <w:szCs w:val="20"/>
        </w:rPr>
      </w:pPr>
    </w:p>
    <w:p w:rsidR="0061274F" w:rsidRPr="008B1988" w:rsidRDefault="007E28CA" w:rsidP="008B1988">
      <w:pPr>
        <w:spacing w:after="0" w:line="360" w:lineRule="auto"/>
        <w:rPr>
          <w:rFonts w:ascii="Cambria" w:eastAsia="Times New Roman" w:hAnsi="Cambria" w:cs="Times New Roman"/>
          <w:sz w:val="18"/>
          <w:szCs w:val="18"/>
        </w:rPr>
      </w:pPr>
      <w:r w:rsidRPr="008B1988">
        <w:rPr>
          <w:rFonts w:ascii="Cambria" w:eastAsia="Times New Roman" w:hAnsi="Cambria" w:cs="Times New Roman"/>
          <w:sz w:val="18"/>
          <w:szCs w:val="18"/>
          <w:vertAlign w:val="superscript"/>
        </w:rPr>
        <w:t>1</w:t>
      </w:r>
      <w:r w:rsidR="00E840A0" w:rsidRPr="008B1988">
        <w:rPr>
          <w:rFonts w:ascii="Cambria" w:eastAsia="Times New Roman" w:hAnsi="Cambria" w:cs="Times New Roman"/>
          <w:sz w:val="18"/>
          <w:szCs w:val="18"/>
        </w:rPr>
        <w:t xml:space="preserve"> </w:t>
      </w:r>
      <w:r w:rsidR="008B1988">
        <w:rPr>
          <w:rFonts w:ascii="Cambria" w:eastAsia="Times New Roman" w:hAnsi="Cambria" w:cs="Times New Roman"/>
          <w:sz w:val="18"/>
          <w:szCs w:val="18"/>
        </w:rPr>
        <w:t xml:space="preserve">MD </w:t>
      </w:r>
      <w:proofErr w:type="spellStart"/>
      <w:r w:rsidR="008B1988">
        <w:rPr>
          <w:rFonts w:ascii="Cambria" w:eastAsia="Times New Roman" w:hAnsi="Cambria" w:cs="Times New Roman"/>
          <w:sz w:val="18"/>
          <w:szCs w:val="18"/>
        </w:rPr>
        <w:t>Pediatrics</w:t>
      </w:r>
      <w:proofErr w:type="spellEnd"/>
      <w:r w:rsidR="008B1988">
        <w:rPr>
          <w:rFonts w:ascii="Cambria" w:eastAsia="Times New Roman" w:hAnsi="Cambria" w:cs="Times New Roman"/>
          <w:sz w:val="18"/>
          <w:szCs w:val="18"/>
        </w:rPr>
        <w:t xml:space="preserve">, Senior Resident, </w:t>
      </w:r>
      <w:proofErr w:type="spellStart"/>
      <w:r w:rsidR="008B1988">
        <w:rPr>
          <w:rFonts w:ascii="Cambria" w:eastAsia="Times New Roman" w:hAnsi="Cambria" w:cs="Times New Roman"/>
          <w:sz w:val="18"/>
          <w:szCs w:val="18"/>
        </w:rPr>
        <w:t>S.K.Govt.Medical</w:t>
      </w:r>
      <w:proofErr w:type="spellEnd"/>
      <w:r w:rsidR="008B1988">
        <w:rPr>
          <w:rFonts w:ascii="Cambria" w:eastAsia="Times New Roman" w:hAnsi="Cambria" w:cs="Times New Roman"/>
          <w:sz w:val="18"/>
          <w:szCs w:val="18"/>
        </w:rPr>
        <w:t xml:space="preserve"> </w:t>
      </w:r>
      <w:proofErr w:type="gramStart"/>
      <w:r w:rsidR="008B1988">
        <w:rPr>
          <w:rFonts w:ascii="Cambria" w:eastAsia="Times New Roman" w:hAnsi="Cambria" w:cs="Times New Roman"/>
          <w:sz w:val="18"/>
          <w:szCs w:val="18"/>
        </w:rPr>
        <w:t>C</w:t>
      </w:r>
      <w:r w:rsidR="0061274F" w:rsidRPr="008B1988">
        <w:rPr>
          <w:rFonts w:ascii="Cambria" w:eastAsia="Times New Roman" w:hAnsi="Cambria" w:cs="Times New Roman"/>
          <w:sz w:val="18"/>
          <w:szCs w:val="18"/>
        </w:rPr>
        <w:t xml:space="preserve">ollege </w:t>
      </w:r>
      <w:r w:rsidR="008B1988">
        <w:rPr>
          <w:rFonts w:ascii="Cambria" w:eastAsia="Times New Roman" w:hAnsi="Cambria" w:cs="Times New Roman"/>
          <w:sz w:val="18"/>
          <w:szCs w:val="18"/>
        </w:rPr>
        <w:t>,</w:t>
      </w:r>
      <w:proofErr w:type="gramEnd"/>
      <w:r w:rsidR="008B1988">
        <w:rPr>
          <w:rFonts w:ascii="Cambria" w:eastAsia="Times New Roman" w:hAnsi="Cambria" w:cs="Times New Roman"/>
          <w:sz w:val="18"/>
          <w:szCs w:val="18"/>
        </w:rPr>
        <w:t xml:space="preserve"> </w:t>
      </w:r>
      <w:proofErr w:type="spellStart"/>
      <w:r w:rsidR="0061274F" w:rsidRPr="008B1988">
        <w:rPr>
          <w:rFonts w:ascii="Cambria" w:eastAsia="Times New Roman" w:hAnsi="Cambria" w:cs="Times New Roman"/>
          <w:sz w:val="18"/>
          <w:szCs w:val="18"/>
        </w:rPr>
        <w:t>Sikar</w:t>
      </w:r>
      <w:proofErr w:type="spellEnd"/>
    </w:p>
    <w:p w:rsidR="0061274F" w:rsidRDefault="00E840A0" w:rsidP="008B1988">
      <w:pPr>
        <w:spacing w:after="0" w:line="360" w:lineRule="auto"/>
        <w:jc w:val="both"/>
        <w:rPr>
          <w:rFonts w:ascii="Cambria" w:eastAsia="Times New Roman" w:hAnsi="Cambria" w:cs="Times New Roman"/>
          <w:sz w:val="18"/>
          <w:szCs w:val="18"/>
        </w:rPr>
      </w:pPr>
      <w:r w:rsidRPr="008B1988">
        <w:rPr>
          <w:rFonts w:ascii="Cambria" w:eastAsia="Times New Roman" w:hAnsi="Cambria" w:cs="Times New Roman"/>
          <w:sz w:val="18"/>
          <w:szCs w:val="18"/>
          <w:vertAlign w:val="superscript"/>
        </w:rPr>
        <w:t>2</w:t>
      </w:r>
      <w:r w:rsidRPr="008B1988">
        <w:rPr>
          <w:rFonts w:ascii="Cambria" w:eastAsia="Times New Roman" w:hAnsi="Cambria" w:cs="Times New Roman"/>
          <w:sz w:val="18"/>
          <w:szCs w:val="18"/>
        </w:rPr>
        <w:t xml:space="preserve"> </w:t>
      </w:r>
      <w:r w:rsidR="008B1988">
        <w:rPr>
          <w:rFonts w:ascii="Cambria" w:eastAsia="Times New Roman" w:hAnsi="Cambria" w:cs="Times New Roman"/>
          <w:sz w:val="18"/>
          <w:szCs w:val="18"/>
        </w:rPr>
        <w:t xml:space="preserve">MD </w:t>
      </w:r>
      <w:proofErr w:type="spellStart"/>
      <w:r w:rsidR="008B1988">
        <w:rPr>
          <w:rFonts w:ascii="Cambria" w:eastAsia="Times New Roman" w:hAnsi="Cambria" w:cs="Times New Roman"/>
          <w:sz w:val="18"/>
          <w:szCs w:val="18"/>
        </w:rPr>
        <w:t>Pediatrics</w:t>
      </w:r>
      <w:proofErr w:type="spellEnd"/>
      <w:r w:rsidR="008B1988">
        <w:rPr>
          <w:rFonts w:ascii="Cambria" w:eastAsia="Times New Roman" w:hAnsi="Cambria" w:cs="Times New Roman"/>
          <w:sz w:val="18"/>
          <w:szCs w:val="18"/>
        </w:rPr>
        <w:t xml:space="preserve">, Professor Department of </w:t>
      </w:r>
      <w:proofErr w:type="spellStart"/>
      <w:r w:rsidR="008B1988">
        <w:rPr>
          <w:rFonts w:ascii="Cambria" w:eastAsia="Times New Roman" w:hAnsi="Cambria" w:cs="Times New Roman"/>
          <w:sz w:val="18"/>
          <w:szCs w:val="18"/>
        </w:rPr>
        <w:t>Pe</w:t>
      </w:r>
      <w:bookmarkStart w:id="0" w:name="_GoBack"/>
      <w:bookmarkEnd w:id="0"/>
      <w:r w:rsidR="008B1988">
        <w:rPr>
          <w:rFonts w:ascii="Cambria" w:eastAsia="Times New Roman" w:hAnsi="Cambria" w:cs="Times New Roman"/>
          <w:sz w:val="18"/>
          <w:szCs w:val="18"/>
        </w:rPr>
        <w:t>diatrics</w:t>
      </w:r>
      <w:proofErr w:type="spellEnd"/>
      <w:r w:rsidR="008B1988">
        <w:rPr>
          <w:rFonts w:ascii="Cambria" w:eastAsia="Times New Roman" w:hAnsi="Cambria" w:cs="Times New Roman"/>
          <w:sz w:val="18"/>
          <w:szCs w:val="18"/>
        </w:rPr>
        <w:t xml:space="preserve">, </w:t>
      </w:r>
      <w:proofErr w:type="spellStart"/>
      <w:r w:rsidR="008B1988">
        <w:rPr>
          <w:rFonts w:ascii="Cambria" w:eastAsia="Times New Roman" w:hAnsi="Cambria" w:cs="Times New Roman"/>
          <w:sz w:val="18"/>
          <w:szCs w:val="18"/>
        </w:rPr>
        <w:t>Govt</w:t>
      </w:r>
      <w:proofErr w:type="spellEnd"/>
      <w:r w:rsidR="008B1988">
        <w:rPr>
          <w:rFonts w:ascii="Cambria" w:eastAsia="Times New Roman" w:hAnsi="Cambria" w:cs="Times New Roman"/>
          <w:sz w:val="18"/>
          <w:szCs w:val="18"/>
        </w:rPr>
        <w:t xml:space="preserve"> .</w:t>
      </w:r>
      <w:proofErr w:type="spellStart"/>
      <w:r w:rsidR="008B1988">
        <w:rPr>
          <w:rFonts w:ascii="Cambria" w:eastAsia="Times New Roman" w:hAnsi="Cambria" w:cs="Times New Roman"/>
          <w:sz w:val="18"/>
          <w:szCs w:val="18"/>
        </w:rPr>
        <w:t>S.K.Medical</w:t>
      </w:r>
      <w:proofErr w:type="spellEnd"/>
      <w:r w:rsidR="008B1988">
        <w:rPr>
          <w:rFonts w:ascii="Cambria" w:eastAsia="Times New Roman" w:hAnsi="Cambria" w:cs="Times New Roman"/>
          <w:sz w:val="18"/>
          <w:szCs w:val="18"/>
        </w:rPr>
        <w:t xml:space="preserve"> C</w:t>
      </w:r>
      <w:r w:rsidR="008B1988" w:rsidRPr="008B1988">
        <w:rPr>
          <w:rFonts w:ascii="Cambria" w:eastAsia="Times New Roman" w:hAnsi="Cambria" w:cs="Times New Roman"/>
          <w:sz w:val="18"/>
          <w:szCs w:val="18"/>
        </w:rPr>
        <w:t>ollege,</w:t>
      </w:r>
      <w:r w:rsidR="008B1988">
        <w:rPr>
          <w:rFonts w:ascii="Cambria" w:eastAsia="Times New Roman" w:hAnsi="Cambria" w:cs="Times New Roman"/>
          <w:sz w:val="18"/>
          <w:szCs w:val="18"/>
        </w:rPr>
        <w:t xml:space="preserve"> </w:t>
      </w:r>
      <w:proofErr w:type="spellStart"/>
      <w:r w:rsidR="0061274F" w:rsidRPr="008B1988">
        <w:rPr>
          <w:rFonts w:ascii="Cambria" w:eastAsia="Times New Roman" w:hAnsi="Cambria" w:cs="Times New Roman"/>
          <w:sz w:val="18"/>
          <w:szCs w:val="18"/>
        </w:rPr>
        <w:t>Sikar</w:t>
      </w:r>
      <w:proofErr w:type="spellEnd"/>
    </w:p>
    <w:p w:rsidR="008B1988" w:rsidRPr="008B1988" w:rsidRDefault="008B1988" w:rsidP="008B1988">
      <w:pPr>
        <w:spacing w:after="0" w:line="360" w:lineRule="auto"/>
        <w:jc w:val="both"/>
        <w:rPr>
          <w:rFonts w:ascii="Cambria" w:eastAsia="Times New Roman" w:hAnsi="Cambria" w:cs="Times New Roman"/>
          <w:sz w:val="18"/>
          <w:szCs w:val="18"/>
        </w:rPr>
      </w:pPr>
      <w:r>
        <w:rPr>
          <w:rFonts w:ascii="Cambria" w:eastAsia="Times New Roman" w:hAnsi="Cambria" w:cs="Times New Roman"/>
          <w:sz w:val="18"/>
          <w:szCs w:val="18"/>
        </w:rPr>
        <w:t>Corresponding author*</w:t>
      </w:r>
    </w:p>
    <w:p w:rsidR="008B1988" w:rsidRPr="008B1988" w:rsidRDefault="008B1988" w:rsidP="008B1988">
      <w:pPr>
        <w:spacing w:after="0" w:line="360" w:lineRule="auto"/>
        <w:jc w:val="both"/>
        <w:rPr>
          <w:rFonts w:ascii="Times New Roman" w:eastAsia="Times New Roman" w:hAnsi="Times New Roman" w:cs="Times New Roman"/>
          <w:b/>
          <w:sz w:val="18"/>
          <w:szCs w:val="18"/>
        </w:rPr>
      </w:pPr>
    </w:p>
    <w:p w:rsidR="007714BA" w:rsidRPr="008B1988" w:rsidRDefault="00CB6800" w:rsidP="008B1988">
      <w:pPr>
        <w:spacing w:after="0" w:line="360" w:lineRule="auto"/>
        <w:jc w:val="both"/>
        <w:rPr>
          <w:rFonts w:ascii="Times New Roman" w:eastAsia="Times New Roman" w:hAnsi="Times New Roman" w:cs="Times New Roman"/>
          <w:b/>
          <w:sz w:val="20"/>
          <w:szCs w:val="20"/>
        </w:rPr>
      </w:pPr>
      <w:r w:rsidRPr="008B1988">
        <w:rPr>
          <w:rFonts w:ascii="Times New Roman" w:eastAsia="Times New Roman" w:hAnsi="Times New Roman" w:cs="Times New Roman"/>
          <w:b/>
          <w:sz w:val="20"/>
          <w:szCs w:val="20"/>
        </w:rPr>
        <w:t>ABSTRACT</w:t>
      </w:r>
      <w:r w:rsidR="008B1988">
        <w:rPr>
          <w:rFonts w:ascii="Times New Roman" w:eastAsia="Times New Roman" w:hAnsi="Times New Roman" w:cs="Times New Roman"/>
          <w:b/>
          <w:sz w:val="20"/>
          <w:szCs w:val="20"/>
        </w:rPr>
        <w:t xml:space="preserve">: </w:t>
      </w:r>
    </w:p>
    <w:p w:rsidR="008B1988" w:rsidRPr="008B1988" w:rsidRDefault="00CB6800" w:rsidP="008B1988">
      <w:pPr>
        <w:spacing w:after="0" w:line="360" w:lineRule="auto"/>
        <w:jc w:val="both"/>
        <w:rPr>
          <w:rFonts w:ascii="Times New Roman" w:eastAsia="Times New Roman" w:hAnsi="Times New Roman" w:cs="Times New Roman"/>
          <w:sz w:val="18"/>
          <w:szCs w:val="18"/>
        </w:rPr>
      </w:pPr>
      <w:r w:rsidRPr="008B1988">
        <w:rPr>
          <w:rFonts w:ascii="Times New Roman" w:eastAsia="Times New Roman" w:hAnsi="Times New Roman" w:cs="Times New Roman"/>
          <w:b/>
          <w:sz w:val="18"/>
          <w:szCs w:val="18"/>
        </w:rPr>
        <w:t>INTRODUCTION:</w:t>
      </w:r>
      <w:r w:rsidRPr="008B1988">
        <w:rPr>
          <w:rFonts w:ascii="Times New Roman" w:eastAsia="Times New Roman" w:hAnsi="Times New Roman" w:cs="Times New Roman"/>
          <w:sz w:val="18"/>
          <w:szCs w:val="18"/>
        </w:rPr>
        <w:t xml:space="preserve"> Hearing loss has been reported as the commonest congenital abnormality in </w:t>
      </w:r>
      <w:proofErr w:type="spellStart"/>
      <w:r w:rsidRPr="008B1988">
        <w:rPr>
          <w:rFonts w:ascii="Times New Roman" w:eastAsia="Times New Roman" w:hAnsi="Times New Roman" w:cs="Times New Roman"/>
          <w:sz w:val="18"/>
          <w:szCs w:val="18"/>
        </w:rPr>
        <w:t>newborn</w:t>
      </w:r>
      <w:proofErr w:type="spellEnd"/>
      <w:r w:rsidRPr="008B1988">
        <w:rPr>
          <w:rFonts w:ascii="Times New Roman" w:eastAsia="Times New Roman" w:hAnsi="Times New Roman" w:cs="Times New Roman"/>
          <w:sz w:val="18"/>
          <w:szCs w:val="18"/>
        </w:rPr>
        <w:t xml:space="preserve">. </w:t>
      </w:r>
    </w:p>
    <w:p w:rsidR="008B1988" w:rsidRPr="008B1988" w:rsidRDefault="008B1988" w:rsidP="008B1988">
      <w:pPr>
        <w:spacing w:after="0" w:line="360" w:lineRule="auto"/>
        <w:jc w:val="both"/>
        <w:rPr>
          <w:rFonts w:ascii="Times New Roman" w:eastAsia="Times New Roman" w:hAnsi="Times New Roman" w:cs="Times New Roman"/>
          <w:sz w:val="18"/>
          <w:szCs w:val="18"/>
        </w:rPr>
      </w:pPr>
      <w:r w:rsidRPr="008B1988">
        <w:rPr>
          <w:rFonts w:ascii="Times New Roman" w:eastAsia="Times New Roman" w:hAnsi="Times New Roman" w:cs="Times New Roman"/>
          <w:b/>
          <w:sz w:val="18"/>
          <w:szCs w:val="18"/>
        </w:rPr>
        <w:t>AIM:</w:t>
      </w:r>
      <w:r w:rsidRPr="008B1988">
        <w:rPr>
          <w:rFonts w:ascii="Times New Roman" w:eastAsia="Times New Roman" w:hAnsi="Times New Roman" w:cs="Times New Roman"/>
          <w:sz w:val="18"/>
          <w:szCs w:val="18"/>
        </w:rPr>
        <w:t xml:space="preserve"> </w:t>
      </w:r>
      <w:r w:rsidR="00CB6800" w:rsidRPr="008B1988">
        <w:rPr>
          <w:rFonts w:ascii="Times New Roman" w:eastAsia="Times New Roman" w:hAnsi="Times New Roman" w:cs="Times New Roman"/>
          <w:sz w:val="18"/>
          <w:szCs w:val="18"/>
        </w:rPr>
        <w:t xml:space="preserve">To evaluate the risk factors and hearing impairment in infants using </w:t>
      </w:r>
      <w:proofErr w:type="spellStart"/>
      <w:r w:rsidR="00CB6800" w:rsidRPr="008B1988">
        <w:rPr>
          <w:rFonts w:ascii="Times New Roman" w:eastAsia="Times New Roman" w:hAnsi="Times New Roman" w:cs="Times New Roman"/>
          <w:sz w:val="18"/>
          <w:szCs w:val="18"/>
        </w:rPr>
        <w:t>otoacoustic</w:t>
      </w:r>
      <w:proofErr w:type="spellEnd"/>
      <w:r w:rsidR="00CB6800" w:rsidRPr="008B1988">
        <w:rPr>
          <w:rFonts w:ascii="Times New Roman" w:eastAsia="Times New Roman" w:hAnsi="Times New Roman" w:cs="Times New Roman"/>
          <w:sz w:val="18"/>
          <w:szCs w:val="18"/>
        </w:rPr>
        <w:t xml:space="preserve"> emission and Brainstem Evoked Response Audiometry (BERA). </w:t>
      </w:r>
    </w:p>
    <w:p w:rsidR="008B1988" w:rsidRPr="008B1988" w:rsidRDefault="00CB6800" w:rsidP="008B1988">
      <w:pPr>
        <w:spacing w:after="0" w:line="360" w:lineRule="auto"/>
        <w:jc w:val="both"/>
        <w:rPr>
          <w:rFonts w:ascii="Times New Roman" w:eastAsia="Times New Roman" w:hAnsi="Times New Roman" w:cs="Times New Roman"/>
          <w:b/>
          <w:sz w:val="18"/>
          <w:szCs w:val="18"/>
        </w:rPr>
      </w:pPr>
      <w:r w:rsidRPr="008B1988">
        <w:rPr>
          <w:rFonts w:ascii="Times New Roman" w:eastAsia="Times New Roman" w:hAnsi="Times New Roman" w:cs="Times New Roman"/>
          <w:b/>
          <w:color w:val="000000"/>
          <w:sz w:val="18"/>
          <w:szCs w:val="18"/>
        </w:rPr>
        <w:t xml:space="preserve">MATERIAL AND METHODS: </w:t>
      </w:r>
      <w:r w:rsidRPr="008B1988">
        <w:rPr>
          <w:rFonts w:ascii="Times New Roman" w:eastAsia="Times New Roman" w:hAnsi="Times New Roman" w:cs="Times New Roman"/>
          <w:sz w:val="18"/>
          <w:szCs w:val="18"/>
        </w:rPr>
        <w:t xml:space="preserve">We conducted a hospital based, observational study on 300 infants during the year 2021 meeting inclusion and exclusion criteria, in department of Paediatrics, </w:t>
      </w:r>
      <w:proofErr w:type="spellStart"/>
      <w:r w:rsidRPr="008B1988">
        <w:rPr>
          <w:rFonts w:ascii="Times New Roman" w:eastAsia="Times New Roman" w:hAnsi="Times New Roman" w:cs="Times New Roman"/>
          <w:sz w:val="18"/>
          <w:szCs w:val="18"/>
        </w:rPr>
        <w:t>Govt</w:t>
      </w:r>
      <w:proofErr w:type="spellEnd"/>
      <w:r w:rsidRPr="008B1988">
        <w:rPr>
          <w:rFonts w:ascii="Times New Roman" w:eastAsia="Times New Roman" w:hAnsi="Times New Roman" w:cs="Times New Roman"/>
          <w:sz w:val="18"/>
          <w:szCs w:val="18"/>
        </w:rPr>
        <w:t xml:space="preserve"> S.K. Medical College, </w:t>
      </w:r>
      <w:proofErr w:type="spellStart"/>
      <w:proofErr w:type="gramStart"/>
      <w:r w:rsidRPr="008B1988">
        <w:rPr>
          <w:rFonts w:ascii="Times New Roman" w:eastAsia="Times New Roman" w:hAnsi="Times New Roman" w:cs="Times New Roman"/>
          <w:sz w:val="18"/>
          <w:szCs w:val="18"/>
        </w:rPr>
        <w:t>Sikar</w:t>
      </w:r>
      <w:proofErr w:type="spellEnd"/>
      <w:proofErr w:type="gramEnd"/>
      <w:r w:rsidRPr="008B1988">
        <w:rPr>
          <w:rFonts w:ascii="Times New Roman" w:eastAsia="Times New Roman" w:hAnsi="Times New Roman" w:cs="Times New Roman"/>
          <w:sz w:val="18"/>
          <w:szCs w:val="18"/>
        </w:rPr>
        <w:t xml:space="preserve"> from </w:t>
      </w:r>
      <w:proofErr w:type="spellStart"/>
      <w:r w:rsidRPr="008B1988">
        <w:rPr>
          <w:rFonts w:ascii="Times New Roman" w:eastAsia="Times New Roman" w:hAnsi="Times New Roman" w:cs="Times New Roman"/>
          <w:sz w:val="18"/>
          <w:szCs w:val="18"/>
        </w:rPr>
        <w:t>febuary</w:t>
      </w:r>
      <w:proofErr w:type="spellEnd"/>
      <w:r w:rsidRPr="008B1988">
        <w:rPr>
          <w:rFonts w:ascii="Times New Roman" w:eastAsia="Times New Roman" w:hAnsi="Times New Roman" w:cs="Times New Roman"/>
          <w:sz w:val="18"/>
          <w:szCs w:val="18"/>
        </w:rPr>
        <w:t xml:space="preserve"> 2021 to Oct 2021.</w:t>
      </w:r>
      <w:r w:rsidRPr="008B1988">
        <w:rPr>
          <w:rFonts w:ascii="Times New Roman" w:eastAsia="Times New Roman" w:hAnsi="Times New Roman" w:cs="Times New Roman"/>
          <w:b/>
          <w:sz w:val="18"/>
          <w:szCs w:val="18"/>
        </w:rPr>
        <w:t xml:space="preserve"> </w:t>
      </w:r>
    </w:p>
    <w:p w:rsidR="008B1988" w:rsidRPr="008B1988" w:rsidRDefault="00CB6800" w:rsidP="008B1988">
      <w:pPr>
        <w:spacing w:after="0" w:line="360" w:lineRule="auto"/>
        <w:jc w:val="both"/>
        <w:rPr>
          <w:rFonts w:ascii="Times New Roman" w:eastAsia="Times New Roman" w:hAnsi="Times New Roman" w:cs="Times New Roman"/>
          <w:b/>
          <w:sz w:val="18"/>
          <w:szCs w:val="18"/>
        </w:rPr>
      </w:pPr>
      <w:r w:rsidRPr="008B1988">
        <w:rPr>
          <w:rFonts w:ascii="Times New Roman" w:eastAsia="Times New Roman" w:hAnsi="Times New Roman" w:cs="Times New Roman"/>
          <w:b/>
          <w:sz w:val="18"/>
          <w:szCs w:val="18"/>
        </w:rPr>
        <w:t xml:space="preserve">RESULTS: </w:t>
      </w:r>
      <w:r w:rsidRPr="008B1988">
        <w:rPr>
          <w:rFonts w:ascii="Times New Roman" w:eastAsia="Times New Roman" w:hAnsi="Times New Roman" w:cs="Times New Roman"/>
          <w:sz w:val="18"/>
          <w:szCs w:val="18"/>
        </w:rPr>
        <w:t>A total 300 high risk neonates who fulfil the inclusion criteria were screened. 90 neonates were referred by OAE 1</w:t>
      </w:r>
      <w:r w:rsidRPr="008B1988">
        <w:rPr>
          <w:rFonts w:ascii="Times New Roman" w:eastAsia="Times New Roman" w:hAnsi="Times New Roman" w:cs="Times New Roman"/>
          <w:sz w:val="18"/>
          <w:szCs w:val="18"/>
          <w:vertAlign w:val="superscript"/>
        </w:rPr>
        <w:t>st</w:t>
      </w:r>
      <w:r w:rsidRPr="008B1988">
        <w:rPr>
          <w:rFonts w:ascii="Times New Roman" w:eastAsia="Times New Roman" w:hAnsi="Times New Roman" w:cs="Times New Roman"/>
          <w:sz w:val="18"/>
          <w:szCs w:val="18"/>
        </w:rPr>
        <w:t xml:space="preserve"> to OAE 2</w:t>
      </w:r>
      <w:r w:rsidRPr="008B1988">
        <w:rPr>
          <w:rFonts w:ascii="Times New Roman" w:eastAsia="Times New Roman" w:hAnsi="Times New Roman" w:cs="Times New Roman"/>
          <w:sz w:val="18"/>
          <w:szCs w:val="18"/>
          <w:vertAlign w:val="superscript"/>
        </w:rPr>
        <w:t>nd</w:t>
      </w:r>
      <w:r w:rsidRPr="008B1988">
        <w:rPr>
          <w:rFonts w:ascii="Times New Roman" w:eastAsia="Times New Roman" w:hAnsi="Times New Roman" w:cs="Times New Roman"/>
          <w:sz w:val="18"/>
          <w:szCs w:val="18"/>
        </w:rPr>
        <w:t>; 56 neonates were referred to BERA by OAE 2</w:t>
      </w:r>
      <w:r w:rsidRPr="008B1988">
        <w:rPr>
          <w:rFonts w:ascii="Times New Roman" w:eastAsia="Times New Roman" w:hAnsi="Times New Roman" w:cs="Times New Roman"/>
          <w:sz w:val="18"/>
          <w:szCs w:val="18"/>
          <w:vertAlign w:val="superscript"/>
        </w:rPr>
        <w:t>nd</w:t>
      </w:r>
      <w:r w:rsidRPr="008B1988">
        <w:rPr>
          <w:rFonts w:ascii="Times New Roman" w:eastAsia="Times New Roman" w:hAnsi="Times New Roman" w:cs="Times New Roman"/>
          <w:sz w:val="18"/>
          <w:szCs w:val="18"/>
        </w:rPr>
        <w:t xml:space="preserve">. These 25 neonates were subjected to BERA of which 15 </w:t>
      </w:r>
      <w:r w:rsidRPr="008B1988">
        <w:rPr>
          <w:rFonts w:ascii="Times New Roman" w:eastAsia="Times New Roman" w:hAnsi="Times New Roman" w:cs="Times New Roman"/>
          <w:b/>
          <w:sz w:val="18"/>
          <w:szCs w:val="18"/>
        </w:rPr>
        <w:t>(5.0%)</w:t>
      </w:r>
      <w:r w:rsidRPr="008B1988">
        <w:rPr>
          <w:rFonts w:ascii="Times New Roman" w:eastAsia="Times New Roman" w:hAnsi="Times New Roman" w:cs="Times New Roman"/>
          <w:sz w:val="18"/>
          <w:szCs w:val="18"/>
        </w:rPr>
        <w:t xml:space="preserve"> neonates were found to have abnormal BERA i.e. hearing impairment. Hearing impairment increases from cases with one risk factor (0%), 2 risk factors (5.5%), 5 risk factors (8.33%), 6 risk factors (14.6%), 7 risk factors (66.66%) to 8 risk factors (100%).</w:t>
      </w:r>
      <w:r w:rsidRPr="008B1988">
        <w:rPr>
          <w:rFonts w:ascii="Times New Roman" w:eastAsia="Times New Roman" w:hAnsi="Times New Roman" w:cs="Times New Roman"/>
          <w:b/>
          <w:sz w:val="18"/>
          <w:szCs w:val="18"/>
        </w:rPr>
        <w:t xml:space="preserve"> </w:t>
      </w:r>
    </w:p>
    <w:p w:rsidR="007714BA" w:rsidRPr="008B1988" w:rsidRDefault="00CB6800" w:rsidP="008B1988">
      <w:pPr>
        <w:spacing w:after="0" w:line="360" w:lineRule="auto"/>
        <w:jc w:val="both"/>
        <w:rPr>
          <w:rFonts w:ascii="Times New Roman" w:eastAsia="Times New Roman" w:hAnsi="Times New Roman" w:cs="Times New Roman"/>
          <w:sz w:val="18"/>
          <w:szCs w:val="18"/>
        </w:rPr>
      </w:pPr>
      <w:r w:rsidRPr="008B1988">
        <w:rPr>
          <w:rFonts w:ascii="Times New Roman" w:eastAsia="Times New Roman" w:hAnsi="Times New Roman" w:cs="Times New Roman"/>
          <w:b/>
          <w:sz w:val="18"/>
          <w:szCs w:val="18"/>
        </w:rPr>
        <w:t xml:space="preserve">CONCLUSION: </w:t>
      </w:r>
      <w:r w:rsidRPr="008B1988">
        <w:rPr>
          <w:rFonts w:ascii="Times New Roman" w:eastAsia="Times New Roman" w:hAnsi="Times New Roman" w:cs="Times New Roman"/>
          <w:sz w:val="18"/>
          <w:szCs w:val="18"/>
        </w:rPr>
        <w:t>This study shows that early identification of hearing loss can be done by screening tests. Early diagnosis and treatment can prevent a significant hearing loss.</w:t>
      </w:r>
    </w:p>
    <w:p w:rsidR="008B1988" w:rsidRPr="008B1988" w:rsidRDefault="008B1988" w:rsidP="008B1988">
      <w:pPr>
        <w:spacing w:after="0" w:line="360" w:lineRule="auto"/>
        <w:jc w:val="both"/>
        <w:rPr>
          <w:rFonts w:ascii="Times New Roman" w:eastAsia="Times New Roman" w:hAnsi="Times New Roman" w:cs="Times New Roman"/>
          <w:sz w:val="20"/>
          <w:szCs w:val="20"/>
        </w:rPr>
      </w:pPr>
    </w:p>
    <w:p w:rsidR="007714BA" w:rsidRPr="008B1988" w:rsidRDefault="008B1988" w:rsidP="008B1988">
      <w:pPr>
        <w:spacing w:after="0" w:line="360" w:lineRule="auto"/>
        <w:jc w:val="both"/>
        <w:rPr>
          <w:rFonts w:ascii="Times New Roman" w:eastAsia="Times New Roman" w:hAnsi="Times New Roman" w:cs="Times New Roman"/>
          <w:b/>
          <w:sz w:val="20"/>
          <w:szCs w:val="20"/>
        </w:rPr>
      </w:pPr>
      <w:r w:rsidRPr="008B1988">
        <w:rPr>
          <w:rFonts w:ascii="Times New Roman" w:eastAsia="Times New Roman" w:hAnsi="Times New Roman" w:cs="Times New Roman"/>
          <w:b/>
          <w:sz w:val="20"/>
          <w:szCs w:val="20"/>
        </w:rPr>
        <w:t>INTRODUCTION</w:t>
      </w:r>
      <w:r>
        <w:rPr>
          <w:rFonts w:ascii="Times New Roman" w:eastAsia="Times New Roman" w:hAnsi="Times New Roman" w:cs="Times New Roman"/>
          <w:b/>
          <w:sz w:val="20"/>
          <w:szCs w:val="20"/>
        </w:rPr>
        <w:t>:</w:t>
      </w:r>
    </w:p>
    <w:p w:rsidR="007714BA" w:rsidRPr="008B1988" w:rsidRDefault="00CB6800" w:rsidP="008B1988">
      <w:pPr>
        <w:spacing w:after="0" w:line="360" w:lineRule="auto"/>
        <w:jc w:val="both"/>
        <w:rPr>
          <w:rFonts w:ascii="Times New Roman" w:eastAsia="Times New Roman" w:hAnsi="Times New Roman" w:cs="Times New Roman"/>
          <w:sz w:val="20"/>
          <w:szCs w:val="20"/>
        </w:rPr>
      </w:pPr>
      <w:r w:rsidRPr="008B1988">
        <w:rPr>
          <w:rFonts w:ascii="Times New Roman" w:eastAsia="Times New Roman" w:hAnsi="Times New Roman" w:cs="Times New Roman"/>
          <w:sz w:val="20"/>
          <w:szCs w:val="20"/>
        </w:rPr>
        <w:t>An important aspect of child’s development is the acquisition and production of spoken language. Language is the key to express our thoughts, feelings and needs by which we understand others. According to UNICEF analysis, each year approximately 126,000-500,000 infants are born with significant hearing loss and about 90% of them live in developing countries</w:t>
      </w:r>
      <w:r w:rsidRPr="008B1988">
        <w:rPr>
          <w:rFonts w:ascii="Times New Roman" w:eastAsia="Times New Roman" w:hAnsi="Times New Roman" w:cs="Times New Roman"/>
          <w:sz w:val="20"/>
          <w:szCs w:val="20"/>
          <w:vertAlign w:val="superscript"/>
        </w:rPr>
        <w:t>1</w:t>
      </w:r>
      <w:r w:rsidRPr="008B1988">
        <w:rPr>
          <w:rFonts w:ascii="Times New Roman" w:eastAsia="Times New Roman" w:hAnsi="Times New Roman" w:cs="Times New Roman"/>
          <w:sz w:val="20"/>
          <w:szCs w:val="20"/>
        </w:rPr>
        <w:t>. Speech and hearing are inter related, i.e., a problem with one could mean a problem with the other as speech and language is acquired normally through auditory system. The prevalence of mild to profound hearing loss is reported to be between 1.1- 6 per 1,000 live-births and with prevalence of hearing loss is estimated to be between 2.5%-10% among high-risk infants</w:t>
      </w:r>
      <w:r w:rsidRPr="008B1988">
        <w:rPr>
          <w:rFonts w:ascii="Times New Roman" w:eastAsia="Times New Roman" w:hAnsi="Times New Roman" w:cs="Times New Roman"/>
          <w:sz w:val="20"/>
          <w:szCs w:val="20"/>
          <w:vertAlign w:val="superscript"/>
        </w:rPr>
        <w:t>2</w:t>
      </w:r>
      <w:r w:rsidRPr="008B1988">
        <w:rPr>
          <w:rFonts w:ascii="Times New Roman" w:eastAsia="Times New Roman" w:hAnsi="Times New Roman" w:cs="Times New Roman"/>
          <w:sz w:val="20"/>
          <w:szCs w:val="20"/>
        </w:rPr>
        <w:t>.</w:t>
      </w:r>
    </w:p>
    <w:p w:rsidR="007714BA" w:rsidRPr="008B1988" w:rsidRDefault="00CB6800" w:rsidP="008B1988">
      <w:pPr>
        <w:spacing w:after="0" w:line="360" w:lineRule="auto"/>
        <w:jc w:val="both"/>
        <w:rPr>
          <w:rFonts w:ascii="Times New Roman" w:eastAsia="Times New Roman" w:hAnsi="Times New Roman" w:cs="Times New Roman"/>
          <w:sz w:val="20"/>
          <w:szCs w:val="20"/>
        </w:rPr>
      </w:pPr>
      <w:r w:rsidRPr="008B1988">
        <w:rPr>
          <w:rFonts w:ascii="Times New Roman" w:eastAsia="Times New Roman" w:hAnsi="Times New Roman" w:cs="Times New Roman"/>
          <w:sz w:val="20"/>
          <w:szCs w:val="20"/>
        </w:rPr>
        <w:t xml:space="preserve">In most countries, </w:t>
      </w:r>
      <w:proofErr w:type="spellStart"/>
      <w:r w:rsidRPr="008B1988">
        <w:rPr>
          <w:rFonts w:ascii="Times New Roman" w:eastAsia="Times New Roman" w:hAnsi="Times New Roman" w:cs="Times New Roman"/>
          <w:sz w:val="20"/>
          <w:szCs w:val="20"/>
        </w:rPr>
        <w:t>newborn</w:t>
      </w:r>
      <w:proofErr w:type="spellEnd"/>
      <w:r w:rsidRPr="008B1988">
        <w:rPr>
          <w:rFonts w:ascii="Times New Roman" w:eastAsia="Times New Roman" w:hAnsi="Times New Roman" w:cs="Times New Roman"/>
          <w:sz w:val="20"/>
          <w:szCs w:val="20"/>
        </w:rPr>
        <w:t xml:space="preserve"> hearing screening programmes that screen only high-risk infants have been in existence for more than 20 years. However, this group of infants with hearing loss comprises only 50% of </w:t>
      </w:r>
      <w:proofErr w:type="spellStart"/>
      <w:r w:rsidRPr="008B1988">
        <w:rPr>
          <w:rFonts w:ascii="Times New Roman" w:eastAsia="Times New Roman" w:hAnsi="Times New Roman" w:cs="Times New Roman"/>
          <w:sz w:val="20"/>
          <w:szCs w:val="20"/>
        </w:rPr>
        <w:t>newborn</w:t>
      </w:r>
      <w:proofErr w:type="spellEnd"/>
      <w:r w:rsidRPr="008B1988">
        <w:rPr>
          <w:rFonts w:ascii="Times New Roman" w:eastAsia="Times New Roman" w:hAnsi="Times New Roman" w:cs="Times New Roman"/>
          <w:sz w:val="20"/>
          <w:szCs w:val="20"/>
        </w:rPr>
        <w:t xml:space="preserve"> population with hearing loss. Therefore, hearing screening programmes that screened only high-risk infants missed out 50% of hearing-impaired </w:t>
      </w:r>
      <w:proofErr w:type="spellStart"/>
      <w:r w:rsidRPr="008B1988">
        <w:rPr>
          <w:rFonts w:ascii="Times New Roman" w:eastAsia="Times New Roman" w:hAnsi="Times New Roman" w:cs="Times New Roman"/>
          <w:sz w:val="20"/>
          <w:szCs w:val="20"/>
        </w:rPr>
        <w:t>newborns</w:t>
      </w:r>
      <w:proofErr w:type="spellEnd"/>
      <w:r w:rsidRPr="008B1988">
        <w:rPr>
          <w:rFonts w:ascii="Times New Roman" w:eastAsia="Times New Roman" w:hAnsi="Times New Roman" w:cs="Times New Roman"/>
          <w:sz w:val="20"/>
          <w:szCs w:val="20"/>
        </w:rPr>
        <w:t xml:space="preserve">, who are from infants without any risk factors. Also, as hearing loss is an invisible disability it cannot be passively identified until the child fails to develop speech and language. Hearing impairment in infants should be identified as early as possible to enable interventions to take full advantage of the plasticity of developing sensory system. Hearing integrity in the first 3-4 years of life, the ‘critical period’, is essential for acquisition of speech and language. Technological advancement in screening instrumentation within the last two </w:t>
      </w:r>
      <w:r w:rsidRPr="008B1988">
        <w:rPr>
          <w:rFonts w:ascii="Times New Roman" w:eastAsia="Times New Roman" w:hAnsi="Times New Roman" w:cs="Times New Roman"/>
          <w:sz w:val="20"/>
          <w:szCs w:val="20"/>
        </w:rPr>
        <w:lastRenderedPageBreak/>
        <w:t xml:space="preserve">decades have resulted in the introduction of two new objective tests namely </w:t>
      </w:r>
      <w:proofErr w:type="spellStart"/>
      <w:r w:rsidRPr="008B1988">
        <w:rPr>
          <w:rFonts w:ascii="Times New Roman" w:eastAsia="Times New Roman" w:hAnsi="Times New Roman" w:cs="Times New Roman"/>
          <w:sz w:val="20"/>
          <w:szCs w:val="20"/>
        </w:rPr>
        <w:t>Otoacoustic</w:t>
      </w:r>
      <w:proofErr w:type="spellEnd"/>
      <w:r w:rsidRPr="008B1988">
        <w:rPr>
          <w:rFonts w:ascii="Times New Roman" w:eastAsia="Times New Roman" w:hAnsi="Times New Roman" w:cs="Times New Roman"/>
          <w:sz w:val="20"/>
          <w:szCs w:val="20"/>
        </w:rPr>
        <w:t xml:space="preserve"> Emission and Auditory Brain Stem Response/ Brainstem Evoked Response Audiometry (BERA). </w:t>
      </w:r>
    </w:p>
    <w:p w:rsidR="007714BA" w:rsidRPr="008B1988" w:rsidRDefault="00CB6800" w:rsidP="008B1988">
      <w:pPr>
        <w:spacing w:after="0" w:line="360" w:lineRule="auto"/>
        <w:jc w:val="both"/>
        <w:rPr>
          <w:rFonts w:ascii="Times New Roman" w:eastAsia="Times New Roman" w:hAnsi="Times New Roman" w:cs="Times New Roman"/>
          <w:sz w:val="20"/>
          <w:szCs w:val="20"/>
        </w:rPr>
      </w:pPr>
      <w:r w:rsidRPr="008B1988">
        <w:rPr>
          <w:rFonts w:ascii="Times New Roman" w:eastAsia="Times New Roman" w:hAnsi="Times New Roman" w:cs="Times New Roman"/>
          <w:sz w:val="20"/>
          <w:szCs w:val="20"/>
        </w:rPr>
        <w:t xml:space="preserve">Universal </w:t>
      </w:r>
      <w:proofErr w:type="spellStart"/>
      <w:r w:rsidRPr="008B1988">
        <w:rPr>
          <w:rFonts w:ascii="Times New Roman" w:eastAsia="Times New Roman" w:hAnsi="Times New Roman" w:cs="Times New Roman"/>
          <w:sz w:val="20"/>
          <w:szCs w:val="20"/>
        </w:rPr>
        <w:t>newborn</w:t>
      </w:r>
      <w:proofErr w:type="spellEnd"/>
      <w:r w:rsidRPr="008B1988">
        <w:rPr>
          <w:rFonts w:ascii="Times New Roman" w:eastAsia="Times New Roman" w:hAnsi="Times New Roman" w:cs="Times New Roman"/>
          <w:sz w:val="20"/>
          <w:szCs w:val="20"/>
        </w:rPr>
        <w:t xml:space="preserve"> hearing screening; the goal is to achieve the highest possible yield from a wide screening coverage that is associated with a low referral rate. When only OAE is used infants with auditory neuropathy will be missed while ABR may miss infants with mild SNHL or with high-frequency hearing loss. The most preferred option is to combine both the tests in a two-stage screening programme</w:t>
      </w:r>
      <w:r w:rsidRPr="008B1988">
        <w:rPr>
          <w:rFonts w:ascii="Times New Roman" w:eastAsia="Times New Roman" w:hAnsi="Times New Roman" w:cs="Times New Roman"/>
          <w:sz w:val="20"/>
          <w:szCs w:val="20"/>
          <w:vertAlign w:val="superscript"/>
        </w:rPr>
        <w:t>3</w:t>
      </w:r>
      <w:r w:rsidRPr="008B1988">
        <w:rPr>
          <w:rFonts w:ascii="Times New Roman" w:eastAsia="Times New Roman" w:hAnsi="Times New Roman" w:cs="Times New Roman"/>
          <w:sz w:val="20"/>
          <w:szCs w:val="20"/>
        </w:rPr>
        <w:t>. With the ability to detect and diagnose an infant with hearing loss soon after birth, there is now no reason why any infant born with a hearing loss should experience anything but normal speech and language development as a result of early intervention</w:t>
      </w:r>
      <w:r w:rsidRPr="008B1988">
        <w:rPr>
          <w:rFonts w:ascii="Times New Roman" w:eastAsia="Times New Roman" w:hAnsi="Times New Roman" w:cs="Times New Roman"/>
          <w:sz w:val="20"/>
          <w:szCs w:val="20"/>
          <w:vertAlign w:val="superscript"/>
        </w:rPr>
        <w:t>4</w:t>
      </w:r>
      <w:r w:rsidRPr="008B1988">
        <w:rPr>
          <w:rFonts w:ascii="Times New Roman" w:eastAsia="Times New Roman" w:hAnsi="Times New Roman" w:cs="Times New Roman"/>
          <w:sz w:val="20"/>
          <w:szCs w:val="20"/>
        </w:rPr>
        <w:t>.</w:t>
      </w:r>
    </w:p>
    <w:p w:rsidR="007714BA" w:rsidRPr="008B1988" w:rsidRDefault="008B1988" w:rsidP="008B1988">
      <w:pPr>
        <w:spacing w:after="0" w:line="360" w:lineRule="auto"/>
        <w:jc w:val="both"/>
        <w:rPr>
          <w:rFonts w:ascii="Times New Roman" w:eastAsia="Times New Roman" w:hAnsi="Times New Roman" w:cs="Times New Roman"/>
          <w:b/>
          <w:sz w:val="20"/>
          <w:szCs w:val="20"/>
        </w:rPr>
      </w:pPr>
      <w:r w:rsidRPr="008B1988">
        <w:rPr>
          <w:rFonts w:ascii="Times New Roman" w:eastAsia="Times New Roman" w:hAnsi="Times New Roman" w:cs="Times New Roman"/>
          <w:b/>
          <w:sz w:val="20"/>
          <w:szCs w:val="20"/>
        </w:rPr>
        <w:t>AIM</w:t>
      </w:r>
      <w:r>
        <w:rPr>
          <w:rFonts w:ascii="Times New Roman" w:eastAsia="Times New Roman" w:hAnsi="Times New Roman" w:cs="Times New Roman"/>
          <w:b/>
          <w:sz w:val="20"/>
          <w:szCs w:val="20"/>
        </w:rPr>
        <w:t>:</w:t>
      </w:r>
    </w:p>
    <w:p w:rsidR="007714BA" w:rsidRPr="008B1988" w:rsidRDefault="00CB6800" w:rsidP="008B1988">
      <w:pPr>
        <w:spacing w:after="0" w:line="360" w:lineRule="auto"/>
        <w:jc w:val="both"/>
        <w:rPr>
          <w:rFonts w:ascii="Times New Roman" w:eastAsia="Times New Roman" w:hAnsi="Times New Roman" w:cs="Times New Roman"/>
          <w:sz w:val="20"/>
          <w:szCs w:val="20"/>
        </w:rPr>
      </w:pPr>
      <w:r w:rsidRPr="008B1988">
        <w:rPr>
          <w:rFonts w:ascii="Times New Roman" w:eastAsia="Times New Roman" w:hAnsi="Times New Roman" w:cs="Times New Roman"/>
          <w:sz w:val="20"/>
          <w:szCs w:val="20"/>
        </w:rPr>
        <w:t xml:space="preserve">To evaluate the risk factors and hearing impairment in infants using </w:t>
      </w:r>
      <w:proofErr w:type="spellStart"/>
      <w:r w:rsidRPr="008B1988">
        <w:rPr>
          <w:rFonts w:ascii="Times New Roman" w:eastAsia="Times New Roman" w:hAnsi="Times New Roman" w:cs="Times New Roman"/>
          <w:sz w:val="20"/>
          <w:szCs w:val="20"/>
        </w:rPr>
        <w:t>otoacoustic</w:t>
      </w:r>
      <w:proofErr w:type="spellEnd"/>
      <w:r w:rsidRPr="008B1988">
        <w:rPr>
          <w:rFonts w:ascii="Times New Roman" w:eastAsia="Times New Roman" w:hAnsi="Times New Roman" w:cs="Times New Roman"/>
          <w:sz w:val="20"/>
          <w:szCs w:val="20"/>
        </w:rPr>
        <w:t xml:space="preserve"> emission and Brainstem Evoked Response Audiometry (BERA)</w:t>
      </w:r>
    </w:p>
    <w:p w:rsidR="007714BA" w:rsidRPr="008B1988" w:rsidRDefault="008B1988" w:rsidP="008B1988">
      <w:pPr>
        <w:spacing w:after="0" w:line="360" w:lineRule="auto"/>
        <w:jc w:val="both"/>
        <w:rPr>
          <w:rFonts w:ascii="Times New Roman" w:eastAsia="Times New Roman" w:hAnsi="Times New Roman" w:cs="Times New Roman"/>
          <w:b/>
          <w:sz w:val="20"/>
          <w:szCs w:val="20"/>
        </w:rPr>
      </w:pPr>
      <w:r w:rsidRPr="008B1988">
        <w:rPr>
          <w:rFonts w:ascii="Times New Roman" w:eastAsia="Times New Roman" w:hAnsi="Times New Roman" w:cs="Times New Roman"/>
          <w:b/>
          <w:sz w:val="20"/>
          <w:szCs w:val="20"/>
        </w:rPr>
        <w:t>METHODS</w:t>
      </w:r>
      <w:r>
        <w:rPr>
          <w:rFonts w:ascii="Times New Roman" w:eastAsia="Times New Roman" w:hAnsi="Times New Roman" w:cs="Times New Roman"/>
          <w:b/>
          <w:sz w:val="20"/>
          <w:szCs w:val="20"/>
        </w:rPr>
        <w:t>:</w:t>
      </w:r>
    </w:p>
    <w:p w:rsidR="007714BA" w:rsidRPr="008B1988" w:rsidRDefault="00CB6800" w:rsidP="008B1988">
      <w:pPr>
        <w:spacing w:after="0" w:line="360" w:lineRule="auto"/>
        <w:jc w:val="both"/>
        <w:rPr>
          <w:rFonts w:ascii="Times New Roman" w:eastAsia="Times New Roman" w:hAnsi="Times New Roman" w:cs="Times New Roman"/>
          <w:sz w:val="20"/>
          <w:szCs w:val="20"/>
        </w:rPr>
      </w:pPr>
      <w:r w:rsidRPr="008B1988">
        <w:rPr>
          <w:rFonts w:ascii="Times New Roman" w:eastAsia="Times New Roman" w:hAnsi="Times New Roman" w:cs="Times New Roman"/>
          <w:sz w:val="20"/>
          <w:szCs w:val="20"/>
        </w:rPr>
        <w:t xml:space="preserve">We conducted a hospital based, prospective, observational study on 300 high risk infants fulfilling inclusion and exclusion criteria and admitted at </w:t>
      </w:r>
      <w:r w:rsidRPr="008B1988">
        <w:rPr>
          <w:rFonts w:ascii="Times New Roman" w:eastAsia="Times New Roman" w:hAnsi="Times New Roman" w:cs="Times New Roman"/>
          <w:color w:val="000000"/>
          <w:sz w:val="20"/>
          <w:szCs w:val="20"/>
        </w:rPr>
        <w:t>NICU</w:t>
      </w:r>
      <w:r w:rsidRPr="008B1988">
        <w:rPr>
          <w:rFonts w:ascii="Times New Roman" w:eastAsia="Times New Roman" w:hAnsi="Times New Roman" w:cs="Times New Roman"/>
          <w:sz w:val="20"/>
          <w:szCs w:val="20"/>
        </w:rPr>
        <w:t xml:space="preserve"> and </w:t>
      </w:r>
      <w:proofErr w:type="spellStart"/>
      <w:r w:rsidRPr="008B1988">
        <w:rPr>
          <w:rFonts w:ascii="Times New Roman" w:eastAsia="Times New Roman" w:hAnsi="Times New Roman" w:cs="Times New Roman"/>
          <w:sz w:val="20"/>
          <w:szCs w:val="20"/>
        </w:rPr>
        <w:t>opd</w:t>
      </w:r>
      <w:proofErr w:type="spellEnd"/>
      <w:r w:rsidRPr="008B1988">
        <w:rPr>
          <w:rFonts w:ascii="Times New Roman" w:eastAsia="Times New Roman" w:hAnsi="Times New Roman" w:cs="Times New Roman"/>
          <w:sz w:val="20"/>
          <w:szCs w:val="20"/>
        </w:rPr>
        <w:t xml:space="preserve">, in Department of Paediatrics, </w:t>
      </w:r>
      <w:proofErr w:type="spellStart"/>
      <w:r w:rsidRPr="008B1988">
        <w:rPr>
          <w:rFonts w:ascii="Times New Roman" w:eastAsia="Times New Roman" w:hAnsi="Times New Roman" w:cs="Times New Roman"/>
          <w:sz w:val="20"/>
          <w:szCs w:val="20"/>
        </w:rPr>
        <w:t>Govt.S.K</w:t>
      </w:r>
      <w:proofErr w:type="spellEnd"/>
      <w:r w:rsidRPr="008B1988">
        <w:rPr>
          <w:rFonts w:ascii="Times New Roman" w:eastAsia="Times New Roman" w:hAnsi="Times New Roman" w:cs="Times New Roman"/>
          <w:sz w:val="20"/>
          <w:szCs w:val="20"/>
        </w:rPr>
        <w:t xml:space="preserve">. Medical College, </w:t>
      </w:r>
      <w:proofErr w:type="spellStart"/>
      <w:r w:rsidRPr="008B1988">
        <w:rPr>
          <w:rFonts w:ascii="Times New Roman" w:eastAsia="Times New Roman" w:hAnsi="Times New Roman" w:cs="Times New Roman"/>
          <w:sz w:val="20"/>
          <w:szCs w:val="20"/>
        </w:rPr>
        <w:t>Sikar</w:t>
      </w:r>
      <w:proofErr w:type="spellEnd"/>
      <w:r w:rsidRPr="008B1988">
        <w:rPr>
          <w:rFonts w:ascii="Times New Roman" w:eastAsia="Times New Roman" w:hAnsi="Times New Roman" w:cs="Times New Roman"/>
          <w:sz w:val="20"/>
          <w:szCs w:val="20"/>
        </w:rPr>
        <w:t xml:space="preserve"> from Feb 2021 to Oct 2021. Patients fulfilling the inclusion/exclusion criteria were included in the study after obtaining written informed consent from the parents. </w:t>
      </w:r>
      <w:proofErr w:type="spellStart"/>
      <w:r w:rsidRPr="008B1988">
        <w:rPr>
          <w:rFonts w:ascii="Times New Roman" w:eastAsia="Times New Roman" w:hAnsi="Times New Roman" w:cs="Times New Roman"/>
          <w:sz w:val="20"/>
          <w:szCs w:val="20"/>
        </w:rPr>
        <w:t>Infents</w:t>
      </w:r>
      <w:proofErr w:type="spellEnd"/>
      <w:r w:rsidRPr="008B1988">
        <w:rPr>
          <w:rFonts w:ascii="Times New Roman" w:eastAsia="Times New Roman" w:hAnsi="Times New Roman" w:cs="Times New Roman"/>
          <w:sz w:val="20"/>
          <w:szCs w:val="20"/>
        </w:rPr>
        <w:t xml:space="preserve"> with congenital genetic disorders, healthy </w:t>
      </w:r>
      <w:proofErr w:type="spellStart"/>
      <w:r w:rsidRPr="008B1988">
        <w:rPr>
          <w:rFonts w:ascii="Times New Roman" w:eastAsia="Times New Roman" w:hAnsi="Times New Roman" w:cs="Times New Roman"/>
          <w:sz w:val="20"/>
          <w:szCs w:val="20"/>
        </w:rPr>
        <w:t>infents</w:t>
      </w:r>
      <w:proofErr w:type="spellEnd"/>
      <w:r w:rsidRPr="008B1988">
        <w:rPr>
          <w:rFonts w:ascii="Times New Roman" w:eastAsia="Times New Roman" w:hAnsi="Times New Roman" w:cs="Times New Roman"/>
          <w:sz w:val="20"/>
          <w:szCs w:val="20"/>
        </w:rPr>
        <w:t xml:space="preserve"> and refused to participate </w:t>
      </w:r>
      <w:proofErr w:type="spellStart"/>
      <w:r w:rsidRPr="008B1988">
        <w:rPr>
          <w:rFonts w:ascii="Times New Roman" w:eastAsia="Times New Roman" w:hAnsi="Times New Roman" w:cs="Times New Roman"/>
          <w:sz w:val="20"/>
          <w:szCs w:val="20"/>
        </w:rPr>
        <w:t>infents</w:t>
      </w:r>
      <w:proofErr w:type="spellEnd"/>
      <w:r w:rsidRPr="008B1988">
        <w:rPr>
          <w:rFonts w:ascii="Times New Roman" w:eastAsia="Times New Roman" w:hAnsi="Times New Roman" w:cs="Times New Roman"/>
          <w:sz w:val="20"/>
          <w:szCs w:val="20"/>
        </w:rPr>
        <w:t xml:space="preserve"> were excluded from study. Detailed history taking, general and ENT examinations were done. OAE and BERA were done in all high risk infants included in the study. Syrup </w:t>
      </w:r>
      <w:proofErr w:type="spellStart"/>
      <w:r w:rsidRPr="008B1988">
        <w:rPr>
          <w:rFonts w:ascii="Times New Roman" w:eastAsia="Times New Roman" w:hAnsi="Times New Roman" w:cs="Times New Roman"/>
          <w:sz w:val="20"/>
          <w:szCs w:val="20"/>
        </w:rPr>
        <w:t>triclofos</w:t>
      </w:r>
      <w:proofErr w:type="spellEnd"/>
      <w:r w:rsidRPr="008B1988">
        <w:rPr>
          <w:rFonts w:ascii="Times New Roman" w:eastAsia="Times New Roman" w:hAnsi="Times New Roman" w:cs="Times New Roman"/>
          <w:sz w:val="20"/>
          <w:szCs w:val="20"/>
        </w:rPr>
        <w:t xml:space="preserve"> sodium 20mg/kg was given to sedate the infant half an hour before BERA. Intelligent hearing system BERA instrument was used. The morphology of the graph was noted until wave V is no longer identifiable. The minimum intensity at which wave V is identifiable was taken as the hearing threshold for that individual. Since threshold estimation was the only aim of the study, latencies and inter peak intervals was not be considered. The child’s hearing sensitivity was assessed based on the following: Normal hearing sensitivity </w:t>
      </w:r>
      <w:r w:rsidRPr="008B1988">
        <w:rPr>
          <w:rFonts w:ascii="Times New Roman" w:eastAsia="Times New Roman" w:hAnsi="Times New Roman" w:cs="Times New Roman"/>
          <w:sz w:val="20"/>
          <w:szCs w:val="20"/>
          <w:u w:val="single"/>
        </w:rPr>
        <w:t>&lt;</w:t>
      </w:r>
      <w:r w:rsidRPr="008B1988">
        <w:rPr>
          <w:rFonts w:ascii="Times New Roman" w:eastAsia="Times New Roman" w:hAnsi="Times New Roman" w:cs="Times New Roman"/>
          <w:sz w:val="20"/>
          <w:szCs w:val="20"/>
        </w:rPr>
        <w:t xml:space="preserve">25dB, Mild hearing impairment 26-40dB, Moderate hearing impairment 41-55dB, Moderately severe impairment 56-70dB, Severe hearing impairment 71-90dB, Profound hearing impairment 91+dB. The continuous variables were presented as </w:t>
      </w:r>
      <w:proofErr w:type="spellStart"/>
      <w:r w:rsidRPr="008B1988">
        <w:rPr>
          <w:rFonts w:ascii="Times New Roman" w:eastAsia="Times New Roman" w:hAnsi="Times New Roman" w:cs="Times New Roman"/>
          <w:sz w:val="20"/>
          <w:szCs w:val="20"/>
        </w:rPr>
        <w:t>mean±SD</w:t>
      </w:r>
      <w:proofErr w:type="spellEnd"/>
      <w:r w:rsidRPr="008B1988">
        <w:rPr>
          <w:rFonts w:ascii="Times New Roman" w:eastAsia="Times New Roman" w:hAnsi="Times New Roman" w:cs="Times New Roman"/>
          <w:sz w:val="20"/>
          <w:szCs w:val="20"/>
        </w:rPr>
        <w:t xml:space="preserve"> and dichotomous data as percentage. Appropriate statistical analysis was applied as and when required. A p value of &lt;0.05 was considered as significant.</w:t>
      </w:r>
    </w:p>
    <w:p w:rsidR="007714BA" w:rsidRPr="008B1988" w:rsidRDefault="00CB6800" w:rsidP="008B1988">
      <w:pPr>
        <w:spacing w:after="0" w:line="360" w:lineRule="auto"/>
        <w:jc w:val="both"/>
        <w:rPr>
          <w:rFonts w:ascii="Times New Roman" w:eastAsia="Times New Roman" w:hAnsi="Times New Roman" w:cs="Times New Roman"/>
          <w:b/>
          <w:sz w:val="20"/>
          <w:szCs w:val="20"/>
        </w:rPr>
      </w:pPr>
      <w:r w:rsidRPr="008B1988">
        <w:rPr>
          <w:rFonts w:ascii="Times New Roman" w:eastAsia="Times New Roman" w:hAnsi="Times New Roman" w:cs="Times New Roman"/>
          <w:b/>
          <w:sz w:val="20"/>
          <w:szCs w:val="20"/>
        </w:rPr>
        <w:t>RESULTS</w:t>
      </w:r>
    </w:p>
    <w:p w:rsidR="007714BA" w:rsidRPr="008B1988" w:rsidRDefault="00CB6800" w:rsidP="008B1988">
      <w:pPr>
        <w:spacing w:after="0" w:line="360" w:lineRule="auto"/>
        <w:jc w:val="both"/>
        <w:rPr>
          <w:rFonts w:ascii="Times New Roman" w:eastAsia="Times New Roman" w:hAnsi="Times New Roman" w:cs="Times New Roman"/>
          <w:sz w:val="20"/>
          <w:szCs w:val="20"/>
        </w:rPr>
      </w:pPr>
      <w:r w:rsidRPr="008B1988">
        <w:rPr>
          <w:rFonts w:ascii="Times New Roman" w:eastAsia="Times New Roman" w:hAnsi="Times New Roman" w:cs="Times New Roman"/>
          <w:sz w:val="20"/>
          <w:szCs w:val="20"/>
        </w:rPr>
        <w:t>A total 300 high risk neonates who fulfil the inclusion criteria were screened. Male infant (55%) while remaining 45% cases were female, 75% from rural area. 90 neonates were referred by OAE 1</w:t>
      </w:r>
      <w:r w:rsidRPr="008B1988">
        <w:rPr>
          <w:rFonts w:ascii="Times New Roman" w:eastAsia="Times New Roman" w:hAnsi="Times New Roman" w:cs="Times New Roman"/>
          <w:sz w:val="20"/>
          <w:szCs w:val="20"/>
          <w:vertAlign w:val="superscript"/>
        </w:rPr>
        <w:t>st</w:t>
      </w:r>
      <w:r w:rsidRPr="008B1988">
        <w:rPr>
          <w:rFonts w:ascii="Times New Roman" w:eastAsia="Times New Roman" w:hAnsi="Times New Roman" w:cs="Times New Roman"/>
          <w:sz w:val="20"/>
          <w:szCs w:val="20"/>
        </w:rPr>
        <w:t xml:space="preserve"> to OAE 2</w:t>
      </w:r>
      <w:r w:rsidRPr="008B1988">
        <w:rPr>
          <w:rFonts w:ascii="Times New Roman" w:eastAsia="Times New Roman" w:hAnsi="Times New Roman" w:cs="Times New Roman"/>
          <w:sz w:val="20"/>
          <w:szCs w:val="20"/>
          <w:vertAlign w:val="superscript"/>
        </w:rPr>
        <w:t>nd</w:t>
      </w:r>
      <w:r w:rsidRPr="008B1988">
        <w:rPr>
          <w:rFonts w:ascii="Times New Roman" w:eastAsia="Times New Roman" w:hAnsi="Times New Roman" w:cs="Times New Roman"/>
          <w:sz w:val="20"/>
          <w:szCs w:val="20"/>
        </w:rPr>
        <w:t>; 25 neonates were referred to BERA by OAE 2</w:t>
      </w:r>
      <w:r w:rsidRPr="008B1988">
        <w:rPr>
          <w:rFonts w:ascii="Times New Roman" w:eastAsia="Times New Roman" w:hAnsi="Times New Roman" w:cs="Times New Roman"/>
          <w:sz w:val="20"/>
          <w:szCs w:val="20"/>
          <w:vertAlign w:val="superscript"/>
        </w:rPr>
        <w:t>nd</w:t>
      </w:r>
      <w:r w:rsidRPr="008B1988">
        <w:rPr>
          <w:rFonts w:ascii="Times New Roman" w:eastAsia="Times New Roman" w:hAnsi="Times New Roman" w:cs="Times New Roman"/>
          <w:sz w:val="20"/>
          <w:szCs w:val="20"/>
        </w:rPr>
        <w:t xml:space="preserve">. These 25 neonates were subjected to BERA of which 15 </w:t>
      </w:r>
      <w:r w:rsidRPr="008B1988">
        <w:rPr>
          <w:rFonts w:ascii="Times New Roman" w:eastAsia="Times New Roman" w:hAnsi="Times New Roman" w:cs="Times New Roman"/>
          <w:b/>
          <w:sz w:val="20"/>
          <w:szCs w:val="20"/>
        </w:rPr>
        <w:t>(5.0%)</w:t>
      </w:r>
      <w:r w:rsidRPr="008B1988">
        <w:rPr>
          <w:rFonts w:ascii="Times New Roman" w:eastAsia="Times New Roman" w:hAnsi="Times New Roman" w:cs="Times New Roman"/>
          <w:sz w:val="20"/>
          <w:szCs w:val="20"/>
        </w:rPr>
        <w:t xml:space="preserve"> neonates were found to have abnormal BERA i.e. hearing impairment. Out </w:t>
      </w:r>
      <w:proofErr w:type="spellStart"/>
      <w:r w:rsidRPr="008B1988">
        <w:rPr>
          <w:rFonts w:ascii="Times New Roman" w:eastAsia="Times New Roman" w:hAnsi="Times New Roman" w:cs="Times New Roman"/>
          <w:sz w:val="20"/>
          <w:szCs w:val="20"/>
        </w:rPr>
        <w:t>off</w:t>
      </w:r>
      <w:proofErr w:type="spellEnd"/>
      <w:r w:rsidRPr="008B1988">
        <w:rPr>
          <w:rFonts w:ascii="Times New Roman" w:eastAsia="Times New Roman" w:hAnsi="Times New Roman" w:cs="Times New Roman"/>
          <w:sz w:val="20"/>
          <w:szCs w:val="20"/>
        </w:rPr>
        <w:t xml:space="preserve"> 15 </w:t>
      </w:r>
      <w:proofErr w:type="spellStart"/>
      <w:r w:rsidRPr="008B1988">
        <w:rPr>
          <w:rFonts w:ascii="Times New Roman" w:eastAsia="Times New Roman" w:hAnsi="Times New Roman" w:cs="Times New Roman"/>
          <w:sz w:val="20"/>
          <w:szCs w:val="20"/>
        </w:rPr>
        <w:t>infents</w:t>
      </w:r>
      <w:proofErr w:type="spellEnd"/>
      <w:r w:rsidRPr="008B1988">
        <w:rPr>
          <w:rFonts w:ascii="Times New Roman" w:eastAsia="Times New Roman" w:hAnsi="Times New Roman" w:cs="Times New Roman"/>
          <w:sz w:val="20"/>
          <w:szCs w:val="20"/>
        </w:rPr>
        <w:t xml:space="preserve"> maximum 60% had bilateral failed on </w:t>
      </w:r>
      <w:proofErr w:type="gramStart"/>
      <w:r w:rsidRPr="008B1988">
        <w:rPr>
          <w:rFonts w:ascii="Times New Roman" w:eastAsia="Times New Roman" w:hAnsi="Times New Roman" w:cs="Times New Roman"/>
          <w:sz w:val="20"/>
          <w:szCs w:val="20"/>
        </w:rPr>
        <w:t>BERA.</w:t>
      </w:r>
      <w:proofErr w:type="gramEnd"/>
    </w:p>
    <w:p w:rsidR="008B1988" w:rsidRDefault="008B1988" w:rsidP="008B1988">
      <w:pPr>
        <w:spacing w:after="0" w:line="360" w:lineRule="auto"/>
        <w:jc w:val="both"/>
        <w:rPr>
          <w:rFonts w:ascii="Times New Roman" w:eastAsia="Times New Roman" w:hAnsi="Times New Roman" w:cs="Times New Roman"/>
          <w:b/>
          <w:sz w:val="20"/>
          <w:szCs w:val="20"/>
        </w:rPr>
      </w:pPr>
    </w:p>
    <w:p w:rsidR="008B1988" w:rsidRDefault="008B1988" w:rsidP="008B1988">
      <w:pPr>
        <w:spacing w:after="0" w:line="360" w:lineRule="auto"/>
        <w:jc w:val="both"/>
        <w:rPr>
          <w:rFonts w:ascii="Times New Roman" w:eastAsia="Times New Roman" w:hAnsi="Times New Roman" w:cs="Times New Roman"/>
          <w:b/>
          <w:sz w:val="20"/>
          <w:szCs w:val="20"/>
        </w:rPr>
      </w:pPr>
    </w:p>
    <w:p w:rsidR="008B1988" w:rsidRDefault="008B1988" w:rsidP="008B1988">
      <w:pPr>
        <w:spacing w:after="0" w:line="360" w:lineRule="auto"/>
        <w:jc w:val="both"/>
        <w:rPr>
          <w:rFonts w:ascii="Times New Roman" w:eastAsia="Times New Roman" w:hAnsi="Times New Roman" w:cs="Times New Roman"/>
          <w:b/>
          <w:sz w:val="20"/>
          <w:szCs w:val="20"/>
        </w:rPr>
      </w:pPr>
    </w:p>
    <w:p w:rsidR="008B1988" w:rsidRDefault="008B1988" w:rsidP="008B1988">
      <w:pPr>
        <w:spacing w:after="0" w:line="360" w:lineRule="auto"/>
        <w:jc w:val="both"/>
        <w:rPr>
          <w:rFonts w:ascii="Times New Roman" w:eastAsia="Times New Roman" w:hAnsi="Times New Roman" w:cs="Times New Roman"/>
          <w:b/>
          <w:sz w:val="20"/>
          <w:szCs w:val="20"/>
        </w:rPr>
      </w:pPr>
    </w:p>
    <w:p w:rsidR="008B1988" w:rsidRDefault="008B1988" w:rsidP="008B1988">
      <w:pPr>
        <w:spacing w:after="0" w:line="360" w:lineRule="auto"/>
        <w:jc w:val="both"/>
        <w:rPr>
          <w:rFonts w:ascii="Times New Roman" w:eastAsia="Times New Roman" w:hAnsi="Times New Roman" w:cs="Times New Roman"/>
          <w:b/>
          <w:sz w:val="20"/>
          <w:szCs w:val="20"/>
        </w:rPr>
      </w:pPr>
    </w:p>
    <w:p w:rsidR="007714BA" w:rsidRPr="008B1988" w:rsidRDefault="00CB6800" w:rsidP="008B1988">
      <w:pPr>
        <w:spacing w:after="0" w:line="360" w:lineRule="auto"/>
        <w:jc w:val="both"/>
        <w:rPr>
          <w:rFonts w:ascii="Times New Roman" w:eastAsia="Times New Roman" w:hAnsi="Times New Roman" w:cs="Times New Roman"/>
          <w:sz w:val="20"/>
          <w:szCs w:val="20"/>
        </w:rPr>
      </w:pPr>
      <w:r w:rsidRPr="008B1988">
        <w:rPr>
          <w:rFonts w:ascii="Times New Roman" w:eastAsia="Times New Roman" w:hAnsi="Times New Roman" w:cs="Times New Roman"/>
          <w:b/>
          <w:sz w:val="20"/>
          <w:szCs w:val="20"/>
        </w:rPr>
        <w:t>Table: 1.</w:t>
      </w:r>
      <w:r w:rsidRPr="008B1988">
        <w:rPr>
          <w:rFonts w:ascii="Times New Roman" w:eastAsia="Times New Roman" w:hAnsi="Times New Roman" w:cs="Times New Roman"/>
          <w:sz w:val="20"/>
          <w:szCs w:val="20"/>
        </w:rPr>
        <w:t xml:space="preserve"> </w:t>
      </w:r>
      <w:proofErr w:type="spellStart"/>
      <w:r w:rsidRPr="008B1988">
        <w:rPr>
          <w:rFonts w:ascii="Times New Roman" w:eastAsia="Times New Roman" w:hAnsi="Times New Roman" w:cs="Times New Roman"/>
          <w:sz w:val="20"/>
          <w:szCs w:val="20"/>
        </w:rPr>
        <w:t>sociodemographic</w:t>
      </w:r>
      <w:proofErr w:type="spellEnd"/>
      <w:r w:rsidRPr="008B1988">
        <w:rPr>
          <w:rFonts w:ascii="Times New Roman" w:eastAsia="Times New Roman" w:hAnsi="Times New Roman" w:cs="Times New Roman"/>
          <w:sz w:val="20"/>
          <w:szCs w:val="20"/>
        </w:rPr>
        <w:t xml:space="preserve"> profile </w:t>
      </w:r>
    </w:p>
    <w:tbl>
      <w:tblPr>
        <w:tblStyle w:val="a"/>
        <w:tblW w:w="8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1"/>
        <w:gridCol w:w="2842"/>
        <w:gridCol w:w="2842"/>
      </w:tblGrid>
      <w:tr w:rsidR="007714BA" w:rsidRPr="008B1988">
        <w:tc>
          <w:tcPr>
            <w:tcW w:w="2841" w:type="dxa"/>
          </w:tcPr>
          <w:p w:rsidR="007714BA" w:rsidRPr="008B1988" w:rsidRDefault="00CB6800" w:rsidP="008B1988">
            <w:pPr>
              <w:spacing w:line="360" w:lineRule="auto"/>
              <w:jc w:val="both"/>
              <w:rPr>
                <w:b/>
                <w:sz w:val="20"/>
                <w:szCs w:val="20"/>
              </w:rPr>
            </w:pPr>
            <w:r w:rsidRPr="008B1988">
              <w:rPr>
                <w:b/>
                <w:sz w:val="20"/>
                <w:szCs w:val="20"/>
              </w:rPr>
              <w:t>Gender</w:t>
            </w:r>
          </w:p>
        </w:tc>
        <w:tc>
          <w:tcPr>
            <w:tcW w:w="2842" w:type="dxa"/>
          </w:tcPr>
          <w:p w:rsidR="007714BA" w:rsidRPr="008B1988" w:rsidRDefault="00CB6800" w:rsidP="008B1988">
            <w:pPr>
              <w:spacing w:line="360" w:lineRule="auto"/>
              <w:jc w:val="both"/>
              <w:rPr>
                <w:b/>
                <w:sz w:val="20"/>
                <w:szCs w:val="20"/>
              </w:rPr>
            </w:pPr>
            <w:r w:rsidRPr="008B1988">
              <w:rPr>
                <w:b/>
                <w:sz w:val="20"/>
                <w:szCs w:val="20"/>
              </w:rPr>
              <w:t>No.</w:t>
            </w:r>
          </w:p>
        </w:tc>
        <w:tc>
          <w:tcPr>
            <w:tcW w:w="2842" w:type="dxa"/>
          </w:tcPr>
          <w:p w:rsidR="007714BA" w:rsidRPr="008B1988" w:rsidRDefault="00CB6800" w:rsidP="008B1988">
            <w:pPr>
              <w:spacing w:line="360" w:lineRule="auto"/>
              <w:jc w:val="both"/>
              <w:rPr>
                <w:b/>
                <w:sz w:val="20"/>
                <w:szCs w:val="20"/>
              </w:rPr>
            </w:pPr>
            <w:r w:rsidRPr="008B1988">
              <w:rPr>
                <w:b/>
                <w:sz w:val="20"/>
                <w:szCs w:val="20"/>
              </w:rPr>
              <w:t>%</w:t>
            </w:r>
          </w:p>
        </w:tc>
      </w:tr>
      <w:tr w:rsidR="007714BA" w:rsidRPr="008B1988">
        <w:tc>
          <w:tcPr>
            <w:tcW w:w="2841" w:type="dxa"/>
          </w:tcPr>
          <w:p w:rsidR="007714BA" w:rsidRPr="008B1988" w:rsidRDefault="00CB6800" w:rsidP="008B1988">
            <w:pPr>
              <w:spacing w:line="360" w:lineRule="auto"/>
              <w:jc w:val="both"/>
              <w:rPr>
                <w:sz w:val="20"/>
                <w:szCs w:val="20"/>
              </w:rPr>
            </w:pPr>
            <w:r w:rsidRPr="008B1988">
              <w:rPr>
                <w:sz w:val="20"/>
                <w:szCs w:val="20"/>
              </w:rPr>
              <w:t>Male</w:t>
            </w:r>
          </w:p>
        </w:tc>
        <w:tc>
          <w:tcPr>
            <w:tcW w:w="2842" w:type="dxa"/>
          </w:tcPr>
          <w:p w:rsidR="007714BA" w:rsidRPr="008B1988" w:rsidRDefault="00CB6800" w:rsidP="008B1988">
            <w:pPr>
              <w:spacing w:line="360" w:lineRule="auto"/>
              <w:jc w:val="both"/>
              <w:rPr>
                <w:sz w:val="20"/>
                <w:szCs w:val="20"/>
              </w:rPr>
            </w:pPr>
            <w:r w:rsidRPr="008B1988">
              <w:rPr>
                <w:sz w:val="20"/>
                <w:szCs w:val="20"/>
              </w:rPr>
              <w:t>165</w:t>
            </w:r>
          </w:p>
        </w:tc>
        <w:tc>
          <w:tcPr>
            <w:tcW w:w="2842" w:type="dxa"/>
          </w:tcPr>
          <w:p w:rsidR="007714BA" w:rsidRPr="008B1988" w:rsidRDefault="00CB6800" w:rsidP="008B1988">
            <w:pPr>
              <w:spacing w:line="360" w:lineRule="auto"/>
              <w:jc w:val="both"/>
              <w:rPr>
                <w:sz w:val="20"/>
                <w:szCs w:val="20"/>
              </w:rPr>
            </w:pPr>
            <w:r w:rsidRPr="008B1988">
              <w:rPr>
                <w:sz w:val="20"/>
                <w:szCs w:val="20"/>
              </w:rPr>
              <w:t>55</w:t>
            </w:r>
          </w:p>
        </w:tc>
      </w:tr>
      <w:tr w:rsidR="007714BA" w:rsidRPr="008B1988">
        <w:tc>
          <w:tcPr>
            <w:tcW w:w="2841" w:type="dxa"/>
          </w:tcPr>
          <w:p w:rsidR="007714BA" w:rsidRPr="008B1988" w:rsidRDefault="00CB6800" w:rsidP="008B1988">
            <w:pPr>
              <w:spacing w:line="360" w:lineRule="auto"/>
              <w:jc w:val="both"/>
              <w:rPr>
                <w:sz w:val="20"/>
                <w:szCs w:val="20"/>
              </w:rPr>
            </w:pPr>
            <w:r w:rsidRPr="008B1988">
              <w:rPr>
                <w:sz w:val="20"/>
                <w:szCs w:val="20"/>
              </w:rPr>
              <w:t>Female</w:t>
            </w:r>
          </w:p>
        </w:tc>
        <w:tc>
          <w:tcPr>
            <w:tcW w:w="2842" w:type="dxa"/>
          </w:tcPr>
          <w:p w:rsidR="007714BA" w:rsidRPr="008B1988" w:rsidRDefault="00CB6800" w:rsidP="008B1988">
            <w:pPr>
              <w:spacing w:line="360" w:lineRule="auto"/>
              <w:jc w:val="both"/>
              <w:rPr>
                <w:sz w:val="20"/>
                <w:szCs w:val="20"/>
              </w:rPr>
            </w:pPr>
            <w:r w:rsidRPr="008B1988">
              <w:rPr>
                <w:sz w:val="20"/>
                <w:szCs w:val="20"/>
              </w:rPr>
              <w:t>135</w:t>
            </w:r>
          </w:p>
        </w:tc>
        <w:tc>
          <w:tcPr>
            <w:tcW w:w="2842" w:type="dxa"/>
          </w:tcPr>
          <w:p w:rsidR="007714BA" w:rsidRPr="008B1988" w:rsidRDefault="00CB6800" w:rsidP="008B1988">
            <w:pPr>
              <w:spacing w:line="360" w:lineRule="auto"/>
              <w:jc w:val="both"/>
              <w:rPr>
                <w:sz w:val="20"/>
                <w:szCs w:val="20"/>
              </w:rPr>
            </w:pPr>
            <w:r w:rsidRPr="008B1988">
              <w:rPr>
                <w:sz w:val="20"/>
                <w:szCs w:val="20"/>
              </w:rPr>
              <w:t>45</w:t>
            </w:r>
          </w:p>
        </w:tc>
      </w:tr>
      <w:tr w:rsidR="007714BA" w:rsidRPr="008B1988">
        <w:tc>
          <w:tcPr>
            <w:tcW w:w="2841" w:type="dxa"/>
          </w:tcPr>
          <w:p w:rsidR="007714BA" w:rsidRPr="008B1988" w:rsidRDefault="00CB6800" w:rsidP="008B1988">
            <w:pPr>
              <w:spacing w:line="360" w:lineRule="auto"/>
              <w:jc w:val="both"/>
              <w:rPr>
                <w:sz w:val="20"/>
                <w:szCs w:val="20"/>
              </w:rPr>
            </w:pPr>
            <w:r w:rsidRPr="008B1988">
              <w:rPr>
                <w:sz w:val="20"/>
                <w:szCs w:val="20"/>
              </w:rPr>
              <w:t>Total</w:t>
            </w:r>
          </w:p>
        </w:tc>
        <w:tc>
          <w:tcPr>
            <w:tcW w:w="2842" w:type="dxa"/>
          </w:tcPr>
          <w:p w:rsidR="007714BA" w:rsidRPr="008B1988" w:rsidRDefault="00CB6800" w:rsidP="008B1988">
            <w:pPr>
              <w:spacing w:line="360" w:lineRule="auto"/>
              <w:jc w:val="both"/>
              <w:rPr>
                <w:sz w:val="20"/>
                <w:szCs w:val="20"/>
              </w:rPr>
            </w:pPr>
            <w:r w:rsidRPr="008B1988">
              <w:rPr>
                <w:sz w:val="20"/>
                <w:szCs w:val="20"/>
              </w:rPr>
              <w:t>300</w:t>
            </w:r>
          </w:p>
        </w:tc>
        <w:tc>
          <w:tcPr>
            <w:tcW w:w="2842" w:type="dxa"/>
          </w:tcPr>
          <w:p w:rsidR="007714BA" w:rsidRPr="008B1988" w:rsidRDefault="00CB6800" w:rsidP="008B1988">
            <w:pPr>
              <w:spacing w:line="360" w:lineRule="auto"/>
              <w:jc w:val="both"/>
              <w:rPr>
                <w:sz w:val="20"/>
                <w:szCs w:val="20"/>
              </w:rPr>
            </w:pPr>
            <w:r w:rsidRPr="008B1988">
              <w:rPr>
                <w:sz w:val="20"/>
                <w:szCs w:val="20"/>
              </w:rPr>
              <w:t>100</w:t>
            </w:r>
          </w:p>
        </w:tc>
      </w:tr>
    </w:tbl>
    <w:p w:rsidR="008B1988" w:rsidRDefault="008B1988" w:rsidP="008B1988">
      <w:pPr>
        <w:spacing w:after="0" w:line="360" w:lineRule="auto"/>
        <w:jc w:val="both"/>
        <w:rPr>
          <w:rFonts w:ascii="Times New Roman" w:eastAsia="Times New Roman" w:hAnsi="Times New Roman" w:cs="Times New Roman"/>
          <w:b/>
          <w:sz w:val="20"/>
          <w:szCs w:val="20"/>
        </w:rPr>
      </w:pPr>
    </w:p>
    <w:p w:rsidR="007714BA" w:rsidRPr="008B1988" w:rsidRDefault="00CB6800" w:rsidP="008B1988">
      <w:pPr>
        <w:spacing w:after="0" w:line="360" w:lineRule="auto"/>
        <w:jc w:val="both"/>
        <w:rPr>
          <w:rFonts w:ascii="Times New Roman" w:eastAsia="Times New Roman" w:hAnsi="Times New Roman" w:cs="Times New Roman"/>
          <w:b/>
          <w:sz w:val="20"/>
          <w:szCs w:val="20"/>
        </w:rPr>
      </w:pPr>
      <w:r w:rsidRPr="008B1988">
        <w:rPr>
          <w:rFonts w:ascii="Times New Roman" w:eastAsia="Times New Roman" w:hAnsi="Times New Roman" w:cs="Times New Roman"/>
          <w:b/>
          <w:sz w:val="20"/>
          <w:szCs w:val="20"/>
        </w:rPr>
        <w:t xml:space="preserve">Table </w:t>
      </w:r>
      <w:proofErr w:type="gramStart"/>
      <w:r w:rsidRPr="008B1988">
        <w:rPr>
          <w:rFonts w:ascii="Times New Roman" w:eastAsia="Times New Roman" w:hAnsi="Times New Roman" w:cs="Times New Roman"/>
          <w:b/>
          <w:sz w:val="20"/>
          <w:szCs w:val="20"/>
        </w:rPr>
        <w:t>2 :</w:t>
      </w:r>
      <w:proofErr w:type="gramEnd"/>
      <w:r w:rsidRPr="008B1988">
        <w:rPr>
          <w:rFonts w:ascii="Times New Roman" w:eastAsia="Times New Roman" w:hAnsi="Times New Roman" w:cs="Times New Roman"/>
          <w:b/>
          <w:sz w:val="20"/>
          <w:szCs w:val="20"/>
        </w:rPr>
        <w:t xml:space="preserve"> Comparison of frequency of occurrence of hearing loss in each risk factor group</w:t>
      </w:r>
    </w:p>
    <w:p w:rsidR="007714BA" w:rsidRPr="008B1988" w:rsidRDefault="007714BA" w:rsidP="008B1988">
      <w:pPr>
        <w:spacing w:after="0" w:line="360" w:lineRule="auto"/>
        <w:jc w:val="both"/>
        <w:rPr>
          <w:rFonts w:ascii="Times New Roman" w:eastAsia="Times New Roman" w:hAnsi="Times New Roman" w:cs="Times New Roman"/>
          <w:sz w:val="20"/>
          <w:szCs w:val="20"/>
        </w:rPr>
      </w:pPr>
    </w:p>
    <w:p w:rsidR="007714BA" w:rsidRPr="008B1988" w:rsidRDefault="00CB6800" w:rsidP="008B1988">
      <w:pPr>
        <w:spacing w:after="0" w:line="360" w:lineRule="auto"/>
        <w:jc w:val="both"/>
        <w:rPr>
          <w:rFonts w:ascii="Times New Roman" w:eastAsia="Times New Roman" w:hAnsi="Times New Roman" w:cs="Times New Roman"/>
          <w:sz w:val="20"/>
          <w:szCs w:val="20"/>
        </w:rPr>
      </w:pPr>
      <w:r w:rsidRPr="008B1988">
        <w:rPr>
          <w:rFonts w:ascii="Times New Roman" w:eastAsia="Times New Roman" w:hAnsi="Times New Roman" w:cs="Times New Roman"/>
          <w:noProof/>
          <w:sz w:val="20"/>
          <w:szCs w:val="20"/>
          <w:lang w:eastAsia="en-IN"/>
        </w:rPr>
        <w:drawing>
          <wp:inline distT="0" distB="0" distL="0" distR="0" wp14:anchorId="34416D45" wp14:editId="4D09BE11">
            <wp:extent cx="6377553" cy="5122190"/>
            <wp:effectExtent l="0" t="0" r="23495" b="215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14BA" w:rsidRPr="008B1988" w:rsidRDefault="00CB6800" w:rsidP="008B1988">
      <w:pPr>
        <w:spacing w:after="0" w:line="360" w:lineRule="auto"/>
        <w:jc w:val="both"/>
        <w:rPr>
          <w:rFonts w:ascii="Times New Roman" w:eastAsia="Times New Roman" w:hAnsi="Times New Roman" w:cs="Times New Roman"/>
          <w:sz w:val="20"/>
          <w:szCs w:val="20"/>
        </w:rPr>
      </w:pPr>
      <w:r w:rsidRPr="008B1988">
        <w:rPr>
          <w:rFonts w:ascii="Times New Roman" w:eastAsia="Times New Roman" w:hAnsi="Times New Roman" w:cs="Times New Roman"/>
          <w:sz w:val="20"/>
          <w:szCs w:val="20"/>
        </w:rPr>
        <w:t xml:space="preserve">Graph shows risk factors for hearing impairment in infants. It shows that Birth Asphyxia (45%) has highest number of cases followed by Prematurity (&lt;37 weeks), (40%), NICU Stay (&gt;5 Day), (39%), </w:t>
      </w:r>
      <w:proofErr w:type="spellStart"/>
      <w:r w:rsidRPr="008B1988">
        <w:rPr>
          <w:rFonts w:ascii="Times New Roman" w:eastAsia="Times New Roman" w:hAnsi="Times New Roman" w:cs="Times New Roman"/>
          <w:sz w:val="20"/>
          <w:szCs w:val="20"/>
        </w:rPr>
        <w:t>Hyperbilirubinemia</w:t>
      </w:r>
      <w:proofErr w:type="spellEnd"/>
      <w:r w:rsidRPr="008B1988">
        <w:rPr>
          <w:rFonts w:ascii="Times New Roman" w:eastAsia="Times New Roman" w:hAnsi="Times New Roman" w:cs="Times New Roman"/>
          <w:sz w:val="20"/>
          <w:szCs w:val="20"/>
        </w:rPr>
        <w:t xml:space="preserve"> (34%), HIE-II &amp;III (33%), Birth Weight (&lt;1.5kg), (30%) and others.</w:t>
      </w:r>
    </w:p>
    <w:p w:rsidR="008B1988" w:rsidRDefault="008B1988" w:rsidP="008B1988">
      <w:pPr>
        <w:tabs>
          <w:tab w:val="left" w:pos="1680"/>
        </w:tabs>
        <w:spacing w:after="0" w:line="360" w:lineRule="auto"/>
        <w:jc w:val="both"/>
        <w:rPr>
          <w:rFonts w:ascii="Times New Roman" w:eastAsia="Times New Roman" w:hAnsi="Times New Roman" w:cs="Times New Roman"/>
          <w:color w:val="000000"/>
          <w:sz w:val="20"/>
          <w:szCs w:val="20"/>
        </w:rPr>
      </w:pPr>
    </w:p>
    <w:p w:rsidR="008B1988" w:rsidRDefault="008B1988" w:rsidP="008B1988">
      <w:pPr>
        <w:tabs>
          <w:tab w:val="left" w:pos="1680"/>
        </w:tabs>
        <w:spacing w:after="0" w:line="360" w:lineRule="auto"/>
        <w:jc w:val="both"/>
        <w:rPr>
          <w:rFonts w:ascii="Times New Roman" w:eastAsia="Times New Roman" w:hAnsi="Times New Roman" w:cs="Times New Roman"/>
          <w:color w:val="000000"/>
          <w:sz w:val="20"/>
          <w:szCs w:val="20"/>
        </w:rPr>
      </w:pPr>
    </w:p>
    <w:p w:rsidR="007714BA" w:rsidRPr="008B1988" w:rsidRDefault="00CB6800" w:rsidP="008B1988">
      <w:pPr>
        <w:tabs>
          <w:tab w:val="left" w:pos="1680"/>
        </w:tabs>
        <w:spacing w:after="0" w:line="360" w:lineRule="auto"/>
        <w:jc w:val="both"/>
        <w:rPr>
          <w:rFonts w:ascii="Times New Roman" w:eastAsia="Times New Roman" w:hAnsi="Times New Roman" w:cs="Times New Roman"/>
          <w:color w:val="000000"/>
          <w:sz w:val="20"/>
          <w:szCs w:val="20"/>
        </w:rPr>
      </w:pPr>
      <w:r w:rsidRPr="008B1988">
        <w:rPr>
          <w:rFonts w:ascii="Times New Roman" w:eastAsia="Times New Roman" w:hAnsi="Times New Roman" w:cs="Times New Roman"/>
          <w:color w:val="000000"/>
          <w:sz w:val="20"/>
          <w:szCs w:val="20"/>
        </w:rPr>
        <w:t xml:space="preserve">Table: 3. </w:t>
      </w:r>
      <w:r w:rsidRPr="008B1988">
        <w:rPr>
          <w:rFonts w:ascii="Times New Roman" w:eastAsia="Times New Roman" w:hAnsi="Times New Roman" w:cs="Times New Roman"/>
          <w:b/>
          <w:color w:val="000000"/>
          <w:sz w:val="20"/>
          <w:szCs w:val="20"/>
        </w:rPr>
        <w:t>Distribution of cases according to number of risk factors involved</w:t>
      </w:r>
    </w:p>
    <w:tbl>
      <w:tblPr>
        <w:tblStyle w:val="a0"/>
        <w:tblW w:w="8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7"/>
        <w:gridCol w:w="1368"/>
        <w:gridCol w:w="873"/>
        <w:gridCol w:w="873"/>
        <w:gridCol w:w="873"/>
        <w:gridCol w:w="873"/>
        <w:gridCol w:w="1728"/>
      </w:tblGrid>
      <w:tr w:rsidR="007714BA" w:rsidRPr="008B1988">
        <w:tc>
          <w:tcPr>
            <w:tcW w:w="1937" w:type="dxa"/>
            <w:vMerge w:val="restart"/>
          </w:tcPr>
          <w:p w:rsidR="007714BA" w:rsidRPr="008B1988" w:rsidRDefault="00CB6800" w:rsidP="008B1988">
            <w:pPr>
              <w:spacing w:line="360" w:lineRule="auto"/>
              <w:jc w:val="both"/>
              <w:rPr>
                <w:b/>
                <w:sz w:val="20"/>
                <w:szCs w:val="20"/>
              </w:rPr>
            </w:pPr>
            <w:r w:rsidRPr="008B1988">
              <w:rPr>
                <w:b/>
                <w:sz w:val="20"/>
                <w:szCs w:val="20"/>
              </w:rPr>
              <w:t>No. of Risk Factor Involved</w:t>
            </w:r>
          </w:p>
        </w:tc>
        <w:tc>
          <w:tcPr>
            <w:tcW w:w="3987" w:type="dxa"/>
            <w:gridSpan w:val="4"/>
          </w:tcPr>
          <w:p w:rsidR="007714BA" w:rsidRPr="008B1988" w:rsidRDefault="00CB6800" w:rsidP="008B1988">
            <w:pPr>
              <w:spacing w:line="360" w:lineRule="auto"/>
              <w:jc w:val="both"/>
              <w:rPr>
                <w:b/>
                <w:sz w:val="20"/>
                <w:szCs w:val="20"/>
              </w:rPr>
            </w:pPr>
            <w:r w:rsidRPr="008B1988">
              <w:rPr>
                <w:b/>
                <w:sz w:val="20"/>
                <w:szCs w:val="20"/>
              </w:rPr>
              <w:t>BERA</w:t>
            </w:r>
          </w:p>
        </w:tc>
        <w:tc>
          <w:tcPr>
            <w:tcW w:w="2601" w:type="dxa"/>
            <w:gridSpan w:val="2"/>
            <w:vMerge w:val="restart"/>
          </w:tcPr>
          <w:p w:rsidR="007714BA" w:rsidRPr="008B1988" w:rsidRDefault="00CB6800" w:rsidP="008B1988">
            <w:pPr>
              <w:spacing w:line="360" w:lineRule="auto"/>
              <w:jc w:val="both"/>
              <w:rPr>
                <w:b/>
                <w:sz w:val="20"/>
                <w:szCs w:val="20"/>
              </w:rPr>
            </w:pPr>
            <w:r w:rsidRPr="008B1988">
              <w:rPr>
                <w:b/>
                <w:sz w:val="20"/>
                <w:szCs w:val="20"/>
              </w:rPr>
              <w:t>Total</w:t>
            </w:r>
          </w:p>
        </w:tc>
      </w:tr>
      <w:tr w:rsidR="007714BA" w:rsidRPr="008B1988">
        <w:tc>
          <w:tcPr>
            <w:tcW w:w="1937" w:type="dxa"/>
            <w:vMerge/>
          </w:tcPr>
          <w:p w:rsidR="007714BA" w:rsidRPr="008B1988" w:rsidRDefault="007714BA" w:rsidP="008B1988">
            <w:pPr>
              <w:widowControl w:val="0"/>
              <w:pBdr>
                <w:top w:val="nil"/>
                <w:left w:val="nil"/>
                <w:bottom w:val="nil"/>
                <w:right w:val="nil"/>
                <w:between w:val="nil"/>
              </w:pBdr>
              <w:spacing w:line="360" w:lineRule="auto"/>
              <w:rPr>
                <w:b/>
                <w:sz w:val="20"/>
                <w:szCs w:val="20"/>
              </w:rPr>
            </w:pPr>
          </w:p>
        </w:tc>
        <w:tc>
          <w:tcPr>
            <w:tcW w:w="2241" w:type="dxa"/>
            <w:gridSpan w:val="2"/>
          </w:tcPr>
          <w:p w:rsidR="007714BA" w:rsidRPr="008B1988" w:rsidRDefault="00CB6800" w:rsidP="008B1988">
            <w:pPr>
              <w:spacing w:line="360" w:lineRule="auto"/>
              <w:jc w:val="both"/>
              <w:rPr>
                <w:b/>
                <w:sz w:val="20"/>
                <w:szCs w:val="20"/>
              </w:rPr>
            </w:pPr>
            <w:r w:rsidRPr="008B1988">
              <w:rPr>
                <w:b/>
                <w:sz w:val="20"/>
                <w:szCs w:val="20"/>
              </w:rPr>
              <w:t>Pass</w:t>
            </w:r>
          </w:p>
        </w:tc>
        <w:tc>
          <w:tcPr>
            <w:tcW w:w="1746" w:type="dxa"/>
            <w:gridSpan w:val="2"/>
          </w:tcPr>
          <w:p w:rsidR="007714BA" w:rsidRPr="008B1988" w:rsidRDefault="00CB6800" w:rsidP="008B1988">
            <w:pPr>
              <w:spacing w:line="360" w:lineRule="auto"/>
              <w:jc w:val="both"/>
              <w:rPr>
                <w:b/>
                <w:sz w:val="20"/>
                <w:szCs w:val="20"/>
              </w:rPr>
            </w:pPr>
            <w:r w:rsidRPr="008B1988">
              <w:rPr>
                <w:b/>
                <w:sz w:val="20"/>
                <w:szCs w:val="20"/>
              </w:rPr>
              <w:t xml:space="preserve">Fail </w:t>
            </w:r>
          </w:p>
        </w:tc>
        <w:tc>
          <w:tcPr>
            <w:tcW w:w="2601" w:type="dxa"/>
            <w:gridSpan w:val="2"/>
            <w:vMerge/>
          </w:tcPr>
          <w:p w:rsidR="007714BA" w:rsidRPr="008B1988" w:rsidRDefault="007714BA" w:rsidP="008B1988">
            <w:pPr>
              <w:widowControl w:val="0"/>
              <w:pBdr>
                <w:top w:val="nil"/>
                <w:left w:val="nil"/>
                <w:bottom w:val="nil"/>
                <w:right w:val="nil"/>
                <w:between w:val="nil"/>
              </w:pBdr>
              <w:spacing w:line="360" w:lineRule="auto"/>
              <w:rPr>
                <w:b/>
                <w:sz w:val="20"/>
                <w:szCs w:val="20"/>
              </w:rPr>
            </w:pPr>
          </w:p>
        </w:tc>
      </w:tr>
      <w:tr w:rsidR="007714BA" w:rsidRPr="008B1988">
        <w:tc>
          <w:tcPr>
            <w:tcW w:w="1937" w:type="dxa"/>
            <w:vMerge/>
          </w:tcPr>
          <w:p w:rsidR="007714BA" w:rsidRPr="008B1988" w:rsidRDefault="007714BA" w:rsidP="008B1988">
            <w:pPr>
              <w:widowControl w:val="0"/>
              <w:pBdr>
                <w:top w:val="nil"/>
                <w:left w:val="nil"/>
                <w:bottom w:val="nil"/>
                <w:right w:val="nil"/>
                <w:between w:val="nil"/>
              </w:pBdr>
              <w:spacing w:line="360" w:lineRule="auto"/>
              <w:rPr>
                <w:b/>
                <w:sz w:val="20"/>
                <w:szCs w:val="20"/>
              </w:rPr>
            </w:pPr>
          </w:p>
        </w:tc>
        <w:tc>
          <w:tcPr>
            <w:tcW w:w="1368" w:type="dxa"/>
          </w:tcPr>
          <w:p w:rsidR="007714BA" w:rsidRPr="008B1988" w:rsidRDefault="00CB6800" w:rsidP="008B1988">
            <w:pPr>
              <w:spacing w:line="360" w:lineRule="auto"/>
              <w:jc w:val="both"/>
              <w:rPr>
                <w:b/>
                <w:sz w:val="20"/>
                <w:szCs w:val="20"/>
              </w:rPr>
            </w:pPr>
            <w:r w:rsidRPr="008B1988">
              <w:rPr>
                <w:b/>
                <w:sz w:val="20"/>
                <w:szCs w:val="20"/>
              </w:rPr>
              <w:t>No.</w:t>
            </w:r>
          </w:p>
        </w:tc>
        <w:tc>
          <w:tcPr>
            <w:tcW w:w="873" w:type="dxa"/>
          </w:tcPr>
          <w:p w:rsidR="007714BA" w:rsidRPr="008B1988" w:rsidRDefault="00CB6800" w:rsidP="008B1988">
            <w:pPr>
              <w:spacing w:line="360" w:lineRule="auto"/>
              <w:jc w:val="both"/>
              <w:rPr>
                <w:b/>
                <w:sz w:val="20"/>
                <w:szCs w:val="20"/>
              </w:rPr>
            </w:pPr>
            <w:r w:rsidRPr="008B1988">
              <w:rPr>
                <w:b/>
                <w:sz w:val="20"/>
                <w:szCs w:val="20"/>
              </w:rPr>
              <w:t>%</w:t>
            </w:r>
          </w:p>
        </w:tc>
        <w:tc>
          <w:tcPr>
            <w:tcW w:w="873" w:type="dxa"/>
          </w:tcPr>
          <w:p w:rsidR="007714BA" w:rsidRPr="008B1988" w:rsidRDefault="00CB6800" w:rsidP="008B1988">
            <w:pPr>
              <w:spacing w:line="360" w:lineRule="auto"/>
              <w:jc w:val="both"/>
              <w:rPr>
                <w:b/>
                <w:sz w:val="20"/>
                <w:szCs w:val="20"/>
              </w:rPr>
            </w:pPr>
            <w:r w:rsidRPr="008B1988">
              <w:rPr>
                <w:b/>
                <w:sz w:val="20"/>
                <w:szCs w:val="20"/>
              </w:rPr>
              <w:t>No.</w:t>
            </w:r>
          </w:p>
        </w:tc>
        <w:tc>
          <w:tcPr>
            <w:tcW w:w="873" w:type="dxa"/>
          </w:tcPr>
          <w:p w:rsidR="007714BA" w:rsidRPr="008B1988" w:rsidRDefault="00CB6800" w:rsidP="008B1988">
            <w:pPr>
              <w:spacing w:line="360" w:lineRule="auto"/>
              <w:jc w:val="both"/>
              <w:rPr>
                <w:b/>
                <w:sz w:val="20"/>
                <w:szCs w:val="20"/>
              </w:rPr>
            </w:pPr>
            <w:r w:rsidRPr="008B1988">
              <w:rPr>
                <w:b/>
                <w:sz w:val="20"/>
                <w:szCs w:val="20"/>
              </w:rPr>
              <w:t>%</w:t>
            </w:r>
          </w:p>
        </w:tc>
        <w:tc>
          <w:tcPr>
            <w:tcW w:w="873" w:type="dxa"/>
          </w:tcPr>
          <w:p w:rsidR="007714BA" w:rsidRPr="008B1988" w:rsidRDefault="00CB6800" w:rsidP="008B1988">
            <w:pPr>
              <w:spacing w:line="360" w:lineRule="auto"/>
              <w:jc w:val="both"/>
              <w:rPr>
                <w:b/>
                <w:sz w:val="20"/>
                <w:szCs w:val="20"/>
              </w:rPr>
            </w:pPr>
            <w:r w:rsidRPr="008B1988">
              <w:rPr>
                <w:b/>
                <w:sz w:val="20"/>
                <w:szCs w:val="20"/>
              </w:rPr>
              <w:t>No.</w:t>
            </w:r>
          </w:p>
        </w:tc>
        <w:tc>
          <w:tcPr>
            <w:tcW w:w="1728" w:type="dxa"/>
          </w:tcPr>
          <w:p w:rsidR="007714BA" w:rsidRPr="008B1988" w:rsidRDefault="00CB6800" w:rsidP="008B1988">
            <w:pPr>
              <w:spacing w:line="360" w:lineRule="auto"/>
              <w:jc w:val="both"/>
              <w:rPr>
                <w:b/>
                <w:sz w:val="20"/>
                <w:szCs w:val="20"/>
              </w:rPr>
            </w:pPr>
            <w:r w:rsidRPr="008B1988">
              <w:rPr>
                <w:b/>
                <w:sz w:val="20"/>
                <w:szCs w:val="20"/>
              </w:rPr>
              <w:t>%</w:t>
            </w:r>
          </w:p>
        </w:tc>
      </w:tr>
      <w:tr w:rsidR="007714BA" w:rsidRPr="008B1988">
        <w:tc>
          <w:tcPr>
            <w:tcW w:w="1937" w:type="dxa"/>
          </w:tcPr>
          <w:p w:rsidR="007714BA" w:rsidRPr="008B1988" w:rsidRDefault="00CB6800" w:rsidP="008B1988">
            <w:pPr>
              <w:spacing w:line="360" w:lineRule="auto"/>
              <w:jc w:val="both"/>
              <w:rPr>
                <w:sz w:val="20"/>
                <w:szCs w:val="20"/>
              </w:rPr>
            </w:pPr>
            <w:r w:rsidRPr="008B1988">
              <w:rPr>
                <w:sz w:val="20"/>
                <w:szCs w:val="20"/>
              </w:rPr>
              <w:t>1</w:t>
            </w:r>
          </w:p>
        </w:tc>
        <w:tc>
          <w:tcPr>
            <w:tcW w:w="1368" w:type="dxa"/>
          </w:tcPr>
          <w:p w:rsidR="007714BA" w:rsidRPr="008B1988" w:rsidRDefault="00CB6800" w:rsidP="008B1988">
            <w:pPr>
              <w:spacing w:line="360" w:lineRule="auto"/>
              <w:jc w:val="both"/>
              <w:rPr>
                <w:sz w:val="20"/>
                <w:szCs w:val="20"/>
              </w:rPr>
            </w:pPr>
            <w:r w:rsidRPr="008B1988">
              <w:rPr>
                <w:sz w:val="20"/>
                <w:szCs w:val="20"/>
              </w:rPr>
              <w:t>147</w:t>
            </w:r>
          </w:p>
        </w:tc>
        <w:tc>
          <w:tcPr>
            <w:tcW w:w="873" w:type="dxa"/>
          </w:tcPr>
          <w:p w:rsidR="007714BA" w:rsidRPr="008B1988" w:rsidRDefault="00CB6800" w:rsidP="008B1988">
            <w:pPr>
              <w:spacing w:line="360" w:lineRule="auto"/>
              <w:jc w:val="both"/>
              <w:rPr>
                <w:sz w:val="20"/>
                <w:szCs w:val="20"/>
              </w:rPr>
            </w:pPr>
            <w:r w:rsidRPr="008B1988">
              <w:rPr>
                <w:sz w:val="20"/>
                <w:szCs w:val="20"/>
              </w:rPr>
              <w:t>100</w:t>
            </w:r>
          </w:p>
        </w:tc>
        <w:tc>
          <w:tcPr>
            <w:tcW w:w="873" w:type="dxa"/>
          </w:tcPr>
          <w:p w:rsidR="007714BA" w:rsidRPr="008B1988" w:rsidRDefault="00CB6800" w:rsidP="008B1988">
            <w:pPr>
              <w:spacing w:line="360" w:lineRule="auto"/>
              <w:jc w:val="both"/>
              <w:rPr>
                <w:sz w:val="20"/>
                <w:szCs w:val="20"/>
              </w:rPr>
            </w:pPr>
            <w:r w:rsidRPr="008B1988">
              <w:rPr>
                <w:sz w:val="20"/>
                <w:szCs w:val="20"/>
              </w:rPr>
              <w:t>0</w:t>
            </w:r>
          </w:p>
        </w:tc>
        <w:tc>
          <w:tcPr>
            <w:tcW w:w="873" w:type="dxa"/>
          </w:tcPr>
          <w:p w:rsidR="007714BA" w:rsidRPr="008B1988" w:rsidRDefault="00CB6800" w:rsidP="008B1988">
            <w:pPr>
              <w:spacing w:line="360" w:lineRule="auto"/>
              <w:jc w:val="both"/>
              <w:rPr>
                <w:sz w:val="20"/>
                <w:szCs w:val="20"/>
              </w:rPr>
            </w:pPr>
            <w:r w:rsidRPr="008B1988">
              <w:rPr>
                <w:sz w:val="20"/>
                <w:szCs w:val="20"/>
              </w:rPr>
              <w:t>-</w:t>
            </w:r>
          </w:p>
        </w:tc>
        <w:tc>
          <w:tcPr>
            <w:tcW w:w="873" w:type="dxa"/>
          </w:tcPr>
          <w:p w:rsidR="007714BA" w:rsidRPr="008B1988" w:rsidRDefault="00CB6800" w:rsidP="008B1988">
            <w:pPr>
              <w:spacing w:line="360" w:lineRule="auto"/>
              <w:jc w:val="both"/>
              <w:rPr>
                <w:sz w:val="20"/>
                <w:szCs w:val="20"/>
              </w:rPr>
            </w:pPr>
            <w:r w:rsidRPr="008B1988">
              <w:rPr>
                <w:sz w:val="20"/>
                <w:szCs w:val="20"/>
              </w:rPr>
              <w:t>147</w:t>
            </w:r>
          </w:p>
        </w:tc>
        <w:tc>
          <w:tcPr>
            <w:tcW w:w="1728" w:type="dxa"/>
          </w:tcPr>
          <w:p w:rsidR="007714BA" w:rsidRPr="008B1988" w:rsidRDefault="00CB6800" w:rsidP="008B1988">
            <w:pPr>
              <w:spacing w:line="360" w:lineRule="auto"/>
              <w:jc w:val="both"/>
              <w:rPr>
                <w:sz w:val="20"/>
                <w:szCs w:val="20"/>
              </w:rPr>
            </w:pPr>
            <w:r w:rsidRPr="008B1988">
              <w:rPr>
                <w:sz w:val="20"/>
                <w:szCs w:val="20"/>
              </w:rPr>
              <w:t>49.0</w:t>
            </w:r>
          </w:p>
        </w:tc>
      </w:tr>
      <w:tr w:rsidR="007714BA" w:rsidRPr="008B1988">
        <w:tc>
          <w:tcPr>
            <w:tcW w:w="1937" w:type="dxa"/>
          </w:tcPr>
          <w:p w:rsidR="007714BA" w:rsidRPr="008B1988" w:rsidRDefault="00CB6800" w:rsidP="008B1988">
            <w:pPr>
              <w:spacing w:line="360" w:lineRule="auto"/>
              <w:jc w:val="both"/>
              <w:rPr>
                <w:sz w:val="20"/>
                <w:szCs w:val="20"/>
              </w:rPr>
            </w:pPr>
            <w:r w:rsidRPr="008B1988">
              <w:rPr>
                <w:sz w:val="20"/>
                <w:szCs w:val="20"/>
              </w:rPr>
              <w:t>2</w:t>
            </w:r>
          </w:p>
        </w:tc>
        <w:tc>
          <w:tcPr>
            <w:tcW w:w="1368" w:type="dxa"/>
          </w:tcPr>
          <w:p w:rsidR="007714BA" w:rsidRPr="008B1988" w:rsidRDefault="00CB6800" w:rsidP="008B1988">
            <w:pPr>
              <w:spacing w:line="360" w:lineRule="auto"/>
              <w:jc w:val="both"/>
              <w:rPr>
                <w:sz w:val="20"/>
                <w:szCs w:val="20"/>
              </w:rPr>
            </w:pPr>
            <w:r w:rsidRPr="008B1988">
              <w:rPr>
                <w:sz w:val="20"/>
                <w:szCs w:val="20"/>
              </w:rPr>
              <w:t>51</w:t>
            </w:r>
          </w:p>
        </w:tc>
        <w:tc>
          <w:tcPr>
            <w:tcW w:w="873" w:type="dxa"/>
          </w:tcPr>
          <w:p w:rsidR="007714BA" w:rsidRPr="008B1988" w:rsidRDefault="00CB6800" w:rsidP="008B1988">
            <w:pPr>
              <w:spacing w:line="360" w:lineRule="auto"/>
              <w:jc w:val="both"/>
              <w:rPr>
                <w:sz w:val="20"/>
                <w:szCs w:val="20"/>
              </w:rPr>
            </w:pPr>
            <w:r w:rsidRPr="008B1988">
              <w:rPr>
                <w:sz w:val="20"/>
                <w:szCs w:val="20"/>
              </w:rPr>
              <w:t>94.45</w:t>
            </w:r>
          </w:p>
        </w:tc>
        <w:tc>
          <w:tcPr>
            <w:tcW w:w="873" w:type="dxa"/>
          </w:tcPr>
          <w:p w:rsidR="007714BA" w:rsidRPr="008B1988" w:rsidRDefault="00CB6800" w:rsidP="008B1988">
            <w:pPr>
              <w:spacing w:line="360" w:lineRule="auto"/>
              <w:jc w:val="both"/>
              <w:rPr>
                <w:sz w:val="20"/>
                <w:szCs w:val="20"/>
              </w:rPr>
            </w:pPr>
            <w:r w:rsidRPr="008B1988">
              <w:rPr>
                <w:sz w:val="20"/>
                <w:szCs w:val="20"/>
              </w:rPr>
              <w:t>3</w:t>
            </w:r>
          </w:p>
        </w:tc>
        <w:tc>
          <w:tcPr>
            <w:tcW w:w="873" w:type="dxa"/>
          </w:tcPr>
          <w:p w:rsidR="007714BA" w:rsidRPr="008B1988" w:rsidRDefault="00CB6800" w:rsidP="008B1988">
            <w:pPr>
              <w:spacing w:line="360" w:lineRule="auto"/>
              <w:jc w:val="both"/>
              <w:rPr>
                <w:sz w:val="20"/>
                <w:szCs w:val="20"/>
              </w:rPr>
            </w:pPr>
            <w:r w:rsidRPr="008B1988">
              <w:rPr>
                <w:sz w:val="20"/>
                <w:szCs w:val="20"/>
              </w:rPr>
              <w:t>5.55</w:t>
            </w:r>
          </w:p>
        </w:tc>
        <w:tc>
          <w:tcPr>
            <w:tcW w:w="873" w:type="dxa"/>
          </w:tcPr>
          <w:p w:rsidR="007714BA" w:rsidRPr="008B1988" w:rsidRDefault="00CB6800" w:rsidP="008B1988">
            <w:pPr>
              <w:spacing w:line="360" w:lineRule="auto"/>
              <w:jc w:val="both"/>
              <w:rPr>
                <w:sz w:val="20"/>
                <w:szCs w:val="20"/>
              </w:rPr>
            </w:pPr>
            <w:r w:rsidRPr="008B1988">
              <w:rPr>
                <w:sz w:val="20"/>
                <w:szCs w:val="20"/>
              </w:rPr>
              <w:t>54</w:t>
            </w:r>
          </w:p>
        </w:tc>
        <w:tc>
          <w:tcPr>
            <w:tcW w:w="1728" w:type="dxa"/>
          </w:tcPr>
          <w:p w:rsidR="007714BA" w:rsidRPr="008B1988" w:rsidRDefault="00CB6800" w:rsidP="008B1988">
            <w:pPr>
              <w:spacing w:line="360" w:lineRule="auto"/>
              <w:jc w:val="both"/>
              <w:rPr>
                <w:sz w:val="20"/>
                <w:szCs w:val="20"/>
              </w:rPr>
            </w:pPr>
            <w:r w:rsidRPr="008B1988">
              <w:rPr>
                <w:sz w:val="20"/>
                <w:szCs w:val="20"/>
              </w:rPr>
              <w:t>18.0</w:t>
            </w:r>
          </w:p>
        </w:tc>
      </w:tr>
      <w:tr w:rsidR="007714BA" w:rsidRPr="008B1988">
        <w:tc>
          <w:tcPr>
            <w:tcW w:w="1937" w:type="dxa"/>
          </w:tcPr>
          <w:p w:rsidR="007714BA" w:rsidRPr="008B1988" w:rsidRDefault="00CB6800" w:rsidP="008B1988">
            <w:pPr>
              <w:spacing w:line="360" w:lineRule="auto"/>
              <w:jc w:val="both"/>
              <w:rPr>
                <w:sz w:val="20"/>
                <w:szCs w:val="20"/>
              </w:rPr>
            </w:pPr>
            <w:r w:rsidRPr="008B1988">
              <w:rPr>
                <w:sz w:val="20"/>
                <w:szCs w:val="20"/>
              </w:rPr>
              <w:t>3</w:t>
            </w:r>
          </w:p>
        </w:tc>
        <w:tc>
          <w:tcPr>
            <w:tcW w:w="1368" w:type="dxa"/>
          </w:tcPr>
          <w:p w:rsidR="007714BA" w:rsidRPr="008B1988" w:rsidRDefault="00CB6800" w:rsidP="008B1988">
            <w:pPr>
              <w:spacing w:line="360" w:lineRule="auto"/>
              <w:jc w:val="both"/>
              <w:rPr>
                <w:sz w:val="20"/>
                <w:szCs w:val="20"/>
              </w:rPr>
            </w:pPr>
            <w:r w:rsidRPr="008B1988">
              <w:rPr>
                <w:sz w:val="20"/>
                <w:szCs w:val="20"/>
              </w:rPr>
              <w:t>32</w:t>
            </w:r>
          </w:p>
        </w:tc>
        <w:tc>
          <w:tcPr>
            <w:tcW w:w="873" w:type="dxa"/>
          </w:tcPr>
          <w:p w:rsidR="007714BA" w:rsidRPr="008B1988" w:rsidRDefault="00CB6800" w:rsidP="008B1988">
            <w:pPr>
              <w:spacing w:line="360" w:lineRule="auto"/>
              <w:jc w:val="both"/>
              <w:rPr>
                <w:sz w:val="20"/>
                <w:szCs w:val="20"/>
              </w:rPr>
            </w:pPr>
            <w:r w:rsidRPr="008B1988">
              <w:rPr>
                <w:sz w:val="20"/>
                <w:szCs w:val="20"/>
              </w:rPr>
              <w:t>100</w:t>
            </w:r>
          </w:p>
        </w:tc>
        <w:tc>
          <w:tcPr>
            <w:tcW w:w="873" w:type="dxa"/>
          </w:tcPr>
          <w:p w:rsidR="007714BA" w:rsidRPr="008B1988" w:rsidRDefault="00CB6800" w:rsidP="008B1988">
            <w:pPr>
              <w:spacing w:line="360" w:lineRule="auto"/>
              <w:jc w:val="both"/>
              <w:rPr>
                <w:sz w:val="20"/>
                <w:szCs w:val="20"/>
              </w:rPr>
            </w:pPr>
            <w:r w:rsidRPr="008B1988">
              <w:rPr>
                <w:sz w:val="20"/>
                <w:szCs w:val="20"/>
              </w:rPr>
              <w:t>0</w:t>
            </w:r>
          </w:p>
        </w:tc>
        <w:tc>
          <w:tcPr>
            <w:tcW w:w="873" w:type="dxa"/>
          </w:tcPr>
          <w:p w:rsidR="007714BA" w:rsidRPr="008B1988" w:rsidRDefault="00CB6800" w:rsidP="008B1988">
            <w:pPr>
              <w:spacing w:line="360" w:lineRule="auto"/>
              <w:jc w:val="both"/>
              <w:rPr>
                <w:sz w:val="20"/>
                <w:szCs w:val="20"/>
              </w:rPr>
            </w:pPr>
            <w:r w:rsidRPr="008B1988">
              <w:rPr>
                <w:sz w:val="20"/>
                <w:szCs w:val="20"/>
              </w:rPr>
              <w:t>-</w:t>
            </w:r>
          </w:p>
        </w:tc>
        <w:tc>
          <w:tcPr>
            <w:tcW w:w="873" w:type="dxa"/>
          </w:tcPr>
          <w:p w:rsidR="007714BA" w:rsidRPr="008B1988" w:rsidRDefault="00CB6800" w:rsidP="008B1988">
            <w:pPr>
              <w:spacing w:line="360" w:lineRule="auto"/>
              <w:jc w:val="both"/>
              <w:rPr>
                <w:sz w:val="20"/>
                <w:szCs w:val="20"/>
              </w:rPr>
            </w:pPr>
            <w:r w:rsidRPr="008B1988">
              <w:rPr>
                <w:sz w:val="20"/>
                <w:szCs w:val="20"/>
              </w:rPr>
              <w:t>45</w:t>
            </w:r>
          </w:p>
        </w:tc>
        <w:tc>
          <w:tcPr>
            <w:tcW w:w="1728" w:type="dxa"/>
          </w:tcPr>
          <w:p w:rsidR="007714BA" w:rsidRPr="008B1988" w:rsidRDefault="00CB6800" w:rsidP="008B1988">
            <w:pPr>
              <w:spacing w:line="360" w:lineRule="auto"/>
              <w:jc w:val="both"/>
              <w:rPr>
                <w:sz w:val="20"/>
                <w:szCs w:val="20"/>
              </w:rPr>
            </w:pPr>
            <w:r w:rsidRPr="008B1988">
              <w:rPr>
                <w:sz w:val="20"/>
                <w:szCs w:val="20"/>
              </w:rPr>
              <w:t>15.0</w:t>
            </w:r>
          </w:p>
        </w:tc>
      </w:tr>
      <w:tr w:rsidR="007714BA" w:rsidRPr="008B1988">
        <w:tc>
          <w:tcPr>
            <w:tcW w:w="1937" w:type="dxa"/>
          </w:tcPr>
          <w:p w:rsidR="007714BA" w:rsidRPr="008B1988" w:rsidRDefault="00CB6800" w:rsidP="008B1988">
            <w:pPr>
              <w:spacing w:line="360" w:lineRule="auto"/>
              <w:jc w:val="both"/>
              <w:rPr>
                <w:sz w:val="20"/>
                <w:szCs w:val="20"/>
              </w:rPr>
            </w:pPr>
            <w:r w:rsidRPr="008B1988">
              <w:rPr>
                <w:sz w:val="20"/>
                <w:szCs w:val="20"/>
              </w:rPr>
              <w:t>4</w:t>
            </w:r>
          </w:p>
        </w:tc>
        <w:tc>
          <w:tcPr>
            <w:tcW w:w="1368" w:type="dxa"/>
          </w:tcPr>
          <w:p w:rsidR="007714BA" w:rsidRPr="008B1988" w:rsidRDefault="00CB6800" w:rsidP="008B1988">
            <w:pPr>
              <w:spacing w:line="360" w:lineRule="auto"/>
              <w:jc w:val="both"/>
              <w:rPr>
                <w:sz w:val="20"/>
                <w:szCs w:val="20"/>
              </w:rPr>
            </w:pPr>
            <w:r w:rsidRPr="008B1988">
              <w:rPr>
                <w:sz w:val="20"/>
                <w:szCs w:val="20"/>
              </w:rPr>
              <w:t>12</w:t>
            </w:r>
          </w:p>
        </w:tc>
        <w:tc>
          <w:tcPr>
            <w:tcW w:w="873" w:type="dxa"/>
          </w:tcPr>
          <w:p w:rsidR="007714BA" w:rsidRPr="008B1988" w:rsidRDefault="00CB6800" w:rsidP="008B1988">
            <w:pPr>
              <w:spacing w:line="360" w:lineRule="auto"/>
              <w:jc w:val="both"/>
              <w:rPr>
                <w:sz w:val="20"/>
                <w:szCs w:val="20"/>
              </w:rPr>
            </w:pPr>
            <w:r w:rsidRPr="008B1988">
              <w:rPr>
                <w:sz w:val="20"/>
                <w:szCs w:val="20"/>
              </w:rPr>
              <w:t>100</w:t>
            </w:r>
          </w:p>
        </w:tc>
        <w:tc>
          <w:tcPr>
            <w:tcW w:w="873" w:type="dxa"/>
          </w:tcPr>
          <w:p w:rsidR="007714BA" w:rsidRPr="008B1988" w:rsidRDefault="00CB6800" w:rsidP="008B1988">
            <w:pPr>
              <w:spacing w:line="360" w:lineRule="auto"/>
              <w:jc w:val="both"/>
              <w:rPr>
                <w:sz w:val="20"/>
                <w:szCs w:val="20"/>
              </w:rPr>
            </w:pPr>
            <w:r w:rsidRPr="008B1988">
              <w:rPr>
                <w:sz w:val="20"/>
                <w:szCs w:val="20"/>
              </w:rPr>
              <w:t>0</w:t>
            </w:r>
          </w:p>
        </w:tc>
        <w:tc>
          <w:tcPr>
            <w:tcW w:w="873" w:type="dxa"/>
          </w:tcPr>
          <w:p w:rsidR="007714BA" w:rsidRPr="008B1988" w:rsidRDefault="00CB6800" w:rsidP="008B1988">
            <w:pPr>
              <w:spacing w:line="360" w:lineRule="auto"/>
              <w:jc w:val="both"/>
              <w:rPr>
                <w:sz w:val="20"/>
                <w:szCs w:val="20"/>
              </w:rPr>
            </w:pPr>
            <w:r w:rsidRPr="008B1988">
              <w:rPr>
                <w:sz w:val="20"/>
                <w:szCs w:val="20"/>
              </w:rPr>
              <w:t>-</w:t>
            </w:r>
          </w:p>
        </w:tc>
        <w:tc>
          <w:tcPr>
            <w:tcW w:w="873" w:type="dxa"/>
          </w:tcPr>
          <w:p w:rsidR="007714BA" w:rsidRPr="008B1988" w:rsidRDefault="00CB6800" w:rsidP="008B1988">
            <w:pPr>
              <w:spacing w:line="360" w:lineRule="auto"/>
              <w:jc w:val="both"/>
              <w:rPr>
                <w:sz w:val="20"/>
                <w:szCs w:val="20"/>
              </w:rPr>
            </w:pPr>
            <w:r w:rsidRPr="008B1988">
              <w:rPr>
                <w:sz w:val="20"/>
                <w:szCs w:val="20"/>
              </w:rPr>
              <w:t>12</w:t>
            </w:r>
          </w:p>
        </w:tc>
        <w:tc>
          <w:tcPr>
            <w:tcW w:w="1728" w:type="dxa"/>
          </w:tcPr>
          <w:p w:rsidR="007714BA" w:rsidRPr="008B1988" w:rsidRDefault="00CB6800" w:rsidP="008B1988">
            <w:pPr>
              <w:spacing w:line="360" w:lineRule="auto"/>
              <w:jc w:val="both"/>
              <w:rPr>
                <w:sz w:val="20"/>
                <w:szCs w:val="20"/>
              </w:rPr>
            </w:pPr>
            <w:r w:rsidRPr="008B1988">
              <w:rPr>
                <w:sz w:val="20"/>
                <w:szCs w:val="20"/>
              </w:rPr>
              <w:t>4.0</w:t>
            </w:r>
          </w:p>
        </w:tc>
      </w:tr>
      <w:tr w:rsidR="007714BA" w:rsidRPr="008B1988">
        <w:tc>
          <w:tcPr>
            <w:tcW w:w="1937" w:type="dxa"/>
          </w:tcPr>
          <w:p w:rsidR="007714BA" w:rsidRPr="008B1988" w:rsidRDefault="00CB6800" w:rsidP="008B1988">
            <w:pPr>
              <w:spacing w:line="360" w:lineRule="auto"/>
              <w:jc w:val="both"/>
              <w:rPr>
                <w:sz w:val="20"/>
                <w:szCs w:val="20"/>
              </w:rPr>
            </w:pPr>
            <w:r w:rsidRPr="008B1988">
              <w:rPr>
                <w:sz w:val="20"/>
                <w:szCs w:val="20"/>
              </w:rPr>
              <w:t>5</w:t>
            </w:r>
          </w:p>
        </w:tc>
        <w:tc>
          <w:tcPr>
            <w:tcW w:w="1368" w:type="dxa"/>
          </w:tcPr>
          <w:p w:rsidR="007714BA" w:rsidRPr="008B1988" w:rsidRDefault="00CB6800" w:rsidP="008B1988">
            <w:pPr>
              <w:spacing w:line="360" w:lineRule="auto"/>
              <w:jc w:val="both"/>
              <w:rPr>
                <w:sz w:val="20"/>
                <w:szCs w:val="20"/>
              </w:rPr>
            </w:pPr>
            <w:r w:rsidRPr="008B1988">
              <w:rPr>
                <w:sz w:val="20"/>
                <w:szCs w:val="20"/>
              </w:rPr>
              <w:t>11</w:t>
            </w:r>
          </w:p>
        </w:tc>
        <w:tc>
          <w:tcPr>
            <w:tcW w:w="873" w:type="dxa"/>
          </w:tcPr>
          <w:p w:rsidR="007714BA" w:rsidRPr="008B1988" w:rsidRDefault="00CB6800" w:rsidP="008B1988">
            <w:pPr>
              <w:spacing w:line="360" w:lineRule="auto"/>
              <w:jc w:val="both"/>
              <w:rPr>
                <w:sz w:val="20"/>
                <w:szCs w:val="20"/>
              </w:rPr>
            </w:pPr>
            <w:r w:rsidRPr="008B1988">
              <w:rPr>
                <w:sz w:val="20"/>
                <w:szCs w:val="20"/>
              </w:rPr>
              <w:t>91.67</w:t>
            </w:r>
          </w:p>
        </w:tc>
        <w:tc>
          <w:tcPr>
            <w:tcW w:w="873" w:type="dxa"/>
          </w:tcPr>
          <w:p w:rsidR="007714BA" w:rsidRPr="008B1988" w:rsidRDefault="00CB6800" w:rsidP="008B1988">
            <w:pPr>
              <w:spacing w:line="360" w:lineRule="auto"/>
              <w:jc w:val="both"/>
              <w:rPr>
                <w:sz w:val="20"/>
                <w:szCs w:val="20"/>
              </w:rPr>
            </w:pPr>
            <w:r w:rsidRPr="008B1988">
              <w:rPr>
                <w:sz w:val="20"/>
                <w:szCs w:val="20"/>
              </w:rPr>
              <w:t>1</w:t>
            </w:r>
          </w:p>
        </w:tc>
        <w:tc>
          <w:tcPr>
            <w:tcW w:w="873" w:type="dxa"/>
          </w:tcPr>
          <w:p w:rsidR="007714BA" w:rsidRPr="008B1988" w:rsidRDefault="00CB6800" w:rsidP="008B1988">
            <w:pPr>
              <w:spacing w:line="360" w:lineRule="auto"/>
              <w:jc w:val="both"/>
              <w:rPr>
                <w:sz w:val="20"/>
                <w:szCs w:val="20"/>
              </w:rPr>
            </w:pPr>
            <w:r w:rsidRPr="008B1988">
              <w:rPr>
                <w:sz w:val="20"/>
                <w:szCs w:val="20"/>
              </w:rPr>
              <w:t>8.33</w:t>
            </w:r>
          </w:p>
        </w:tc>
        <w:tc>
          <w:tcPr>
            <w:tcW w:w="873" w:type="dxa"/>
          </w:tcPr>
          <w:p w:rsidR="007714BA" w:rsidRPr="008B1988" w:rsidRDefault="00CB6800" w:rsidP="008B1988">
            <w:pPr>
              <w:spacing w:line="360" w:lineRule="auto"/>
              <w:jc w:val="both"/>
              <w:rPr>
                <w:sz w:val="20"/>
                <w:szCs w:val="20"/>
              </w:rPr>
            </w:pPr>
            <w:r w:rsidRPr="008B1988">
              <w:rPr>
                <w:sz w:val="20"/>
                <w:szCs w:val="20"/>
              </w:rPr>
              <w:t>12</w:t>
            </w:r>
          </w:p>
        </w:tc>
        <w:tc>
          <w:tcPr>
            <w:tcW w:w="1728" w:type="dxa"/>
          </w:tcPr>
          <w:p w:rsidR="007714BA" w:rsidRPr="008B1988" w:rsidRDefault="00CB6800" w:rsidP="008B1988">
            <w:pPr>
              <w:spacing w:line="360" w:lineRule="auto"/>
              <w:jc w:val="both"/>
              <w:rPr>
                <w:sz w:val="20"/>
                <w:szCs w:val="20"/>
              </w:rPr>
            </w:pPr>
            <w:r w:rsidRPr="008B1988">
              <w:rPr>
                <w:sz w:val="20"/>
                <w:szCs w:val="20"/>
              </w:rPr>
              <w:t>4.0</w:t>
            </w:r>
          </w:p>
        </w:tc>
      </w:tr>
      <w:tr w:rsidR="007714BA" w:rsidRPr="008B1988">
        <w:tc>
          <w:tcPr>
            <w:tcW w:w="1937" w:type="dxa"/>
          </w:tcPr>
          <w:p w:rsidR="007714BA" w:rsidRPr="008B1988" w:rsidRDefault="00CB6800" w:rsidP="008B1988">
            <w:pPr>
              <w:spacing w:line="360" w:lineRule="auto"/>
              <w:jc w:val="both"/>
              <w:rPr>
                <w:sz w:val="20"/>
                <w:szCs w:val="20"/>
              </w:rPr>
            </w:pPr>
            <w:r w:rsidRPr="008B1988">
              <w:rPr>
                <w:sz w:val="20"/>
                <w:szCs w:val="20"/>
              </w:rPr>
              <w:t>6</w:t>
            </w:r>
          </w:p>
        </w:tc>
        <w:tc>
          <w:tcPr>
            <w:tcW w:w="1368" w:type="dxa"/>
          </w:tcPr>
          <w:p w:rsidR="007714BA" w:rsidRPr="008B1988" w:rsidRDefault="00CB6800" w:rsidP="008B1988">
            <w:pPr>
              <w:spacing w:line="360" w:lineRule="auto"/>
              <w:jc w:val="both"/>
              <w:rPr>
                <w:sz w:val="20"/>
                <w:szCs w:val="20"/>
              </w:rPr>
            </w:pPr>
            <w:r w:rsidRPr="008B1988">
              <w:rPr>
                <w:sz w:val="20"/>
                <w:szCs w:val="20"/>
              </w:rPr>
              <w:t>18</w:t>
            </w:r>
          </w:p>
        </w:tc>
        <w:tc>
          <w:tcPr>
            <w:tcW w:w="873" w:type="dxa"/>
          </w:tcPr>
          <w:p w:rsidR="007714BA" w:rsidRPr="008B1988" w:rsidRDefault="00CB6800" w:rsidP="008B1988">
            <w:pPr>
              <w:spacing w:line="360" w:lineRule="auto"/>
              <w:jc w:val="both"/>
              <w:rPr>
                <w:sz w:val="20"/>
                <w:szCs w:val="20"/>
              </w:rPr>
            </w:pPr>
            <w:r w:rsidRPr="008B1988">
              <w:rPr>
                <w:sz w:val="20"/>
                <w:szCs w:val="20"/>
              </w:rPr>
              <w:t>85.71</w:t>
            </w:r>
          </w:p>
        </w:tc>
        <w:tc>
          <w:tcPr>
            <w:tcW w:w="873" w:type="dxa"/>
          </w:tcPr>
          <w:p w:rsidR="007714BA" w:rsidRPr="008B1988" w:rsidRDefault="00CB6800" w:rsidP="008B1988">
            <w:pPr>
              <w:spacing w:line="360" w:lineRule="auto"/>
              <w:jc w:val="both"/>
              <w:rPr>
                <w:sz w:val="20"/>
                <w:szCs w:val="20"/>
              </w:rPr>
            </w:pPr>
            <w:r w:rsidRPr="008B1988">
              <w:rPr>
                <w:sz w:val="20"/>
                <w:szCs w:val="20"/>
              </w:rPr>
              <w:t>3</w:t>
            </w:r>
          </w:p>
        </w:tc>
        <w:tc>
          <w:tcPr>
            <w:tcW w:w="873" w:type="dxa"/>
          </w:tcPr>
          <w:p w:rsidR="007714BA" w:rsidRPr="008B1988" w:rsidRDefault="00CB6800" w:rsidP="008B1988">
            <w:pPr>
              <w:spacing w:line="360" w:lineRule="auto"/>
              <w:jc w:val="both"/>
              <w:rPr>
                <w:sz w:val="20"/>
                <w:szCs w:val="20"/>
              </w:rPr>
            </w:pPr>
            <w:r w:rsidRPr="008B1988">
              <w:rPr>
                <w:sz w:val="20"/>
                <w:szCs w:val="20"/>
              </w:rPr>
              <w:t>14.29</w:t>
            </w:r>
          </w:p>
        </w:tc>
        <w:tc>
          <w:tcPr>
            <w:tcW w:w="873" w:type="dxa"/>
          </w:tcPr>
          <w:p w:rsidR="007714BA" w:rsidRPr="008B1988" w:rsidRDefault="00CB6800" w:rsidP="008B1988">
            <w:pPr>
              <w:spacing w:line="360" w:lineRule="auto"/>
              <w:jc w:val="both"/>
              <w:rPr>
                <w:sz w:val="20"/>
                <w:szCs w:val="20"/>
              </w:rPr>
            </w:pPr>
            <w:r w:rsidRPr="008B1988">
              <w:rPr>
                <w:sz w:val="20"/>
                <w:szCs w:val="20"/>
              </w:rPr>
              <w:t>21</w:t>
            </w:r>
          </w:p>
        </w:tc>
        <w:tc>
          <w:tcPr>
            <w:tcW w:w="1728" w:type="dxa"/>
          </w:tcPr>
          <w:p w:rsidR="007714BA" w:rsidRPr="008B1988" w:rsidRDefault="00CB6800" w:rsidP="008B1988">
            <w:pPr>
              <w:spacing w:line="360" w:lineRule="auto"/>
              <w:jc w:val="both"/>
              <w:rPr>
                <w:sz w:val="20"/>
                <w:szCs w:val="20"/>
              </w:rPr>
            </w:pPr>
            <w:r w:rsidRPr="008B1988">
              <w:rPr>
                <w:sz w:val="20"/>
                <w:szCs w:val="20"/>
              </w:rPr>
              <w:t>7.0</w:t>
            </w:r>
          </w:p>
        </w:tc>
      </w:tr>
      <w:tr w:rsidR="007714BA" w:rsidRPr="008B1988">
        <w:tc>
          <w:tcPr>
            <w:tcW w:w="1937" w:type="dxa"/>
          </w:tcPr>
          <w:p w:rsidR="007714BA" w:rsidRPr="008B1988" w:rsidRDefault="00CB6800" w:rsidP="008B1988">
            <w:pPr>
              <w:spacing w:line="360" w:lineRule="auto"/>
              <w:jc w:val="both"/>
              <w:rPr>
                <w:sz w:val="20"/>
                <w:szCs w:val="20"/>
              </w:rPr>
            </w:pPr>
            <w:r w:rsidRPr="008B1988">
              <w:rPr>
                <w:sz w:val="20"/>
                <w:szCs w:val="20"/>
              </w:rPr>
              <w:t>7</w:t>
            </w:r>
          </w:p>
        </w:tc>
        <w:tc>
          <w:tcPr>
            <w:tcW w:w="1368" w:type="dxa"/>
          </w:tcPr>
          <w:p w:rsidR="007714BA" w:rsidRPr="008B1988" w:rsidRDefault="00CB6800" w:rsidP="008B1988">
            <w:pPr>
              <w:spacing w:line="360" w:lineRule="auto"/>
              <w:jc w:val="both"/>
              <w:rPr>
                <w:sz w:val="20"/>
                <w:szCs w:val="20"/>
              </w:rPr>
            </w:pPr>
            <w:r w:rsidRPr="008B1988">
              <w:rPr>
                <w:sz w:val="20"/>
                <w:szCs w:val="20"/>
              </w:rPr>
              <w:t>2</w:t>
            </w:r>
          </w:p>
        </w:tc>
        <w:tc>
          <w:tcPr>
            <w:tcW w:w="873" w:type="dxa"/>
          </w:tcPr>
          <w:p w:rsidR="007714BA" w:rsidRPr="008B1988" w:rsidRDefault="00CB6800" w:rsidP="008B1988">
            <w:pPr>
              <w:spacing w:line="360" w:lineRule="auto"/>
              <w:jc w:val="both"/>
              <w:rPr>
                <w:sz w:val="20"/>
                <w:szCs w:val="20"/>
              </w:rPr>
            </w:pPr>
            <w:r w:rsidRPr="008B1988">
              <w:rPr>
                <w:sz w:val="20"/>
                <w:szCs w:val="20"/>
              </w:rPr>
              <w:t>33.34</w:t>
            </w:r>
          </w:p>
        </w:tc>
        <w:tc>
          <w:tcPr>
            <w:tcW w:w="873" w:type="dxa"/>
          </w:tcPr>
          <w:p w:rsidR="007714BA" w:rsidRPr="008B1988" w:rsidRDefault="00CB6800" w:rsidP="008B1988">
            <w:pPr>
              <w:spacing w:line="360" w:lineRule="auto"/>
              <w:jc w:val="both"/>
              <w:rPr>
                <w:sz w:val="20"/>
                <w:szCs w:val="20"/>
              </w:rPr>
            </w:pPr>
            <w:r w:rsidRPr="008B1988">
              <w:rPr>
                <w:sz w:val="20"/>
                <w:szCs w:val="20"/>
              </w:rPr>
              <w:t>4</w:t>
            </w:r>
          </w:p>
        </w:tc>
        <w:tc>
          <w:tcPr>
            <w:tcW w:w="873" w:type="dxa"/>
          </w:tcPr>
          <w:p w:rsidR="007714BA" w:rsidRPr="008B1988" w:rsidRDefault="00CB6800" w:rsidP="008B1988">
            <w:pPr>
              <w:spacing w:line="360" w:lineRule="auto"/>
              <w:jc w:val="both"/>
              <w:rPr>
                <w:sz w:val="20"/>
                <w:szCs w:val="20"/>
              </w:rPr>
            </w:pPr>
            <w:r w:rsidRPr="008B1988">
              <w:rPr>
                <w:sz w:val="20"/>
                <w:szCs w:val="20"/>
              </w:rPr>
              <w:t>66.66</w:t>
            </w:r>
          </w:p>
        </w:tc>
        <w:tc>
          <w:tcPr>
            <w:tcW w:w="873" w:type="dxa"/>
          </w:tcPr>
          <w:p w:rsidR="007714BA" w:rsidRPr="008B1988" w:rsidRDefault="00CB6800" w:rsidP="008B1988">
            <w:pPr>
              <w:spacing w:line="360" w:lineRule="auto"/>
              <w:jc w:val="both"/>
              <w:rPr>
                <w:sz w:val="20"/>
                <w:szCs w:val="20"/>
              </w:rPr>
            </w:pPr>
            <w:r w:rsidRPr="008B1988">
              <w:rPr>
                <w:sz w:val="20"/>
                <w:szCs w:val="20"/>
              </w:rPr>
              <w:t>6</w:t>
            </w:r>
          </w:p>
        </w:tc>
        <w:tc>
          <w:tcPr>
            <w:tcW w:w="1728" w:type="dxa"/>
          </w:tcPr>
          <w:p w:rsidR="007714BA" w:rsidRPr="008B1988" w:rsidRDefault="00CB6800" w:rsidP="008B1988">
            <w:pPr>
              <w:spacing w:line="360" w:lineRule="auto"/>
              <w:jc w:val="both"/>
              <w:rPr>
                <w:sz w:val="20"/>
                <w:szCs w:val="20"/>
              </w:rPr>
            </w:pPr>
            <w:r w:rsidRPr="008B1988">
              <w:rPr>
                <w:sz w:val="20"/>
                <w:szCs w:val="20"/>
              </w:rPr>
              <w:t>2.0</w:t>
            </w:r>
          </w:p>
        </w:tc>
      </w:tr>
      <w:tr w:rsidR="007714BA" w:rsidRPr="008B1988">
        <w:tc>
          <w:tcPr>
            <w:tcW w:w="1937" w:type="dxa"/>
          </w:tcPr>
          <w:p w:rsidR="007714BA" w:rsidRPr="008B1988" w:rsidRDefault="00CB6800" w:rsidP="008B1988">
            <w:pPr>
              <w:spacing w:line="360" w:lineRule="auto"/>
              <w:jc w:val="both"/>
              <w:rPr>
                <w:sz w:val="20"/>
                <w:szCs w:val="20"/>
              </w:rPr>
            </w:pPr>
            <w:r w:rsidRPr="008B1988">
              <w:rPr>
                <w:sz w:val="20"/>
                <w:szCs w:val="20"/>
              </w:rPr>
              <w:t>8</w:t>
            </w:r>
          </w:p>
        </w:tc>
        <w:tc>
          <w:tcPr>
            <w:tcW w:w="1368" w:type="dxa"/>
          </w:tcPr>
          <w:p w:rsidR="007714BA" w:rsidRPr="008B1988" w:rsidRDefault="00CB6800" w:rsidP="008B1988">
            <w:pPr>
              <w:spacing w:line="360" w:lineRule="auto"/>
              <w:jc w:val="both"/>
              <w:rPr>
                <w:sz w:val="20"/>
                <w:szCs w:val="20"/>
              </w:rPr>
            </w:pPr>
            <w:r w:rsidRPr="008B1988">
              <w:rPr>
                <w:sz w:val="20"/>
                <w:szCs w:val="20"/>
              </w:rPr>
              <w:t>0</w:t>
            </w:r>
          </w:p>
        </w:tc>
        <w:tc>
          <w:tcPr>
            <w:tcW w:w="873" w:type="dxa"/>
          </w:tcPr>
          <w:p w:rsidR="007714BA" w:rsidRPr="008B1988" w:rsidRDefault="00CB6800" w:rsidP="008B1988">
            <w:pPr>
              <w:spacing w:line="360" w:lineRule="auto"/>
              <w:jc w:val="both"/>
              <w:rPr>
                <w:sz w:val="20"/>
                <w:szCs w:val="20"/>
              </w:rPr>
            </w:pPr>
            <w:r w:rsidRPr="008B1988">
              <w:rPr>
                <w:sz w:val="20"/>
                <w:szCs w:val="20"/>
              </w:rPr>
              <w:t>0</w:t>
            </w:r>
          </w:p>
        </w:tc>
        <w:tc>
          <w:tcPr>
            <w:tcW w:w="873" w:type="dxa"/>
          </w:tcPr>
          <w:p w:rsidR="007714BA" w:rsidRPr="008B1988" w:rsidRDefault="00CB6800" w:rsidP="008B1988">
            <w:pPr>
              <w:spacing w:line="360" w:lineRule="auto"/>
              <w:jc w:val="both"/>
              <w:rPr>
                <w:sz w:val="20"/>
                <w:szCs w:val="20"/>
              </w:rPr>
            </w:pPr>
            <w:r w:rsidRPr="008B1988">
              <w:rPr>
                <w:sz w:val="20"/>
                <w:szCs w:val="20"/>
              </w:rPr>
              <w:t>3</w:t>
            </w:r>
          </w:p>
        </w:tc>
        <w:tc>
          <w:tcPr>
            <w:tcW w:w="873" w:type="dxa"/>
          </w:tcPr>
          <w:p w:rsidR="007714BA" w:rsidRPr="008B1988" w:rsidRDefault="00CB6800" w:rsidP="008B1988">
            <w:pPr>
              <w:spacing w:line="360" w:lineRule="auto"/>
              <w:jc w:val="both"/>
              <w:rPr>
                <w:sz w:val="20"/>
                <w:szCs w:val="20"/>
              </w:rPr>
            </w:pPr>
            <w:r w:rsidRPr="008B1988">
              <w:rPr>
                <w:sz w:val="20"/>
                <w:szCs w:val="20"/>
              </w:rPr>
              <w:t>100</w:t>
            </w:r>
          </w:p>
        </w:tc>
        <w:tc>
          <w:tcPr>
            <w:tcW w:w="873" w:type="dxa"/>
          </w:tcPr>
          <w:p w:rsidR="007714BA" w:rsidRPr="008B1988" w:rsidRDefault="00CB6800" w:rsidP="008B1988">
            <w:pPr>
              <w:spacing w:line="360" w:lineRule="auto"/>
              <w:jc w:val="both"/>
              <w:rPr>
                <w:sz w:val="20"/>
                <w:szCs w:val="20"/>
              </w:rPr>
            </w:pPr>
            <w:r w:rsidRPr="008B1988">
              <w:rPr>
                <w:sz w:val="20"/>
                <w:szCs w:val="20"/>
              </w:rPr>
              <w:t>3</w:t>
            </w:r>
          </w:p>
        </w:tc>
        <w:tc>
          <w:tcPr>
            <w:tcW w:w="1728" w:type="dxa"/>
          </w:tcPr>
          <w:p w:rsidR="007714BA" w:rsidRPr="008B1988" w:rsidRDefault="00CB6800" w:rsidP="008B1988">
            <w:pPr>
              <w:spacing w:line="360" w:lineRule="auto"/>
              <w:jc w:val="both"/>
              <w:rPr>
                <w:sz w:val="20"/>
                <w:szCs w:val="20"/>
              </w:rPr>
            </w:pPr>
            <w:r w:rsidRPr="008B1988">
              <w:rPr>
                <w:sz w:val="20"/>
                <w:szCs w:val="20"/>
              </w:rPr>
              <w:t>1.0</w:t>
            </w:r>
          </w:p>
        </w:tc>
      </w:tr>
      <w:tr w:rsidR="007714BA" w:rsidRPr="008B1988">
        <w:tc>
          <w:tcPr>
            <w:tcW w:w="1937" w:type="dxa"/>
          </w:tcPr>
          <w:p w:rsidR="007714BA" w:rsidRPr="008B1988" w:rsidRDefault="00CB6800" w:rsidP="008B1988">
            <w:pPr>
              <w:spacing w:line="360" w:lineRule="auto"/>
              <w:jc w:val="both"/>
              <w:rPr>
                <w:sz w:val="20"/>
                <w:szCs w:val="20"/>
              </w:rPr>
            </w:pPr>
            <w:r w:rsidRPr="008B1988">
              <w:rPr>
                <w:sz w:val="20"/>
                <w:szCs w:val="20"/>
              </w:rPr>
              <w:t>Total</w:t>
            </w:r>
          </w:p>
        </w:tc>
        <w:tc>
          <w:tcPr>
            <w:tcW w:w="1368" w:type="dxa"/>
          </w:tcPr>
          <w:p w:rsidR="007714BA" w:rsidRPr="008B1988" w:rsidRDefault="00CB6800" w:rsidP="008B1988">
            <w:pPr>
              <w:spacing w:line="360" w:lineRule="auto"/>
              <w:jc w:val="both"/>
              <w:rPr>
                <w:sz w:val="20"/>
                <w:szCs w:val="20"/>
              </w:rPr>
            </w:pPr>
            <w:r w:rsidRPr="008B1988">
              <w:rPr>
                <w:sz w:val="20"/>
                <w:szCs w:val="20"/>
              </w:rPr>
              <w:t>285</w:t>
            </w:r>
          </w:p>
        </w:tc>
        <w:tc>
          <w:tcPr>
            <w:tcW w:w="873" w:type="dxa"/>
          </w:tcPr>
          <w:p w:rsidR="007714BA" w:rsidRPr="008B1988" w:rsidRDefault="00CB6800" w:rsidP="008B1988">
            <w:pPr>
              <w:spacing w:line="360" w:lineRule="auto"/>
              <w:jc w:val="both"/>
              <w:rPr>
                <w:sz w:val="20"/>
                <w:szCs w:val="20"/>
              </w:rPr>
            </w:pPr>
            <w:r w:rsidRPr="008B1988">
              <w:rPr>
                <w:sz w:val="20"/>
                <w:szCs w:val="20"/>
              </w:rPr>
              <w:t>95.0</w:t>
            </w:r>
          </w:p>
        </w:tc>
        <w:tc>
          <w:tcPr>
            <w:tcW w:w="873" w:type="dxa"/>
          </w:tcPr>
          <w:p w:rsidR="007714BA" w:rsidRPr="008B1988" w:rsidRDefault="00CB6800" w:rsidP="008B1988">
            <w:pPr>
              <w:spacing w:line="360" w:lineRule="auto"/>
              <w:jc w:val="both"/>
              <w:rPr>
                <w:sz w:val="20"/>
                <w:szCs w:val="20"/>
              </w:rPr>
            </w:pPr>
            <w:r w:rsidRPr="008B1988">
              <w:rPr>
                <w:sz w:val="20"/>
                <w:szCs w:val="20"/>
              </w:rPr>
              <w:t>15</w:t>
            </w:r>
          </w:p>
        </w:tc>
        <w:tc>
          <w:tcPr>
            <w:tcW w:w="873" w:type="dxa"/>
          </w:tcPr>
          <w:p w:rsidR="007714BA" w:rsidRPr="008B1988" w:rsidRDefault="00CB6800" w:rsidP="008B1988">
            <w:pPr>
              <w:spacing w:line="360" w:lineRule="auto"/>
              <w:jc w:val="both"/>
              <w:rPr>
                <w:sz w:val="20"/>
                <w:szCs w:val="20"/>
              </w:rPr>
            </w:pPr>
            <w:r w:rsidRPr="008B1988">
              <w:rPr>
                <w:sz w:val="20"/>
                <w:szCs w:val="20"/>
              </w:rPr>
              <w:t>5.0</w:t>
            </w:r>
          </w:p>
        </w:tc>
        <w:tc>
          <w:tcPr>
            <w:tcW w:w="873" w:type="dxa"/>
          </w:tcPr>
          <w:p w:rsidR="007714BA" w:rsidRPr="008B1988" w:rsidRDefault="00CB6800" w:rsidP="008B1988">
            <w:pPr>
              <w:spacing w:line="360" w:lineRule="auto"/>
              <w:jc w:val="both"/>
              <w:rPr>
                <w:sz w:val="20"/>
                <w:szCs w:val="20"/>
              </w:rPr>
            </w:pPr>
            <w:r w:rsidRPr="008B1988">
              <w:rPr>
                <w:sz w:val="20"/>
                <w:szCs w:val="20"/>
              </w:rPr>
              <w:t>300</w:t>
            </w:r>
          </w:p>
        </w:tc>
        <w:tc>
          <w:tcPr>
            <w:tcW w:w="1728" w:type="dxa"/>
          </w:tcPr>
          <w:p w:rsidR="007714BA" w:rsidRPr="008B1988" w:rsidRDefault="00CB6800" w:rsidP="008B1988">
            <w:pPr>
              <w:spacing w:line="360" w:lineRule="auto"/>
              <w:jc w:val="both"/>
              <w:rPr>
                <w:sz w:val="20"/>
                <w:szCs w:val="20"/>
              </w:rPr>
            </w:pPr>
            <w:r w:rsidRPr="008B1988">
              <w:rPr>
                <w:sz w:val="20"/>
                <w:szCs w:val="20"/>
              </w:rPr>
              <w:t>100</w:t>
            </w:r>
          </w:p>
        </w:tc>
      </w:tr>
    </w:tbl>
    <w:p w:rsidR="008B1988" w:rsidRDefault="008B1988" w:rsidP="008B1988">
      <w:pPr>
        <w:spacing w:after="0" w:line="360" w:lineRule="auto"/>
        <w:jc w:val="both"/>
        <w:rPr>
          <w:rFonts w:ascii="Times New Roman" w:eastAsia="Times New Roman" w:hAnsi="Times New Roman" w:cs="Times New Roman"/>
          <w:sz w:val="20"/>
          <w:szCs w:val="20"/>
        </w:rPr>
      </w:pPr>
    </w:p>
    <w:p w:rsidR="007714BA" w:rsidRPr="008B1988" w:rsidRDefault="00CB6800" w:rsidP="008B1988">
      <w:pPr>
        <w:spacing w:after="0" w:line="360" w:lineRule="auto"/>
        <w:jc w:val="both"/>
        <w:rPr>
          <w:rFonts w:ascii="Times New Roman" w:eastAsia="Times New Roman" w:hAnsi="Times New Roman" w:cs="Times New Roman"/>
          <w:sz w:val="20"/>
          <w:szCs w:val="20"/>
        </w:rPr>
      </w:pPr>
      <w:r w:rsidRPr="008B1988">
        <w:rPr>
          <w:rFonts w:ascii="Times New Roman" w:eastAsia="Times New Roman" w:hAnsi="Times New Roman" w:cs="Times New Roman"/>
          <w:sz w:val="20"/>
          <w:szCs w:val="20"/>
        </w:rPr>
        <w:t>Hearing impairment increases from cases with one risk factor (0%), 2 risk factors (5.5%), 5 risk factors (8.33%), 6 risk factors (14.29%), 7 risk factors (66.66%) to 8 risk factors (100%).</w:t>
      </w:r>
    </w:p>
    <w:p w:rsidR="008B1988" w:rsidRDefault="008B1988" w:rsidP="008B1988">
      <w:pPr>
        <w:tabs>
          <w:tab w:val="left" w:pos="1680"/>
        </w:tabs>
        <w:spacing w:after="0" w:line="360" w:lineRule="auto"/>
        <w:jc w:val="both"/>
        <w:rPr>
          <w:rFonts w:ascii="Times New Roman" w:eastAsia="Times New Roman" w:hAnsi="Times New Roman" w:cs="Times New Roman"/>
          <w:b/>
          <w:color w:val="000000"/>
          <w:sz w:val="20"/>
          <w:szCs w:val="20"/>
        </w:rPr>
      </w:pPr>
    </w:p>
    <w:p w:rsidR="007714BA" w:rsidRPr="008B1988" w:rsidRDefault="008B1988" w:rsidP="008B1988">
      <w:pPr>
        <w:tabs>
          <w:tab w:val="left" w:pos="1680"/>
        </w:tabs>
        <w:spacing w:after="0" w:line="360" w:lineRule="auto"/>
        <w:jc w:val="both"/>
        <w:rPr>
          <w:rFonts w:ascii="Times New Roman" w:eastAsia="Times New Roman" w:hAnsi="Times New Roman" w:cs="Times New Roman"/>
          <w:b/>
          <w:color w:val="000000"/>
          <w:sz w:val="20"/>
          <w:szCs w:val="20"/>
        </w:rPr>
      </w:pPr>
      <w:r w:rsidRPr="008B1988">
        <w:rPr>
          <w:rFonts w:ascii="Times New Roman" w:eastAsia="Times New Roman" w:hAnsi="Times New Roman" w:cs="Times New Roman"/>
          <w:b/>
          <w:color w:val="000000"/>
          <w:sz w:val="20"/>
          <w:szCs w:val="20"/>
        </w:rPr>
        <w:t>DISCUSSION</w:t>
      </w:r>
      <w:r>
        <w:rPr>
          <w:rFonts w:ascii="Times New Roman" w:eastAsia="Times New Roman" w:hAnsi="Times New Roman" w:cs="Times New Roman"/>
          <w:b/>
          <w:color w:val="000000"/>
          <w:sz w:val="20"/>
          <w:szCs w:val="20"/>
        </w:rPr>
        <w:t xml:space="preserve">: </w:t>
      </w:r>
    </w:p>
    <w:p w:rsidR="007714BA" w:rsidRPr="008B1988" w:rsidRDefault="00CB6800" w:rsidP="008B1988">
      <w:pPr>
        <w:tabs>
          <w:tab w:val="left" w:pos="1680"/>
        </w:tabs>
        <w:spacing w:after="0" w:line="360" w:lineRule="auto"/>
        <w:jc w:val="both"/>
        <w:rPr>
          <w:rFonts w:ascii="Times New Roman" w:eastAsia="Times New Roman" w:hAnsi="Times New Roman" w:cs="Times New Roman"/>
          <w:color w:val="000000"/>
          <w:sz w:val="20"/>
          <w:szCs w:val="20"/>
        </w:rPr>
      </w:pPr>
      <w:r w:rsidRPr="008B1988">
        <w:rPr>
          <w:rFonts w:ascii="Times New Roman" w:eastAsia="Times New Roman" w:hAnsi="Times New Roman" w:cs="Times New Roman"/>
          <w:color w:val="000000"/>
          <w:sz w:val="20"/>
          <w:szCs w:val="20"/>
        </w:rPr>
        <w:t xml:space="preserve">The prevalence of bilateral hearing loss is substantial, particularly in infants admitted to the NICU who frequently present with risk factors for hearing loss. The prevalence of significant bilateral hearing loss in this group is 1%–3%, which is 10 times higher than that in the well-infant nursery population. Furthermore, early intervention in hearing-impaired children (aged 6 months or earlier) improved their language and speech outcomes as well as their socio-emotional development. It seems reasonable to include hearing screening into routine programmes. Thus, screening in a population at risk as performed in the present study can only be regarded to be the first step toward a universal screening. This study was conducted at </w:t>
      </w:r>
      <w:proofErr w:type="spellStart"/>
      <w:r w:rsidRPr="008B1988">
        <w:rPr>
          <w:rFonts w:ascii="Times New Roman" w:eastAsia="Times New Roman" w:hAnsi="Times New Roman" w:cs="Times New Roman"/>
          <w:sz w:val="20"/>
          <w:szCs w:val="20"/>
        </w:rPr>
        <w:t>Govt</w:t>
      </w:r>
      <w:proofErr w:type="spellEnd"/>
      <w:r w:rsidRPr="008B1988">
        <w:rPr>
          <w:rFonts w:ascii="Times New Roman" w:eastAsia="Times New Roman" w:hAnsi="Times New Roman" w:cs="Times New Roman"/>
          <w:sz w:val="20"/>
          <w:szCs w:val="20"/>
        </w:rPr>
        <w:t xml:space="preserve"> </w:t>
      </w:r>
      <w:proofErr w:type="spellStart"/>
      <w:r w:rsidRPr="008B1988">
        <w:rPr>
          <w:rFonts w:ascii="Times New Roman" w:eastAsia="Times New Roman" w:hAnsi="Times New Roman" w:cs="Times New Roman"/>
          <w:sz w:val="20"/>
          <w:szCs w:val="20"/>
        </w:rPr>
        <w:t>S.K.Medical</w:t>
      </w:r>
      <w:proofErr w:type="spellEnd"/>
      <w:r w:rsidRPr="008B1988">
        <w:rPr>
          <w:rFonts w:ascii="Times New Roman" w:eastAsia="Times New Roman" w:hAnsi="Times New Roman" w:cs="Times New Roman"/>
          <w:color w:val="000000"/>
          <w:sz w:val="20"/>
          <w:szCs w:val="20"/>
        </w:rPr>
        <w:t xml:space="preserve"> College and attached group of</w:t>
      </w:r>
      <w:r w:rsidRPr="008B1988">
        <w:rPr>
          <w:rFonts w:ascii="Times New Roman" w:eastAsia="Times New Roman" w:hAnsi="Times New Roman" w:cs="Times New Roman"/>
          <w:sz w:val="20"/>
          <w:szCs w:val="20"/>
        </w:rPr>
        <w:t xml:space="preserve"> S.K.</w:t>
      </w:r>
      <w:r w:rsidRPr="008B1988">
        <w:rPr>
          <w:rFonts w:ascii="Times New Roman" w:eastAsia="Times New Roman" w:hAnsi="Times New Roman" w:cs="Times New Roman"/>
          <w:color w:val="000000"/>
          <w:sz w:val="20"/>
          <w:szCs w:val="20"/>
        </w:rPr>
        <w:t xml:space="preserve"> Hospital </w:t>
      </w:r>
      <w:proofErr w:type="spellStart"/>
      <w:r w:rsidRPr="008B1988">
        <w:rPr>
          <w:rFonts w:ascii="Times New Roman" w:eastAsia="Times New Roman" w:hAnsi="Times New Roman" w:cs="Times New Roman"/>
          <w:color w:val="000000"/>
          <w:sz w:val="20"/>
          <w:szCs w:val="20"/>
        </w:rPr>
        <w:t>Sikar</w:t>
      </w:r>
      <w:proofErr w:type="spellEnd"/>
      <w:r w:rsidRPr="008B1988">
        <w:rPr>
          <w:rFonts w:ascii="Times New Roman" w:eastAsia="Times New Roman" w:hAnsi="Times New Roman" w:cs="Times New Roman"/>
          <w:color w:val="000000"/>
          <w:sz w:val="20"/>
          <w:szCs w:val="20"/>
        </w:rPr>
        <w:t>, where 300 high risk infants were enrolled and evaluated by two stage OAE followed by BERA.</w:t>
      </w:r>
    </w:p>
    <w:p w:rsidR="007714BA" w:rsidRPr="008B1988" w:rsidRDefault="00CB6800" w:rsidP="008B1988">
      <w:pPr>
        <w:tabs>
          <w:tab w:val="left" w:pos="1680"/>
        </w:tabs>
        <w:spacing w:after="0" w:line="360" w:lineRule="auto"/>
        <w:jc w:val="both"/>
        <w:rPr>
          <w:rFonts w:ascii="Times New Roman" w:eastAsia="Times New Roman" w:hAnsi="Times New Roman" w:cs="Times New Roman"/>
          <w:color w:val="000000"/>
          <w:sz w:val="20"/>
          <w:szCs w:val="20"/>
        </w:rPr>
      </w:pPr>
      <w:r w:rsidRPr="008B1988">
        <w:rPr>
          <w:rFonts w:ascii="Times New Roman" w:eastAsia="Times New Roman" w:hAnsi="Times New Roman" w:cs="Times New Roman"/>
          <w:color w:val="000000"/>
          <w:sz w:val="20"/>
          <w:szCs w:val="20"/>
        </w:rPr>
        <w:t xml:space="preserve">In our study, out of 300 high risk infants 165(55%) were male and 135(45%) were female and the male female ratio was 1.22:1. whereas </w:t>
      </w:r>
      <w:proofErr w:type="spellStart"/>
      <w:r w:rsidRPr="008B1988">
        <w:rPr>
          <w:rFonts w:ascii="Times New Roman" w:eastAsia="Times New Roman" w:hAnsi="Times New Roman" w:cs="Times New Roman"/>
          <w:color w:val="000000"/>
          <w:sz w:val="20"/>
          <w:szCs w:val="20"/>
        </w:rPr>
        <w:t>Bhat</w:t>
      </w:r>
      <w:proofErr w:type="spellEnd"/>
      <w:r w:rsidRPr="008B1988">
        <w:rPr>
          <w:rFonts w:ascii="Times New Roman" w:eastAsia="Times New Roman" w:hAnsi="Times New Roman" w:cs="Times New Roman"/>
          <w:color w:val="000000"/>
          <w:sz w:val="20"/>
          <w:szCs w:val="20"/>
        </w:rPr>
        <w:t xml:space="preserve"> </w:t>
      </w:r>
      <w:proofErr w:type="gramStart"/>
      <w:r w:rsidRPr="008B1988">
        <w:rPr>
          <w:rFonts w:ascii="Times New Roman" w:eastAsia="Times New Roman" w:hAnsi="Times New Roman" w:cs="Times New Roman"/>
          <w:color w:val="000000"/>
          <w:sz w:val="20"/>
          <w:szCs w:val="20"/>
        </w:rPr>
        <w:t>et</w:t>
      </w:r>
      <w:proofErr w:type="gramEnd"/>
      <w:r w:rsidRPr="008B1988">
        <w:rPr>
          <w:rFonts w:ascii="Times New Roman" w:eastAsia="Times New Roman" w:hAnsi="Times New Roman" w:cs="Times New Roman"/>
          <w:color w:val="000000"/>
          <w:sz w:val="20"/>
          <w:szCs w:val="20"/>
        </w:rPr>
        <w:t xml:space="preserve"> al</w:t>
      </w:r>
      <w:r w:rsidRPr="008B1988">
        <w:rPr>
          <w:rFonts w:ascii="Times New Roman" w:eastAsia="Times New Roman" w:hAnsi="Times New Roman" w:cs="Times New Roman"/>
          <w:color w:val="000000"/>
          <w:sz w:val="20"/>
          <w:szCs w:val="20"/>
          <w:vertAlign w:val="superscript"/>
        </w:rPr>
        <w:t>5</w:t>
      </w:r>
      <w:r w:rsidRPr="008B1988">
        <w:rPr>
          <w:rFonts w:ascii="Times New Roman" w:eastAsia="Times New Roman" w:hAnsi="Times New Roman" w:cs="Times New Roman"/>
          <w:color w:val="000000"/>
          <w:sz w:val="20"/>
          <w:szCs w:val="20"/>
        </w:rPr>
        <w:t xml:space="preserve"> has 95(48.7%) male and 100 (51.3%) female. </w:t>
      </w:r>
      <w:proofErr w:type="spellStart"/>
      <w:r w:rsidRPr="008B1988">
        <w:rPr>
          <w:rFonts w:ascii="Times New Roman" w:eastAsia="Times New Roman" w:hAnsi="Times New Roman" w:cs="Times New Roman"/>
          <w:color w:val="000000"/>
          <w:sz w:val="20"/>
          <w:szCs w:val="20"/>
        </w:rPr>
        <w:t>Maqbool</w:t>
      </w:r>
      <w:proofErr w:type="spellEnd"/>
      <w:r w:rsidRPr="008B1988">
        <w:rPr>
          <w:rFonts w:ascii="Times New Roman" w:eastAsia="Times New Roman" w:hAnsi="Times New Roman" w:cs="Times New Roman"/>
          <w:color w:val="000000"/>
          <w:sz w:val="20"/>
          <w:szCs w:val="20"/>
        </w:rPr>
        <w:t xml:space="preserve"> </w:t>
      </w:r>
      <w:proofErr w:type="gramStart"/>
      <w:r w:rsidRPr="008B1988">
        <w:rPr>
          <w:rFonts w:ascii="Times New Roman" w:eastAsia="Times New Roman" w:hAnsi="Times New Roman" w:cs="Times New Roman"/>
          <w:color w:val="000000"/>
          <w:sz w:val="20"/>
          <w:szCs w:val="20"/>
        </w:rPr>
        <w:t>et</w:t>
      </w:r>
      <w:proofErr w:type="gramEnd"/>
      <w:r w:rsidRPr="008B1988">
        <w:rPr>
          <w:rFonts w:ascii="Times New Roman" w:eastAsia="Times New Roman" w:hAnsi="Times New Roman" w:cs="Times New Roman"/>
          <w:color w:val="000000"/>
          <w:sz w:val="20"/>
          <w:szCs w:val="20"/>
        </w:rPr>
        <w:t xml:space="preserve"> al</w:t>
      </w:r>
      <w:r w:rsidRPr="008B1988">
        <w:rPr>
          <w:rFonts w:ascii="Times New Roman" w:eastAsia="Times New Roman" w:hAnsi="Times New Roman" w:cs="Times New Roman"/>
          <w:color w:val="000000"/>
          <w:sz w:val="20"/>
          <w:szCs w:val="20"/>
          <w:vertAlign w:val="superscript"/>
        </w:rPr>
        <w:t>6</w:t>
      </w:r>
      <w:r w:rsidRPr="008B1988">
        <w:rPr>
          <w:rFonts w:ascii="Times New Roman" w:eastAsia="Times New Roman" w:hAnsi="Times New Roman" w:cs="Times New Roman"/>
          <w:color w:val="000000"/>
          <w:sz w:val="20"/>
          <w:szCs w:val="20"/>
        </w:rPr>
        <w:t xml:space="preserve"> also enrolled 200 cases comprising 118 males (59%) and 82 females (41%).</w:t>
      </w:r>
    </w:p>
    <w:p w:rsidR="007714BA" w:rsidRPr="008B1988" w:rsidRDefault="00CB6800" w:rsidP="008B1988">
      <w:pPr>
        <w:tabs>
          <w:tab w:val="left" w:pos="1680"/>
        </w:tabs>
        <w:spacing w:after="0" w:line="360" w:lineRule="auto"/>
        <w:jc w:val="both"/>
        <w:rPr>
          <w:rFonts w:ascii="Times New Roman" w:eastAsia="Times New Roman" w:hAnsi="Times New Roman" w:cs="Times New Roman"/>
          <w:color w:val="000000"/>
          <w:sz w:val="20"/>
          <w:szCs w:val="20"/>
        </w:rPr>
      </w:pPr>
      <w:r w:rsidRPr="008B1988">
        <w:rPr>
          <w:rFonts w:ascii="Times New Roman" w:eastAsia="Times New Roman" w:hAnsi="Times New Roman" w:cs="Times New Roman"/>
          <w:color w:val="000000"/>
          <w:sz w:val="20"/>
          <w:szCs w:val="20"/>
        </w:rPr>
        <w:t xml:space="preserve">In this study Birth Asphyxia (41%) has highest number of cases followed by Prematurity (&lt;37 weeks), (39%), NICU Stay (&gt;5 Day) (38%), HIE-II &amp; III (34%), Birth Weight (&lt;1.5kg) (32%), </w:t>
      </w:r>
      <w:proofErr w:type="spellStart"/>
      <w:r w:rsidRPr="008B1988">
        <w:rPr>
          <w:rFonts w:ascii="Times New Roman" w:eastAsia="Times New Roman" w:hAnsi="Times New Roman" w:cs="Times New Roman"/>
          <w:color w:val="000000"/>
          <w:sz w:val="20"/>
          <w:szCs w:val="20"/>
        </w:rPr>
        <w:t>Hyperbiliru-binemia</w:t>
      </w:r>
      <w:proofErr w:type="spellEnd"/>
      <w:r w:rsidRPr="008B1988">
        <w:rPr>
          <w:rFonts w:ascii="Times New Roman" w:eastAsia="Times New Roman" w:hAnsi="Times New Roman" w:cs="Times New Roman"/>
          <w:color w:val="000000"/>
          <w:sz w:val="20"/>
          <w:szCs w:val="20"/>
        </w:rPr>
        <w:t xml:space="preserve"> (32%) and others which is consistent with the study conducted by </w:t>
      </w:r>
      <w:proofErr w:type="spellStart"/>
      <w:r w:rsidRPr="008B1988">
        <w:rPr>
          <w:rFonts w:ascii="Times New Roman" w:eastAsia="Times New Roman" w:hAnsi="Times New Roman" w:cs="Times New Roman"/>
          <w:color w:val="000000"/>
          <w:sz w:val="20"/>
          <w:szCs w:val="20"/>
        </w:rPr>
        <w:t>Bhat</w:t>
      </w:r>
      <w:proofErr w:type="spellEnd"/>
      <w:r w:rsidRPr="008B1988">
        <w:rPr>
          <w:rFonts w:ascii="Times New Roman" w:eastAsia="Times New Roman" w:hAnsi="Times New Roman" w:cs="Times New Roman"/>
          <w:color w:val="000000"/>
          <w:sz w:val="20"/>
          <w:szCs w:val="20"/>
        </w:rPr>
        <w:t xml:space="preserve"> et al</w:t>
      </w:r>
      <w:r w:rsidRPr="008B1988">
        <w:rPr>
          <w:rFonts w:ascii="Times New Roman" w:eastAsia="Times New Roman" w:hAnsi="Times New Roman" w:cs="Times New Roman"/>
          <w:color w:val="000000"/>
          <w:sz w:val="20"/>
          <w:szCs w:val="20"/>
          <w:vertAlign w:val="superscript"/>
        </w:rPr>
        <w:t>5</w:t>
      </w:r>
      <w:r w:rsidRPr="008B1988">
        <w:rPr>
          <w:rFonts w:ascii="Times New Roman" w:eastAsia="Times New Roman" w:hAnsi="Times New Roman" w:cs="Times New Roman"/>
          <w:color w:val="000000"/>
          <w:sz w:val="20"/>
          <w:szCs w:val="20"/>
        </w:rPr>
        <w:t xml:space="preserve">, </w:t>
      </w:r>
      <w:proofErr w:type="spellStart"/>
      <w:r w:rsidRPr="008B1988">
        <w:rPr>
          <w:rFonts w:ascii="Times New Roman" w:eastAsia="Times New Roman" w:hAnsi="Times New Roman" w:cs="Times New Roman"/>
          <w:color w:val="000000"/>
          <w:sz w:val="20"/>
          <w:szCs w:val="20"/>
        </w:rPr>
        <w:t>Zamani</w:t>
      </w:r>
      <w:proofErr w:type="spellEnd"/>
      <w:r w:rsidRPr="008B1988">
        <w:rPr>
          <w:rFonts w:ascii="Times New Roman" w:eastAsia="Times New Roman" w:hAnsi="Times New Roman" w:cs="Times New Roman"/>
          <w:color w:val="000000"/>
          <w:sz w:val="20"/>
          <w:szCs w:val="20"/>
        </w:rPr>
        <w:t xml:space="preserve"> et al</w:t>
      </w:r>
      <w:r w:rsidRPr="008B1988">
        <w:rPr>
          <w:rFonts w:ascii="Times New Roman" w:eastAsia="Times New Roman" w:hAnsi="Times New Roman" w:cs="Times New Roman"/>
          <w:color w:val="000000"/>
          <w:sz w:val="20"/>
          <w:szCs w:val="20"/>
          <w:vertAlign w:val="superscript"/>
        </w:rPr>
        <w:t>7</w:t>
      </w:r>
      <w:r w:rsidRPr="008B1988">
        <w:rPr>
          <w:rFonts w:ascii="Times New Roman" w:eastAsia="Times New Roman" w:hAnsi="Times New Roman" w:cs="Times New Roman"/>
          <w:color w:val="000000"/>
          <w:sz w:val="20"/>
          <w:szCs w:val="20"/>
        </w:rPr>
        <w:t>, Meyer et al</w:t>
      </w:r>
      <w:r w:rsidRPr="008B1988">
        <w:rPr>
          <w:rFonts w:ascii="Times New Roman" w:eastAsia="Times New Roman" w:hAnsi="Times New Roman" w:cs="Times New Roman"/>
          <w:color w:val="000000"/>
          <w:sz w:val="20"/>
          <w:szCs w:val="20"/>
          <w:vertAlign w:val="superscript"/>
        </w:rPr>
        <w:t>8</w:t>
      </w:r>
      <w:r w:rsidRPr="008B1988">
        <w:rPr>
          <w:rFonts w:ascii="Times New Roman" w:eastAsia="Times New Roman" w:hAnsi="Times New Roman" w:cs="Times New Roman"/>
          <w:color w:val="000000"/>
          <w:sz w:val="20"/>
          <w:szCs w:val="20"/>
        </w:rPr>
        <w:t xml:space="preserve"> and </w:t>
      </w:r>
      <w:proofErr w:type="spellStart"/>
      <w:r w:rsidRPr="008B1988">
        <w:rPr>
          <w:rFonts w:ascii="Times New Roman" w:eastAsia="Times New Roman" w:hAnsi="Times New Roman" w:cs="Times New Roman"/>
          <w:color w:val="000000"/>
          <w:sz w:val="20"/>
          <w:szCs w:val="20"/>
        </w:rPr>
        <w:t>Maqbool</w:t>
      </w:r>
      <w:proofErr w:type="spellEnd"/>
      <w:r w:rsidRPr="008B1988">
        <w:rPr>
          <w:rFonts w:ascii="Times New Roman" w:eastAsia="Times New Roman" w:hAnsi="Times New Roman" w:cs="Times New Roman"/>
          <w:color w:val="000000"/>
          <w:sz w:val="20"/>
          <w:szCs w:val="20"/>
        </w:rPr>
        <w:t xml:space="preserve"> et al</w:t>
      </w:r>
      <w:r w:rsidRPr="008B1988">
        <w:rPr>
          <w:rFonts w:ascii="Times New Roman" w:eastAsia="Times New Roman" w:hAnsi="Times New Roman" w:cs="Times New Roman"/>
          <w:color w:val="000000"/>
          <w:sz w:val="20"/>
          <w:szCs w:val="20"/>
          <w:vertAlign w:val="superscript"/>
        </w:rPr>
        <w:t>6</w:t>
      </w:r>
      <w:r w:rsidRPr="008B1988">
        <w:rPr>
          <w:rFonts w:ascii="Times New Roman" w:eastAsia="Times New Roman" w:hAnsi="Times New Roman" w:cs="Times New Roman"/>
          <w:color w:val="000000"/>
          <w:sz w:val="20"/>
          <w:szCs w:val="20"/>
        </w:rPr>
        <w:t xml:space="preserve"> had use of ototoxic medications, </w:t>
      </w:r>
      <w:proofErr w:type="spellStart"/>
      <w:r w:rsidRPr="008B1988">
        <w:rPr>
          <w:rFonts w:ascii="Times New Roman" w:eastAsia="Times New Roman" w:hAnsi="Times New Roman" w:cs="Times New Roman"/>
          <w:color w:val="000000"/>
          <w:sz w:val="20"/>
          <w:szCs w:val="20"/>
        </w:rPr>
        <w:t>hyperbilirubinemia</w:t>
      </w:r>
      <w:proofErr w:type="spellEnd"/>
      <w:r w:rsidRPr="008B1988">
        <w:rPr>
          <w:rFonts w:ascii="Times New Roman" w:eastAsia="Times New Roman" w:hAnsi="Times New Roman" w:cs="Times New Roman"/>
          <w:color w:val="000000"/>
          <w:sz w:val="20"/>
          <w:szCs w:val="20"/>
        </w:rPr>
        <w:t xml:space="preserve"> requiring exchange transfusion and perinatal asphyxia cases  occurring in 45%, 30% and 26% at risk infants respectively; bacterial meningitis was present in 10% of infants. None of the study infants had family history of hearing loss.</w:t>
      </w:r>
    </w:p>
    <w:p w:rsidR="007714BA" w:rsidRPr="008B1988" w:rsidRDefault="00CB6800" w:rsidP="008B1988">
      <w:pPr>
        <w:tabs>
          <w:tab w:val="left" w:pos="1680"/>
        </w:tabs>
        <w:spacing w:after="0" w:line="360" w:lineRule="auto"/>
        <w:jc w:val="both"/>
        <w:rPr>
          <w:rFonts w:ascii="Times New Roman" w:eastAsia="Times New Roman" w:hAnsi="Times New Roman" w:cs="Times New Roman"/>
          <w:color w:val="000000"/>
          <w:sz w:val="20"/>
          <w:szCs w:val="20"/>
        </w:rPr>
      </w:pPr>
      <w:r w:rsidRPr="008B1988">
        <w:rPr>
          <w:rFonts w:ascii="Times New Roman" w:eastAsia="Times New Roman" w:hAnsi="Times New Roman" w:cs="Times New Roman"/>
          <w:color w:val="000000"/>
          <w:sz w:val="20"/>
          <w:szCs w:val="20"/>
        </w:rPr>
        <w:lastRenderedPageBreak/>
        <w:t>In this study, 300 at risk infants were screened for hearing impairment using OAE and who fail the OAE test were screened by BERA. In OAE 1</w:t>
      </w:r>
      <w:r w:rsidRPr="008B1988">
        <w:rPr>
          <w:rFonts w:ascii="Times New Roman" w:eastAsia="Times New Roman" w:hAnsi="Times New Roman" w:cs="Times New Roman"/>
          <w:color w:val="000000"/>
          <w:sz w:val="20"/>
          <w:szCs w:val="20"/>
          <w:vertAlign w:val="superscript"/>
        </w:rPr>
        <w:t>st</w:t>
      </w:r>
      <w:r w:rsidRPr="008B1988">
        <w:rPr>
          <w:rFonts w:ascii="Times New Roman" w:eastAsia="Times New Roman" w:hAnsi="Times New Roman" w:cs="Times New Roman"/>
          <w:color w:val="000000"/>
          <w:sz w:val="20"/>
          <w:szCs w:val="20"/>
        </w:rPr>
        <w:t xml:space="preserve"> 90 infants were referred to OAE 2</w:t>
      </w:r>
      <w:r w:rsidRPr="008B1988">
        <w:rPr>
          <w:rFonts w:ascii="Times New Roman" w:eastAsia="Times New Roman" w:hAnsi="Times New Roman" w:cs="Times New Roman"/>
          <w:color w:val="000000"/>
          <w:sz w:val="20"/>
          <w:szCs w:val="20"/>
          <w:vertAlign w:val="superscript"/>
        </w:rPr>
        <w:t>nd</w:t>
      </w:r>
      <w:r w:rsidRPr="008B1988">
        <w:rPr>
          <w:rFonts w:ascii="Times New Roman" w:eastAsia="Times New Roman" w:hAnsi="Times New Roman" w:cs="Times New Roman"/>
          <w:color w:val="000000"/>
          <w:sz w:val="20"/>
          <w:szCs w:val="20"/>
        </w:rPr>
        <w:t xml:space="preserve"> and after OAE 2</w:t>
      </w:r>
      <w:r w:rsidRPr="008B1988">
        <w:rPr>
          <w:rFonts w:ascii="Times New Roman" w:eastAsia="Times New Roman" w:hAnsi="Times New Roman" w:cs="Times New Roman"/>
          <w:color w:val="000000"/>
          <w:sz w:val="20"/>
          <w:szCs w:val="20"/>
          <w:vertAlign w:val="superscript"/>
        </w:rPr>
        <w:t xml:space="preserve">nd </w:t>
      </w:r>
      <w:r w:rsidRPr="008B1988">
        <w:rPr>
          <w:rFonts w:ascii="Times New Roman" w:eastAsia="Times New Roman" w:hAnsi="Times New Roman" w:cs="Times New Roman"/>
          <w:color w:val="000000"/>
          <w:sz w:val="20"/>
          <w:szCs w:val="20"/>
        </w:rPr>
        <w:t xml:space="preserve">25 infants were referred for BERA. BERA showed 15 cases (5%) had hearing impairment. Similar results have been obtained in the studies done by </w:t>
      </w:r>
      <w:proofErr w:type="spellStart"/>
      <w:r w:rsidRPr="008B1988">
        <w:rPr>
          <w:rFonts w:ascii="Times New Roman" w:eastAsia="Times New Roman" w:hAnsi="Times New Roman" w:cs="Times New Roman"/>
          <w:color w:val="000000"/>
          <w:sz w:val="20"/>
          <w:szCs w:val="20"/>
        </w:rPr>
        <w:t>Zamani</w:t>
      </w:r>
      <w:proofErr w:type="spellEnd"/>
      <w:r w:rsidRPr="008B1988">
        <w:rPr>
          <w:rFonts w:ascii="Times New Roman" w:eastAsia="Times New Roman" w:hAnsi="Times New Roman" w:cs="Times New Roman"/>
          <w:color w:val="000000"/>
          <w:sz w:val="20"/>
          <w:szCs w:val="20"/>
        </w:rPr>
        <w:t xml:space="preserve"> </w:t>
      </w:r>
      <w:proofErr w:type="gramStart"/>
      <w:r w:rsidRPr="008B1988">
        <w:rPr>
          <w:rFonts w:ascii="Times New Roman" w:eastAsia="Times New Roman" w:hAnsi="Times New Roman" w:cs="Times New Roman"/>
          <w:color w:val="000000"/>
          <w:sz w:val="20"/>
          <w:szCs w:val="20"/>
        </w:rPr>
        <w:t>et</w:t>
      </w:r>
      <w:proofErr w:type="gramEnd"/>
      <w:r w:rsidRPr="008B1988">
        <w:rPr>
          <w:rFonts w:ascii="Times New Roman" w:eastAsia="Times New Roman" w:hAnsi="Times New Roman" w:cs="Times New Roman"/>
          <w:color w:val="000000"/>
          <w:sz w:val="20"/>
          <w:szCs w:val="20"/>
        </w:rPr>
        <w:t xml:space="preserve"> al</w:t>
      </w:r>
      <w:r w:rsidRPr="008B1988">
        <w:rPr>
          <w:rFonts w:ascii="Times New Roman" w:eastAsia="Times New Roman" w:hAnsi="Times New Roman" w:cs="Times New Roman"/>
          <w:color w:val="000000"/>
          <w:sz w:val="20"/>
          <w:szCs w:val="20"/>
          <w:vertAlign w:val="superscript"/>
        </w:rPr>
        <w:t>7</w:t>
      </w:r>
      <w:r w:rsidRPr="008B1988">
        <w:rPr>
          <w:rFonts w:ascii="Times New Roman" w:eastAsia="Times New Roman" w:hAnsi="Times New Roman" w:cs="Times New Roman"/>
          <w:color w:val="000000"/>
          <w:sz w:val="20"/>
          <w:szCs w:val="20"/>
        </w:rPr>
        <w:t xml:space="preserve"> (8%), </w:t>
      </w:r>
      <w:proofErr w:type="spellStart"/>
      <w:r w:rsidRPr="008B1988">
        <w:rPr>
          <w:rFonts w:ascii="Times New Roman" w:eastAsia="Times New Roman" w:hAnsi="Times New Roman" w:cs="Times New Roman"/>
          <w:color w:val="000000"/>
          <w:sz w:val="20"/>
          <w:szCs w:val="20"/>
        </w:rPr>
        <w:t>Bhat</w:t>
      </w:r>
      <w:proofErr w:type="spellEnd"/>
      <w:r w:rsidRPr="008B1988">
        <w:rPr>
          <w:rFonts w:ascii="Times New Roman" w:eastAsia="Times New Roman" w:hAnsi="Times New Roman" w:cs="Times New Roman"/>
          <w:color w:val="000000"/>
          <w:sz w:val="20"/>
          <w:szCs w:val="20"/>
        </w:rPr>
        <w:t xml:space="preserve"> et al</w:t>
      </w:r>
      <w:r w:rsidRPr="008B1988">
        <w:rPr>
          <w:rFonts w:ascii="Times New Roman" w:eastAsia="Times New Roman" w:hAnsi="Times New Roman" w:cs="Times New Roman"/>
          <w:color w:val="000000"/>
          <w:sz w:val="20"/>
          <w:szCs w:val="20"/>
          <w:vertAlign w:val="superscript"/>
        </w:rPr>
        <w:t>5</w:t>
      </w:r>
      <w:r w:rsidRPr="008B1988">
        <w:rPr>
          <w:rFonts w:ascii="Times New Roman" w:eastAsia="Times New Roman" w:hAnsi="Times New Roman" w:cs="Times New Roman"/>
          <w:color w:val="000000"/>
          <w:sz w:val="20"/>
          <w:szCs w:val="20"/>
        </w:rPr>
        <w:t xml:space="preserve"> (6.5%) and </w:t>
      </w:r>
      <w:proofErr w:type="spellStart"/>
      <w:r w:rsidRPr="008B1988">
        <w:rPr>
          <w:rFonts w:ascii="Times New Roman" w:eastAsia="Times New Roman" w:hAnsi="Times New Roman" w:cs="Times New Roman"/>
          <w:color w:val="000000"/>
          <w:sz w:val="20"/>
          <w:szCs w:val="20"/>
        </w:rPr>
        <w:t>Maisoun</w:t>
      </w:r>
      <w:proofErr w:type="spellEnd"/>
      <w:r w:rsidRPr="008B1988">
        <w:rPr>
          <w:rFonts w:ascii="Times New Roman" w:eastAsia="Times New Roman" w:hAnsi="Times New Roman" w:cs="Times New Roman"/>
          <w:color w:val="000000"/>
          <w:sz w:val="20"/>
          <w:szCs w:val="20"/>
        </w:rPr>
        <w:t xml:space="preserve"> and Zakzouk</w:t>
      </w:r>
      <w:r w:rsidRPr="008B1988">
        <w:rPr>
          <w:rFonts w:ascii="Times New Roman" w:eastAsia="Times New Roman" w:hAnsi="Times New Roman" w:cs="Times New Roman"/>
          <w:color w:val="000000"/>
          <w:sz w:val="20"/>
          <w:szCs w:val="20"/>
          <w:vertAlign w:val="superscript"/>
        </w:rPr>
        <w:t>9</w:t>
      </w:r>
      <w:r w:rsidRPr="008B1988">
        <w:rPr>
          <w:rFonts w:ascii="Times New Roman" w:eastAsia="Times New Roman" w:hAnsi="Times New Roman" w:cs="Times New Roman"/>
          <w:color w:val="000000"/>
          <w:sz w:val="20"/>
          <w:szCs w:val="20"/>
        </w:rPr>
        <w:t xml:space="preserve"> (13.5%). Out of total 15 cases who failed in BERA examination, 9 (60%) had bilateral fail, 3 (20%) each had right and left fail. </w:t>
      </w:r>
      <w:proofErr w:type="spellStart"/>
      <w:r w:rsidRPr="008B1988">
        <w:rPr>
          <w:rFonts w:ascii="Times New Roman" w:eastAsia="Times New Roman" w:hAnsi="Times New Roman" w:cs="Times New Roman"/>
          <w:color w:val="000000"/>
          <w:sz w:val="20"/>
          <w:szCs w:val="20"/>
        </w:rPr>
        <w:t>Labaeka</w:t>
      </w:r>
      <w:proofErr w:type="spellEnd"/>
      <w:r w:rsidRPr="008B1988">
        <w:rPr>
          <w:rFonts w:ascii="Times New Roman" w:eastAsia="Times New Roman" w:hAnsi="Times New Roman" w:cs="Times New Roman"/>
          <w:color w:val="000000"/>
          <w:sz w:val="20"/>
          <w:szCs w:val="20"/>
        </w:rPr>
        <w:t xml:space="preserve"> </w:t>
      </w:r>
      <w:proofErr w:type="gramStart"/>
      <w:r w:rsidRPr="008B1988">
        <w:rPr>
          <w:rFonts w:ascii="Times New Roman" w:eastAsia="Times New Roman" w:hAnsi="Times New Roman" w:cs="Times New Roman"/>
          <w:color w:val="000000"/>
          <w:sz w:val="20"/>
          <w:szCs w:val="20"/>
        </w:rPr>
        <w:t>et</w:t>
      </w:r>
      <w:proofErr w:type="gramEnd"/>
      <w:r w:rsidRPr="008B1988">
        <w:rPr>
          <w:rFonts w:ascii="Times New Roman" w:eastAsia="Times New Roman" w:hAnsi="Times New Roman" w:cs="Times New Roman"/>
          <w:color w:val="000000"/>
          <w:sz w:val="20"/>
          <w:szCs w:val="20"/>
        </w:rPr>
        <w:t xml:space="preserve"> al</w:t>
      </w:r>
      <w:r w:rsidRPr="008B1988">
        <w:rPr>
          <w:rFonts w:ascii="Times New Roman" w:eastAsia="Times New Roman" w:hAnsi="Times New Roman" w:cs="Times New Roman"/>
          <w:color w:val="000000"/>
          <w:sz w:val="20"/>
          <w:szCs w:val="20"/>
          <w:vertAlign w:val="superscript"/>
        </w:rPr>
        <w:t>10</w:t>
      </w:r>
      <w:r w:rsidRPr="008B1988">
        <w:rPr>
          <w:rFonts w:ascii="Times New Roman" w:eastAsia="Times New Roman" w:hAnsi="Times New Roman" w:cs="Times New Roman"/>
          <w:color w:val="000000"/>
          <w:sz w:val="20"/>
          <w:szCs w:val="20"/>
        </w:rPr>
        <w:t xml:space="preserve"> study showed out of total 19 cases who failed in BERA examination, 18 (94.7%) had bilateral fail, 1 (5.3%) each had unilateral fail.</w:t>
      </w:r>
    </w:p>
    <w:p w:rsidR="007714BA" w:rsidRPr="008B1988" w:rsidRDefault="00CB6800" w:rsidP="008B1988">
      <w:pPr>
        <w:tabs>
          <w:tab w:val="left" w:pos="1680"/>
        </w:tabs>
        <w:spacing w:after="0" w:line="360" w:lineRule="auto"/>
        <w:jc w:val="both"/>
        <w:rPr>
          <w:rFonts w:ascii="Times New Roman" w:eastAsia="Times New Roman" w:hAnsi="Times New Roman" w:cs="Times New Roman"/>
          <w:color w:val="000000"/>
          <w:sz w:val="20"/>
          <w:szCs w:val="20"/>
        </w:rPr>
      </w:pPr>
      <w:r w:rsidRPr="008B1988">
        <w:rPr>
          <w:rFonts w:ascii="Times New Roman" w:eastAsia="Times New Roman" w:hAnsi="Times New Roman" w:cs="Times New Roman"/>
          <w:color w:val="000000"/>
          <w:sz w:val="20"/>
          <w:szCs w:val="20"/>
        </w:rPr>
        <w:t xml:space="preserve">In our study as the number of risk factors increases from 1 to 8, the </w:t>
      </w:r>
      <w:proofErr w:type="gramStart"/>
      <w:r w:rsidRPr="008B1988">
        <w:rPr>
          <w:rFonts w:ascii="Times New Roman" w:eastAsia="Times New Roman" w:hAnsi="Times New Roman" w:cs="Times New Roman"/>
          <w:color w:val="000000"/>
          <w:sz w:val="20"/>
          <w:szCs w:val="20"/>
        </w:rPr>
        <w:t>cases with failure to BERA i.e. hearing loss cases increases</w:t>
      </w:r>
      <w:proofErr w:type="gramEnd"/>
      <w:r w:rsidRPr="008B1988">
        <w:rPr>
          <w:rFonts w:ascii="Times New Roman" w:eastAsia="Times New Roman" w:hAnsi="Times New Roman" w:cs="Times New Roman"/>
          <w:color w:val="000000"/>
          <w:sz w:val="20"/>
          <w:szCs w:val="20"/>
        </w:rPr>
        <w:t xml:space="preserve">. </w:t>
      </w:r>
      <w:proofErr w:type="spellStart"/>
      <w:r w:rsidRPr="008B1988">
        <w:rPr>
          <w:rFonts w:ascii="Times New Roman" w:eastAsia="Times New Roman" w:hAnsi="Times New Roman" w:cs="Times New Roman"/>
          <w:color w:val="000000"/>
          <w:sz w:val="20"/>
          <w:szCs w:val="20"/>
        </w:rPr>
        <w:t>Bhat</w:t>
      </w:r>
      <w:proofErr w:type="spellEnd"/>
      <w:r w:rsidRPr="008B1988">
        <w:rPr>
          <w:rFonts w:ascii="Times New Roman" w:eastAsia="Times New Roman" w:hAnsi="Times New Roman" w:cs="Times New Roman"/>
          <w:color w:val="000000"/>
          <w:sz w:val="20"/>
          <w:szCs w:val="20"/>
        </w:rPr>
        <w:t xml:space="preserve"> et al</w:t>
      </w:r>
      <w:r w:rsidRPr="008B1988">
        <w:rPr>
          <w:rFonts w:ascii="Times New Roman" w:eastAsia="Times New Roman" w:hAnsi="Times New Roman" w:cs="Times New Roman"/>
          <w:color w:val="000000"/>
          <w:sz w:val="20"/>
          <w:szCs w:val="20"/>
          <w:vertAlign w:val="superscript"/>
        </w:rPr>
        <w:t>5</w:t>
      </w:r>
      <w:r w:rsidRPr="008B1988">
        <w:rPr>
          <w:rFonts w:ascii="Times New Roman" w:eastAsia="Times New Roman" w:hAnsi="Times New Roman" w:cs="Times New Roman"/>
          <w:color w:val="000000"/>
          <w:sz w:val="20"/>
          <w:szCs w:val="20"/>
        </w:rPr>
        <w:t xml:space="preserve"> also showed similar results </w:t>
      </w:r>
      <w:proofErr w:type="spellStart"/>
      <w:r w:rsidRPr="008B1988">
        <w:rPr>
          <w:rFonts w:ascii="Times New Roman" w:eastAsia="Times New Roman" w:hAnsi="Times New Roman" w:cs="Times New Roman"/>
          <w:color w:val="000000"/>
          <w:sz w:val="20"/>
          <w:szCs w:val="20"/>
        </w:rPr>
        <w:t>i.e.hearing</w:t>
      </w:r>
      <w:proofErr w:type="spellEnd"/>
      <w:r w:rsidRPr="008B1988">
        <w:rPr>
          <w:rFonts w:ascii="Times New Roman" w:eastAsia="Times New Roman" w:hAnsi="Times New Roman" w:cs="Times New Roman"/>
          <w:color w:val="000000"/>
          <w:sz w:val="20"/>
          <w:szCs w:val="20"/>
        </w:rPr>
        <w:t xml:space="preserve"> impairment increased from 0.917% for one risk factor, 6.66% for two risk factors, 10.52% with three risk factors, 28.57% with four risk factors, and 25% with five risk factors. </w:t>
      </w:r>
      <w:proofErr w:type="spellStart"/>
      <w:r w:rsidRPr="008B1988">
        <w:rPr>
          <w:rFonts w:ascii="Times New Roman" w:eastAsia="Times New Roman" w:hAnsi="Times New Roman" w:cs="Times New Roman"/>
          <w:color w:val="000000"/>
          <w:sz w:val="20"/>
          <w:szCs w:val="20"/>
        </w:rPr>
        <w:t>Maqbool</w:t>
      </w:r>
      <w:proofErr w:type="spellEnd"/>
      <w:r w:rsidRPr="008B1988">
        <w:rPr>
          <w:rFonts w:ascii="Times New Roman" w:eastAsia="Times New Roman" w:hAnsi="Times New Roman" w:cs="Times New Roman"/>
          <w:color w:val="000000"/>
          <w:sz w:val="20"/>
          <w:szCs w:val="20"/>
        </w:rPr>
        <w:t xml:space="preserve"> et al</w:t>
      </w:r>
      <w:r w:rsidRPr="008B1988">
        <w:rPr>
          <w:rFonts w:ascii="Times New Roman" w:eastAsia="Times New Roman" w:hAnsi="Times New Roman" w:cs="Times New Roman"/>
          <w:color w:val="000000"/>
          <w:sz w:val="20"/>
          <w:szCs w:val="20"/>
          <w:vertAlign w:val="superscript"/>
        </w:rPr>
        <w:t>6</w:t>
      </w:r>
      <w:r w:rsidRPr="008B1988">
        <w:rPr>
          <w:rFonts w:ascii="Times New Roman" w:eastAsia="Times New Roman" w:hAnsi="Times New Roman" w:cs="Times New Roman"/>
          <w:color w:val="000000"/>
          <w:sz w:val="20"/>
          <w:szCs w:val="20"/>
        </w:rPr>
        <w:t xml:space="preserve"> study showed Infants with single, two and three risk factors had BAER abnormality rate of 4.28%, 22.2% and 33.3% respectively. </w:t>
      </w:r>
      <w:proofErr w:type="spellStart"/>
      <w:r w:rsidRPr="008B1988">
        <w:rPr>
          <w:rFonts w:ascii="Times New Roman" w:eastAsia="Times New Roman" w:hAnsi="Times New Roman" w:cs="Times New Roman"/>
          <w:color w:val="000000"/>
          <w:sz w:val="20"/>
          <w:szCs w:val="20"/>
        </w:rPr>
        <w:t>Srisuparp</w:t>
      </w:r>
      <w:proofErr w:type="spellEnd"/>
      <w:r w:rsidRPr="008B1988">
        <w:rPr>
          <w:rFonts w:ascii="Times New Roman" w:eastAsia="Times New Roman" w:hAnsi="Times New Roman" w:cs="Times New Roman"/>
          <w:color w:val="000000"/>
          <w:sz w:val="20"/>
          <w:szCs w:val="20"/>
        </w:rPr>
        <w:t xml:space="preserve"> </w:t>
      </w:r>
      <w:proofErr w:type="gramStart"/>
      <w:r w:rsidRPr="008B1988">
        <w:rPr>
          <w:rFonts w:ascii="Times New Roman" w:eastAsia="Times New Roman" w:hAnsi="Times New Roman" w:cs="Times New Roman"/>
          <w:color w:val="000000"/>
          <w:sz w:val="20"/>
          <w:szCs w:val="20"/>
        </w:rPr>
        <w:t>et</w:t>
      </w:r>
      <w:proofErr w:type="gramEnd"/>
      <w:r w:rsidRPr="008B1988">
        <w:rPr>
          <w:rFonts w:ascii="Times New Roman" w:eastAsia="Times New Roman" w:hAnsi="Times New Roman" w:cs="Times New Roman"/>
          <w:color w:val="000000"/>
          <w:sz w:val="20"/>
          <w:szCs w:val="20"/>
        </w:rPr>
        <w:t xml:space="preserve"> al</w:t>
      </w:r>
      <w:r w:rsidRPr="008B1988">
        <w:rPr>
          <w:rFonts w:ascii="Times New Roman" w:eastAsia="Times New Roman" w:hAnsi="Times New Roman" w:cs="Times New Roman"/>
          <w:color w:val="000000"/>
          <w:sz w:val="20"/>
          <w:szCs w:val="20"/>
          <w:vertAlign w:val="superscript"/>
        </w:rPr>
        <w:t>11</w:t>
      </w:r>
      <w:r w:rsidRPr="008B1988">
        <w:rPr>
          <w:rFonts w:ascii="Times New Roman" w:eastAsia="Times New Roman" w:hAnsi="Times New Roman" w:cs="Times New Roman"/>
          <w:i/>
          <w:color w:val="000000"/>
          <w:sz w:val="20"/>
          <w:szCs w:val="20"/>
        </w:rPr>
        <w:t xml:space="preserve"> </w:t>
      </w:r>
      <w:r w:rsidRPr="008B1988">
        <w:rPr>
          <w:rFonts w:ascii="Times New Roman" w:eastAsia="Times New Roman" w:hAnsi="Times New Roman" w:cs="Times New Roman"/>
          <w:color w:val="000000"/>
          <w:sz w:val="20"/>
          <w:szCs w:val="20"/>
        </w:rPr>
        <w:t xml:space="preserve">and </w:t>
      </w:r>
      <w:proofErr w:type="spellStart"/>
      <w:r w:rsidRPr="008B1988">
        <w:rPr>
          <w:rFonts w:ascii="Times New Roman" w:eastAsia="Times New Roman" w:hAnsi="Times New Roman" w:cs="Times New Roman"/>
          <w:color w:val="000000"/>
          <w:sz w:val="20"/>
          <w:szCs w:val="20"/>
        </w:rPr>
        <w:t>Zamani</w:t>
      </w:r>
      <w:proofErr w:type="spellEnd"/>
      <w:r w:rsidRPr="008B1988">
        <w:rPr>
          <w:rFonts w:ascii="Times New Roman" w:eastAsia="Times New Roman" w:hAnsi="Times New Roman" w:cs="Times New Roman"/>
          <w:color w:val="000000"/>
          <w:sz w:val="20"/>
          <w:szCs w:val="20"/>
        </w:rPr>
        <w:t xml:space="preserve"> et al</w:t>
      </w:r>
      <w:r w:rsidRPr="008B1988">
        <w:rPr>
          <w:rFonts w:ascii="Times New Roman" w:eastAsia="Times New Roman" w:hAnsi="Times New Roman" w:cs="Times New Roman"/>
          <w:color w:val="000000"/>
          <w:sz w:val="20"/>
          <w:szCs w:val="20"/>
          <w:vertAlign w:val="superscript"/>
        </w:rPr>
        <w:t xml:space="preserve">7 </w:t>
      </w:r>
      <w:r w:rsidRPr="008B1988">
        <w:rPr>
          <w:rFonts w:ascii="Times New Roman" w:eastAsia="Times New Roman" w:hAnsi="Times New Roman" w:cs="Times New Roman"/>
          <w:color w:val="000000"/>
          <w:sz w:val="20"/>
          <w:szCs w:val="20"/>
        </w:rPr>
        <w:t>studies were also in accordance to our study.</w:t>
      </w:r>
    </w:p>
    <w:p w:rsidR="007714BA" w:rsidRPr="008B1988" w:rsidRDefault="008B1988" w:rsidP="008B1988">
      <w:pPr>
        <w:tabs>
          <w:tab w:val="left" w:pos="1680"/>
        </w:tabs>
        <w:spacing w:after="0" w:line="360" w:lineRule="auto"/>
        <w:jc w:val="both"/>
        <w:rPr>
          <w:rFonts w:ascii="Times New Roman" w:eastAsia="Times New Roman" w:hAnsi="Times New Roman" w:cs="Times New Roman"/>
          <w:b/>
          <w:color w:val="000000"/>
          <w:sz w:val="20"/>
          <w:szCs w:val="20"/>
        </w:rPr>
      </w:pPr>
      <w:r w:rsidRPr="008B1988">
        <w:rPr>
          <w:rFonts w:ascii="Times New Roman" w:eastAsia="Times New Roman" w:hAnsi="Times New Roman" w:cs="Times New Roman"/>
          <w:b/>
          <w:color w:val="000000"/>
          <w:sz w:val="20"/>
          <w:szCs w:val="20"/>
        </w:rPr>
        <w:t>CONCLUSION</w:t>
      </w:r>
      <w:r>
        <w:rPr>
          <w:rFonts w:ascii="Times New Roman" w:eastAsia="Times New Roman" w:hAnsi="Times New Roman" w:cs="Times New Roman"/>
          <w:b/>
          <w:color w:val="000000"/>
          <w:sz w:val="20"/>
          <w:szCs w:val="20"/>
        </w:rPr>
        <w:t xml:space="preserve">: </w:t>
      </w:r>
    </w:p>
    <w:p w:rsidR="007714BA" w:rsidRPr="008B1988" w:rsidRDefault="00CB6800" w:rsidP="008B1988">
      <w:pPr>
        <w:spacing w:after="0" w:line="360" w:lineRule="auto"/>
        <w:jc w:val="both"/>
        <w:rPr>
          <w:rFonts w:ascii="Times New Roman" w:eastAsia="Times New Roman" w:hAnsi="Times New Roman" w:cs="Times New Roman"/>
          <w:sz w:val="20"/>
          <w:szCs w:val="20"/>
        </w:rPr>
      </w:pPr>
      <w:r w:rsidRPr="008B1988">
        <w:rPr>
          <w:rFonts w:ascii="Times New Roman" w:eastAsia="Times New Roman" w:hAnsi="Times New Roman" w:cs="Times New Roman"/>
          <w:sz w:val="20"/>
          <w:szCs w:val="20"/>
        </w:rPr>
        <w:t>This study shows that early identification of hearing loss can be done by screening tests. Early diagnosis and treatment can prevent a significant hearing loss.</w:t>
      </w:r>
    </w:p>
    <w:p w:rsidR="007714BA" w:rsidRPr="008B1988" w:rsidRDefault="00CB6800" w:rsidP="008B1988">
      <w:pPr>
        <w:tabs>
          <w:tab w:val="left" w:pos="1680"/>
        </w:tabs>
        <w:spacing w:after="0" w:line="360" w:lineRule="auto"/>
        <w:jc w:val="both"/>
        <w:rPr>
          <w:rFonts w:ascii="Times New Roman" w:eastAsia="Times New Roman" w:hAnsi="Times New Roman" w:cs="Times New Roman"/>
          <w:b/>
          <w:color w:val="000000"/>
          <w:sz w:val="20"/>
          <w:szCs w:val="20"/>
        </w:rPr>
      </w:pPr>
      <w:r w:rsidRPr="008B1988">
        <w:rPr>
          <w:rFonts w:ascii="Times New Roman" w:eastAsia="Times New Roman" w:hAnsi="Times New Roman" w:cs="Times New Roman"/>
          <w:b/>
          <w:color w:val="000000"/>
          <w:sz w:val="20"/>
          <w:szCs w:val="20"/>
        </w:rPr>
        <w:t>BIBILOGRAPHY</w:t>
      </w:r>
      <w:r w:rsidR="008B1988">
        <w:rPr>
          <w:rFonts w:ascii="Times New Roman" w:eastAsia="Times New Roman" w:hAnsi="Times New Roman" w:cs="Times New Roman"/>
          <w:b/>
          <w:color w:val="000000"/>
          <w:sz w:val="20"/>
          <w:szCs w:val="20"/>
        </w:rPr>
        <w:t>:</w:t>
      </w:r>
    </w:p>
    <w:p w:rsidR="007714BA" w:rsidRPr="008B1988" w:rsidRDefault="00CB6800" w:rsidP="008B198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rPr>
      </w:pPr>
      <w:proofErr w:type="spellStart"/>
      <w:r w:rsidRPr="008B1988">
        <w:rPr>
          <w:rFonts w:ascii="Times New Roman" w:eastAsia="Times New Roman" w:hAnsi="Times New Roman" w:cs="Times New Roman"/>
          <w:color w:val="000000"/>
          <w:sz w:val="18"/>
          <w:szCs w:val="18"/>
        </w:rPr>
        <w:t>Mencher</w:t>
      </w:r>
      <w:proofErr w:type="spellEnd"/>
      <w:r w:rsidRPr="008B1988">
        <w:rPr>
          <w:rFonts w:ascii="Times New Roman" w:eastAsia="Times New Roman" w:hAnsi="Times New Roman" w:cs="Times New Roman"/>
          <w:color w:val="000000"/>
          <w:sz w:val="18"/>
          <w:szCs w:val="18"/>
        </w:rPr>
        <w:t xml:space="preserve"> GT, Davis AC, De </w:t>
      </w:r>
      <w:proofErr w:type="spellStart"/>
      <w:r w:rsidRPr="008B1988">
        <w:rPr>
          <w:rFonts w:ascii="Times New Roman" w:eastAsia="Times New Roman" w:hAnsi="Times New Roman" w:cs="Times New Roman"/>
          <w:color w:val="000000"/>
          <w:sz w:val="18"/>
          <w:szCs w:val="18"/>
        </w:rPr>
        <w:t>Voe</w:t>
      </w:r>
      <w:proofErr w:type="spellEnd"/>
      <w:r w:rsidRPr="008B1988">
        <w:rPr>
          <w:rFonts w:ascii="Times New Roman" w:eastAsia="Times New Roman" w:hAnsi="Times New Roman" w:cs="Times New Roman"/>
          <w:color w:val="000000"/>
          <w:sz w:val="18"/>
          <w:szCs w:val="18"/>
        </w:rPr>
        <w:t xml:space="preserve"> SJ, </w:t>
      </w:r>
      <w:proofErr w:type="spellStart"/>
      <w:r w:rsidRPr="008B1988">
        <w:rPr>
          <w:rFonts w:ascii="Times New Roman" w:eastAsia="Times New Roman" w:hAnsi="Times New Roman" w:cs="Times New Roman"/>
          <w:color w:val="000000"/>
          <w:sz w:val="18"/>
          <w:szCs w:val="18"/>
        </w:rPr>
        <w:t>Bresfor</w:t>
      </w:r>
      <w:proofErr w:type="spellEnd"/>
      <w:r w:rsidRPr="008B1988">
        <w:rPr>
          <w:rFonts w:ascii="Times New Roman" w:eastAsia="Times New Roman" w:hAnsi="Times New Roman" w:cs="Times New Roman"/>
          <w:color w:val="000000"/>
          <w:sz w:val="18"/>
          <w:szCs w:val="18"/>
        </w:rPr>
        <w:t xml:space="preserve"> D, </w:t>
      </w:r>
      <w:proofErr w:type="spellStart"/>
      <w:r w:rsidRPr="008B1988">
        <w:rPr>
          <w:rFonts w:ascii="Times New Roman" w:eastAsia="Times New Roman" w:hAnsi="Times New Roman" w:cs="Times New Roman"/>
          <w:color w:val="000000"/>
          <w:sz w:val="18"/>
          <w:szCs w:val="18"/>
        </w:rPr>
        <w:t>Bamford</w:t>
      </w:r>
      <w:proofErr w:type="spellEnd"/>
      <w:r w:rsidRPr="008B1988">
        <w:rPr>
          <w:rFonts w:ascii="Times New Roman" w:eastAsia="Times New Roman" w:hAnsi="Times New Roman" w:cs="Times New Roman"/>
          <w:color w:val="000000"/>
          <w:sz w:val="18"/>
          <w:szCs w:val="18"/>
        </w:rPr>
        <w:t xml:space="preserve"> JM. Universal neonatal hearing screening: Past present and future. Am J </w:t>
      </w:r>
      <w:proofErr w:type="spellStart"/>
      <w:r w:rsidRPr="008B1988">
        <w:rPr>
          <w:rFonts w:ascii="Times New Roman" w:eastAsia="Times New Roman" w:hAnsi="Times New Roman" w:cs="Times New Roman"/>
          <w:color w:val="000000"/>
          <w:sz w:val="18"/>
          <w:szCs w:val="18"/>
        </w:rPr>
        <w:t>Audiol</w:t>
      </w:r>
      <w:proofErr w:type="spellEnd"/>
      <w:r w:rsidRPr="008B1988">
        <w:rPr>
          <w:rFonts w:ascii="Times New Roman" w:eastAsia="Times New Roman" w:hAnsi="Times New Roman" w:cs="Times New Roman"/>
          <w:color w:val="000000"/>
          <w:sz w:val="18"/>
          <w:szCs w:val="18"/>
        </w:rPr>
        <w:t xml:space="preserve"> 2001</w:t>
      </w:r>
      <w:proofErr w:type="gramStart"/>
      <w:r w:rsidRPr="008B1988">
        <w:rPr>
          <w:rFonts w:ascii="Times New Roman" w:eastAsia="Times New Roman" w:hAnsi="Times New Roman" w:cs="Times New Roman"/>
          <w:color w:val="000000"/>
          <w:sz w:val="18"/>
          <w:szCs w:val="18"/>
        </w:rPr>
        <w:t>;10</w:t>
      </w:r>
      <w:proofErr w:type="gramEnd"/>
      <w:r w:rsidRPr="008B1988">
        <w:rPr>
          <w:rFonts w:ascii="Times New Roman" w:eastAsia="Times New Roman" w:hAnsi="Times New Roman" w:cs="Times New Roman"/>
          <w:color w:val="000000"/>
          <w:sz w:val="18"/>
          <w:szCs w:val="18"/>
        </w:rPr>
        <w:t>(1):3-12.</w:t>
      </w:r>
    </w:p>
    <w:p w:rsidR="007714BA" w:rsidRPr="008B1988" w:rsidRDefault="00CB6800" w:rsidP="008B198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rPr>
      </w:pPr>
      <w:r w:rsidRPr="008B1988">
        <w:rPr>
          <w:rFonts w:ascii="Times New Roman" w:eastAsia="Times New Roman" w:hAnsi="Times New Roman" w:cs="Times New Roman"/>
          <w:color w:val="000000"/>
          <w:sz w:val="18"/>
          <w:szCs w:val="18"/>
        </w:rPr>
        <w:t>Adams DA. The causes of deafness. Chapter 4 In: Scott Brown’s Otolaryngology- Volume 6, 6th Edition, Butterworth Heinemann International Editions</w:t>
      </w:r>
      <w:proofErr w:type="gramStart"/>
      <w:r w:rsidRPr="008B1988">
        <w:rPr>
          <w:rFonts w:ascii="Times New Roman" w:eastAsia="Times New Roman" w:hAnsi="Times New Roman" w:cs="Times New Roman"/>
          <w:color w:val="000000"/>
          <w:sz w:val="18"/>
          <w:szCs w:val="18"/>
        </w:rPr>
        <w:t>,1997</w:t>
      </w:r>
      <w:proofErr w:type="gramEnd"/>
      <w:r w:rsidRPr="008B1988">
        <w:rPr>
          <w:rFonts w:ascii="Times New Roman" w:eastAsia="Times New Roman" w:hAnsi="Times New Roman" w:cs="Times New Roman"/>
          <w:color w:val="000000"/>
          <w:sz w:val="18"/>
          <w:szCs w:val="18"/>
        </w:rPr>
        <w:t>; 1-19.</w:t>
      </w:r>
    </w:p>
    <w:p w:rsidR="007714BA" w:rsidRPr="008B1988" w:rsidRDefault="00CB6800" w:rsidP="008B198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rPr>
      </w:pPr>
      <w:proofErr w:type="spellStart"/>
      <w:r w:rsidRPr="008B1988">
        <w:rPr>
          <w:rFonts w:ascii="Times New Roman" w:eastAsia="Times New Roman" w:hAnsi="Times New Roman" w:cs="Times New Roman"/>
          <w:color w:val="000000"/>
          <w:sz w:val="18"/>
          <w:szCs w:val="18"/>
        </w:rPr>
        <w:t>Olusanya</w:t>
      </w:r>
      <w:proofErr w:type="spellEnd"/>
      <w:r w:rsidRPr="008B1988">
        <w:rPr>
          <w:rFonts w:ascii="Times New Roman" w:eastAsia="Times New Roman" w:hAnsi="Times New Roman" w:cs="Times New Roman"/>
          <w:color w:val="000000"/>
          <w:sz w:val="18"/>
          <w:szCs w:val="18"/>
        </w:rPr>
        <w:t xml:space="preserve"> BO, </w:t>
      </w:r>
      <w:proofErr w:type="spellStart"/>
      <w:r w:rsidRPr="008B1988">
        <w:rPr>
          <w:rFonts w:ascii="Times New Roman" w:eastAsia="Times New Roman" w:hAnsi="Times New Roman" w:cs="Times New Roman"/>
          <w:color w:val="000000"/>
          <w:sz w:val="18"/>
          <w:szCs w:val="18"/>
        </w:rPr>
        <w:t>Luxon</w:t>
      </w:r>
      <w:proofErr w:type="spellEnd"/>
      <w:r w:rsidRPr="008B1988">
        <w:rPr>
          <w:rFonts w:ascii="Times New Roman" w:eastAsia="Times New Roman" w:hAnsi="Times New Roman" w:cs="Times New Roman"/>
          <w:color w:val="000000"/>
          <w:sz w:val="18"/>
          <w:szCs w:val="18"/>
        </w:rPr>
        <w:t xml:space="preserve"> LM, </w:t>
      </w:r>
      <w:proofErr w:type="spellStart"/>
      <w:r w:rsidRPr="008B1988">
        <w:rPr>
          <w:rFonts w:ascii="Times New Roman" w:eastAsia="Times New Roman" w:hAnsi="Times New Roman" w:cs="Times New Roman"/>
          <w:color w:val="000000"/>
          <w:sz w:val="18"/>
          <w:szCs w:val="18"/>
        </w:rPr>
        <w:t>Wirz</w:t>
      </w:r>
      <w:proofErr w:type="spellEnd"/>
      <w:r w:rsidRPr="008B1988">
        <w:rPr>
          <w:rFonts w:ascii="Times New Roman" w:eastAsia="Times New Roman" w:hAnsi="Times New Roman" w:cs="Times New Roman"/>
          <w:color w:val="000000"/>
          <w:sz w:val="18"/>
          <w:szCs w:val="18"/>
        </w:rPr>
        <w:t xml:space="preserve"> SL. Benefits and challenges of </w:t>
      </w:r>
      <w:proofErr w:type="spellStart"/>
      <w:r w:rsidRPr="008B1988">
        <w:rPr>
          <w:rFonts w:ascii="Times New Roman" w:eastAsia="Times New Roman" w:hAnsi="Times New Roman" w:cs="Times New Roman"/>
          <w:color w:val="000000"/>
          <w:sz w:val="18"/>
          <w:szCs w:val="18"/>
        </w:rPr>
        <w:t>newborn</w:t>
      </w:r>
      <w:proofErr w:type="spellEnd"/>
      <w:r w:rsidRPr="008B1988">
        <w:rPr>
          <w:rFonts w:ascii="Times New Roman" w:eastAsia="Times New Roman" w:hAnsi="Times New Roman" w:cs="Times New Roman"/>
          <w:color w:val="000000"/>
          <w:sz w:val="18"/>
          <w:szCs w:val="18"/>
        </w:rPr>
        <w:t xml:space="preserve"> hearing screening for developing countries. </w:t>
      </w:r>
      <w:proofErr w:type="spellStart"/>
      <w:r w:rsidRPr="008B1988">
        <w:rPr>
          <w:rFonts w:ascii="Times New Roman" w:eastAsia="Times New Roman" w:hAnsi="Times New Roman" w:cs="Times New Roman"/>
          <w:color w:val="000000"/>
          <w:sz w:val="18"/>
          <w:szCs w:val="18"/>
        </w:rPr>
        <w:t>Int</w:t>
      </w:r>
      <w:proofErr w:type="spellEnd"/>
      <w:r w:rsidRPr="008B1988">
        <w:rPr>
          <w:rFonts w:ascii="Times New Roman" w:eastAsia="Times New Roman" w:hAnsi="Times New Roman" w:cs="Times New Roman"/>
          <w:color w:val="000000"/>
          <w:sz w:val="18"/>
          <w:szCs w:val="18"/>
        </w:rPr>
        <w:t xml:space="preserve"> J </w:t>
      </w:r>
      <w:proofErr w:type="spellStart"/>
      <w:r w:rsidRPr="008B1988">
        <w:rPr>
          <w:rFonts w:ascii="Times New Roman" w:eastAsia="Times New Roman" w:hAnsi="Times New Roman" w:cs="Times New Roman"/>
          <w:color w:val="000000"/>
          <w:sz w:val="18"/>
          <w:szCs w:val="18"/>
        </w:rPr>
        <w:t>Pediatr</w:t>
      </w:r>
      <w:proofErr w:type="spellEnd"/>
      <w:r w:rsidRPr="008B1988">
        <w:rPr>
          <w:rFonts w:ascii="Times New Roman" w:eastAsia="Times New Roman" w:hAnsi="Times New Roman" w:cs="Times New Roman"/>
          <w:color w:val="000000"/>
          <w:sz w:val="18"/>
          <w:szCs w:val="18"/>
        </w:rPr>
        <w:t xml:space="preserve"> </w:t>
      </w:r>
      <w:proofErr w:type="spellStart"/>
      <w:r w:rsidRPr="008B1988">
        <w:rPr>
          <w:rFonts w:ascii="Times New Roman" w:eastAsia="Times New Roman" w:hAnsi="Times New Roman" w:cs="Times New Roman"/>
          <w:color w:val="000000"/>
          <w:sz w:val="18"/>
          <w:szCs w:val="18"/>
        </w:rPr>
        <w:t>Otorhinolaryngol</w:t>
      </w:r>
      <w:proofErr w:type="spellEnd"/>
      <w:r w:rsidRPr="008B1988">
        <w:rPr>
          <w:rFonts w:ascii="Times New Roman" w:eastAsia="Times New Roman" w:hAnsi="Times New Roman" w:cs="Times New Roman"/>
          <w:color w:val="000000"/>
          <w:sz w:val="18"/>
          <w:szCs w:val="18"/>
        </w:rPr>
        <w:t>. 2004</w:t>
      </w:r>
      <w:proofErr w:type="gramStart"/>
      <w:r w:rsidRPr="008B1988">
        <w:rPr>
          <w:rFonts w:ascii="Times New Roman" w:eastAsia="Times New Roman" w:hAnsi="Times New Roman" w:cs="Times New Roman"/>
          <w:color w:val="000000"/>
          <w:sz w:val="18"/>
          <w:szCs w:val="18"/>
        </w:rPr>
        <w:t>;68</w:t>
      </w:r>
      <w:proofErr w:type="gramEnd"/>
      <w:r w:rsidRPr="008B1988">
        <w:rPr>
          <w:rFonts w:ascii="Times New Roman" w:eastAsia="Times New Roman" w:hAnsi="Times New Roman" w:cs="Times New Roman"/>
          <w:color w:val="000000"/>
          <w:sz w:val="18"/>
          <w:szCs w:val="18"/>
        </w:rPr>
        <w:t xml:space="preserve">(3):287-305. </w:t>
      </w:r>
    </w:p>
    <w:p w:rsidR="007714BA" w:rsidRPr="008B1988" w:rsidRDefault="00CB6800" w:rsidP="008B198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rPr>
      </w:pPr>
      <w:r w:rsidRPr="008B1988">
        <w:rPr>
          <w:rFonts w:ascii="Times New Roman" w:eastAsia="Times New Roman" w:hAnsi="Times New Roman" w:cs="Times New Roman"/>
          <w:color w:val="000000"/>
          <w:sz w:val="18"/>
          <w:szCs w:val="18"/>
        </w:rPr>
        <w:t xml:space="preserve">Kemp DT. Stimulated acoustic emissions from within the human auditory systems. J </w:t>
      </w:r>
      <w:proofErr w:type="spellStart"/>
      <w:r w:rsidRPr="008B1988">
        <w:rPr>
          <w:rFonts w:ascii="Times New Roman" w:eastAsia="Times New Roman" w:hAnsi="Times New Roman" w:cs="Times New Roman"/>
          <w:color w:val="000000"/>
          <w:sz w:val="18"/>
          <w:szCs w:val="18"/>
        </w:rPr>
        <w:t>Acoust</w:t>
      </w:r>
      <w:proofErr w:type="spellEnd"/>
      <w:r w:rsidRPr="008B1988">
        <w:rPr>
          <w:rFonts w:ascii="Times New Roman" w:eastAsia="Times New Roman" w:hAnsi="Times New Roman" w:cs="Times New Roman"/>
          <w:color w:val="000000"/>
          <w:sz w:val="18"/>
          <w:szCs w:val="18"/>
        </w:rPr>
        <w:t xml:space="preserve"> </w:t>
      </w:r>
      <w:proofErr w:type="spellStart"/>
      <w:r w:rsidRPr="008B1988">
        <w:rPr>
          <w:rFonts w:ascii="Times New Roman" w:eastAsia="Times New Roman" w:hAnsi="Times New Roman" w:cs="Times New Roman"/>
          <w:color w:val="000000"/>
          <w:sz w:val="18"/>
          <w:szCs w:val="18"/>
        </w:rPr>
        <w:t>Soc</w:t>
      </w:r>
      <w:proofErr w:type="spellEnd"/>
      <w:r w:rsidRPr="008B1988">
        <w:rPr>
          <w:rFonts w:ascii="Times New Roman" w:eastAsia="Times New Roman" w:hAnsi="Times New Roman" w:cs="Times New Roman"/>
          <w:color w:val="000000"/>
          <w:sz w:val="18"/>
          <w:szCs w:val="18"/>
        </w:rPr>
        <w:t xml:space="preserve"> Am. 1978</w:t>
      </w:r>
      <w:proofErr w:type="gramStart"/>
      <w:r w:rsidRPr="008B1988">
        <w:rPr>
          <w:rFonts w:ascii="Times New Roman" w:eastAsia="Times New Roman" w:hAnsi="Times New Roman" w:cs="Times New Roman"/>
          <w:color w:val="000000"/>
          <w:sz w:val="18"/>
          <w:szCs w:val="18"/>
        </w:rPr>
        <w:t>;64</w:t>
      </w:r>
      <w:proofErr w:type="gramEnd"/>
      <w:r w:rsidRPr="008B1988">
        <w:rPr>
          <w:rFonts w:ascii="Times New Roman" w:eastAsia="Times New Roman" w:hAnsi="Times New Roman" w:cs="Times New Roman"/>
          <w:color w:val="000000"/>
          <w:sz w:val="18"/>
          <w:szCs w:val="18"/>
        </w:rPr>
        <w:t>(5):1386-91.</w:t>
      </w:r>
    </w:p>
    <w:p w:rsidR="007714BA" w:rsidRPr="008B1988" w:rsidRDefault="00CB6800" w:rsidP="008B198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rPr>
      </w:pPr>
      <w:proofErr w:type="spellStart"/>
      <w:r w:rsidRPr="008B1988">
        <w:rPr>
          <w:rFonts w:ascii="Times New Roman" w:eastAsia="Times New Roman" w:hAnsi="Times New Roman" w:cs="Times New Roman"/>
          <w:color w:val="000000"/>
          <w:sz w:val="18"/>
          <w:szCs w:val="18"/>
        </w:rPr>
        <w:t>Bhat</w:t>
      </w:r>
      <w:proofErr w:type="spellEnd"/>
      <w:r w:rsidRPr="008B1988">
        <w:rPr>
          <w:rFonts w:ascii="Times New Roman" w:eastAsia="Times New Roman" w:hAnsi="Times New Roman" w:cs="Times New Roman"/>
          <w:color w:val="000000"/>
          <w:sz w:val="18"/>
          <w:szCs w:val="18"/>
        </w:rPr>
        <w:t xml:space="preserve"> JA, </w:t>
      </w:r>
      <w:proofErr w:type="spellStart"/>
      <w:r w:rsidRPr="008B1988">
        <w:rPr>
          <w:rFonts w:ascii="Times New Roman" w:eastAsia="Times New Roman" w:hAnsi="Times New Roman" w:cs="Times New Roman"/>
          <w:color w:val="000000"/>
          <w:sz w:val="18"/>
          <w:szCs w:val="18"/>
        </w:rPr>
        <w:t>Kurmi</w:t>
      </w:r>
      <w:proofErr w:type="spellEnd"/>
      <w:r w:rsidRPr="008B1988">
        <w:rPr>
          <w:rFonts w:ascii="Times New Roman" w:eastAsia="Times New Roman" w:hAnsi="Times New Roman" w:cs="Times New Roman"/>
          <w:color w:val="000000"/>
          <w:sz w:val="18"/>
          <w:szCs w:val="18"/>
        </w:rPr>
        <w:t xml:space="preserve"> R, Kumar S, </w:t>
      </w:r>
      <w:proofErr w:type="spellStart"/>
      <w:r w:rsidRPr="008B1988">
        <w:rPr>
          <w:rFonts w:ascii="Times New Roman" w:eastAsia="Times New Roman" w:hAnsi="Times New Roman" w:cs="Times New Roman"/>
          <w:color w:val="000000"/>
          <w:sz w:val="18"/>
          <w:szCs w:val="18"/>
        </w:rPr>
        <w:t>Ara</w:t>
      </w:r>
      <w:proofErr w:type="spellEnd"/>
      <w:r w:rsidRPr="008B1988">
        <w:rPr>
          <w:rFonts w:ascii="Times New Roman" w:eastAsia="Times New Roman" w:hAnsi="Times New Roman" w:cs="Times New Roman"/>
          <w:color w:val="000000"/>
          <w:sz w:val="18"/>
          <w:szCs w:val="18"/>
        </w:rPr>
        <w:t xml:space="preserve"> R, Mittal AK. Targeted screening for hearing impairment in neonates: A prospective observational study. </w:t>
      </w:r>
      <w:proofErr w:type="spellStart"/>
      <w:r w:rsidRPr="008B1988">
        <w:rPr>
          <w:rFonts w:ascii="Times New Roman" w:eastAsia="Times New Roman" w:hAnsi="Times New Roman" w:cs="Times New Roman"/>
          <w:color w:val="000000"/>
          <w:sz w:val="18"/>
          <w:szCs w:val="18"/>
        </w:rPr>
        <w:t>Ind</w:t>
      </w:r>
      <w:proofErr w:type="spellEnd"/>
      <w:r w:rsidRPr="008B1988">
        <w:rPr>
          <w:rFonts w:ascii="Times New Roman" w:eastAsia="Times New Roman" w:hAnsi="Times New Roman" w:cs="Times New Roman"/>
          <w:color w:val="000000"/>
          <w:sz w:val="18"/>
          <w:szCs w:val="18"/>
        </w:rPr>
        <w:t xml:space="preserve"> J Otology 2018; 24:42-6.</w:t>
      </w:r>
    </w:p>
    <w:p w:rsidR="007714BA" w:rsidRPr="008B1988" w:rsidRDefault="00CB6800" w:rsidP="008B198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rPr>
      </w:pPr>
      <w:proofErr w:type="spellStart"/>
      <w:r w:rsidRPr="008B1988">
        <w:rPr>
          <w:rFonts w:ascii="Times New Roman" w:eastAsia="Times New Roman" w:hAnsi="Times New Roman" w:cs="Times New Roman"/>
          <w:color w:val="000000"/>
          <w:sz w:val="18"/>
          <w:szCs w:val="18"/>
        </w:rPr>
        <w:t>Tobe</w:t>
      </w:r>
      <w:proofErr w:type="spellEnd"/>
      <w:r w:rsidRPr="008B1988">
        <w:rPr>
          <w:rFonts w:ascii="Times New Roman" w:eastAsia="Times New Roman" w:hAnsi="Times New Roman" w:cs="Times New Roman"/>
          <w:color w:val="000000"/>
          <w:sz w:val="18"/>
          <w:szCs w:val="18"/>
        </w:rPr>
        <w:t xml:space="preserve"> RG, Mori R, Huang L, </w:t>
      </w:r>
      <w:proofErr w:type="spellStart"/>
      <w:r w:rsidRPr="008B1988">
        <w:rPr>
          <w:rFonts w:ascii="Times New Roman" w:eastAsia="Times New Roman" w:hAnsi="Times New Roman" w:cs="Times New Roman"/>
          <w:color w:val="000000"/>
          <w:sz w:val="18"/>
          <w:szCs w:val="18"/>
        </w:rPr>
        <w:t>Xu</w:t>
      </w:r>
      <w:proofErr w:type="spellEnd"/>
      <w:r w:rsidRPr="008B1988">
        <w:rPr>
          <w:rFonts w:ascii="Times New Roman" w:eastAsia="Times New Roman" w:hAnsi="Times New Roman" w:cs="Times New Roman"/>
          <w:color w:val="000000"/>
          <w:sz w:val="18"/>
          <w:szCs w:val="18"/>
        </w:rPr>
        <w:t xml:space="preserve"> L, Han D, Shibuya K. Cost-effectiveness analysis of a national neonatal hearing screening program in China: conditions for the scale-up. </w:t>
      </w:r>
      <w:proofErr w:type="spellStart"/>
      <w:r w:rsidRPr="008B1988">
        <w:rPr>
          <w:rFonts w:ascii="Times New Roman" w:eastAsia="Times New Roman" w:hAnsi="Times New Roman" w:cs="Times New Roman"/>
          <w:color w:val="000000"/>
          <w:sz w:val="18"/>
          <w:szCs w:val="18"/>
        </w:rPr>
        <w:t>PLoS</w:t>
      </w:r>
      <w:proofErr w:type="spellEnd"/>
      <w:r w:rsidRPr="008B1988">
        <w:rPr>
          <w:rFonts w:ascii="Times New Roman" w:eastAsia="Times New Roman" w:hAnsi="Times New Roman" w:cs="Times New Roman"/>
          <w:color w:val="000000"/>
          <w:sz w:val="18"/>
          <w:szCs w:val="18"/>
        </w:rPr>
        <w:t xml:space="preserve"> One. 2013</w:t>
      </w:r>
      <w:proofErr w:type="gramStart"/>
      <w:r w:rsidRPr="008B1988">
        <w:rPr>
          <w:rFonts w:ascii="Times New Roman" w:eastAsia="Times New Roman" w:hAnsi="Times New Roman" w:cs="Times New Roman"/>
          <w:color w:val="000000"/>
          <w:sz w:val="18"/>
          <w:szCs w:val="18"/>
        </w:rPr>
        <w:t>;8</w:t>
      </w:r>
      <w:proofErr w:type="gramEnd"/>
      <w:r w:rsidRPr="008B1988">
        <w:rPr>
          <w:rFonts w:ascii="Times New Roman" w:eastAsia="Times New Roman" w:hAnsi="Times New Roman" w:cs="Times New Roman"/>
          <w:color w:val="000000"/>
          <w:sz w:val="18"/>
          <w:szCs w:val="18"/>
        </w:rPr>
        <w:t xml:space="preserve">(1), e51990. </w:t>
      </w:r>
    </w:p>
    <w:p w:rsidR="007714BA" w:rsidRPr="008B1988" w:rsidRDefault="00CB6800" w:rsidP="008B198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rPr>
      </w:pPr>
      <w:proofErr w:type="spellStart"/>
      <w:r w:rsidRPr="008B1988">
        <w:rPr>
          <w:rFonts w:ascii="Times New Roman" w:eastAsia="Times New Roman" w:hAnsi="Times New Roman" w:cs="Times New Roman"/>
          <w:color w:val="000000"/>
          <w:sz w:val="18"/>
          <w:szCs w:val="18"/>
        </w:rPr>
        <w:t>Zamani</w:t>
      </w:r>
      <w:proofErr w:type="spellEnd"/>
      <w:r w:rsidRPr="008B1988">
        <w:rPr>
          <w:rFonts w:ascii="Times New Roman" w:eastAsia="Times New Roman" w:hAnsi="Times New Roman" w:cs="Times New Roman"/>
          <w:color w:val="000000"/>
          <w:sz w:val="18"/>
          <w:szCs w:val="18"/>
        </w:rPr>
        <w:t xml:space="preserve"> A, </w:t>
      </w:r>
      <w:proofErr w:type="spellStart"/>
      <w:r w:rsidRPr="008B1988">
        <w:rPr>
          <w:rFonts w:ascii="Times New Roman" w:eastAsia="Times New Roman" w:hAnsi="Times New Roman" w:cs="Times New Roman"/>
          <w:color w:val="000000"/>
          <w:sz w:val="18"/>
          <w:szCs w:val="18"/>
        </w:rPr>
        <w:t>Daneshjou</w:t>
      </w:r>
      <w:proofErr w:type="spellEnd"/>
      <w:r w:rsidRPr="008B1988">
        <w:rPr>
          <w:rFonts w:ascii="Times New Roman" w:eastAsia="Times New Roman" w:hAnsi="Times New Roman" w:cs="Times New Roman"/>
          <w:color w:val="000000"/>
          <w:sz w:val="18"/>
          <w:szCs w:val="18"/>
        </w:rPr>
        <w:t xml:space="preserve"> K, </w:t>
      </w:r>
      <w:proofErr w:type="spellStart"/>
      <w:r w:rsidRPr="008B1988">
        <w:rPr>
          <w:rFonts w:ascii="Times New Roman" w:eastAsia="Times New Roman" w:hAnsi="Times New Roman" w:cs="Times New Roman"/>
          <w:color w:val="000000"/>
          <w:sz w:val="18"/>
          <w:szCs w:val="18"/>
        </w:rPr>
        <w:t>Aeni</w:t>
      </w:r>
      <w:proofErr w:type="spellEnd"/>
      <w:r w:rsidRPr="008B1988">
        <w:rPr>
          <w:rFonts w:ascii="Times New Roman" w:eastAsia="Times New Roman" w:hAnsi="Times New Roman" w:cs="Times New Roman"/>
          <w:color w:val="000000"/>
          <w:sz w:val="18"/>
          <w:szCs w:val="18"/>
        </w:rPr>
        <w:t xml:space="preserve"> A, </w:t>
      </w:r>
      <w:proofErr w:type="spellStart"/>
      <w:r w:rsidRPr="008B1988">
        <w:rPr>
          <w:rFonts w:ascii="Times New Roman" w:eastAsia="Times New Roman" w:hAnsi="Times New Roman" w:cs="Times New Roman"/>
          <w:color w:val="000000"/>
          <w:sz w:val="18"/>
          <w:szCs w:val="18"/>
        </w:rPr>
        <w:t>Takand</w:t>
      </w:r>
      <w:proofErr w:type="spellEnd"/>
      <w:r w:rsidRPr="008B1988">
        <w:rPr>
          <w:rFonts w:ascii="Times New Roman" w:eastAsia="Times New Roman" w:hAnsi="Times New Roman" w:cs="Times New Roman"/>
          <w:color w:val="000000"/>
          <w:sz w:val="18"/>
          <w:szCs w:val="18"/>
        </w:rPr>
        <w:t xml:space="preserve"> J. Estimating </w:t>
      </w:r>
      <w:proofErr w:type="spellStart"/>
      <w:r w:rsidRPr="008B1988">
        <w:rPr>
          <w:rFonts w:ascii="Times New Roman" w:eastAsia="Times New Roman" w:hAnsi="Times New Roman" w:cs="Times New Roman"/>
          <w:color w:val="000000"/>
          <w:sz w:val="18"/>
          <w:szCs w:val="18"/>
        </w:rPr>
        <w:t>theincidence</w:t>
      </w:r>
      <w:proofErr w:type="spellEnd"/>
      <w:r w:rsidRPr="008B1988">
        <w:rPr>
          <w:rFonts w:ascii="Times New Roman" w:eastAsia="Times New Roman" w:hAnsi="Times New Roman" w:cs="Times New Roman"/>
          <w:color w:val="000000"/>
          <w:sz w:val="18"/>
          <w:szCs w:val="18"/>
        </w:rPr>
        <w:t xml:space="preserve"> of neonatal hearing loss in high risk neonates. </w:t>
      </w:r>
      <w:proofErr w:type="spellStart"/>
      <w:r w:rsidRPr="008B1988">
        <w:rPr>
          <w:rFonts w:ascii="Times New Roman" w:eastAsia="Times New Roman" w:hAnsi="Times New Roman" w:cs="Times New Roman"/>
          <w:color w:val="000000"/>
          <w:sz w:val="18"/>
          <w:szCs w:val="18"/>
        </w:rPr>
        <w:t>Acta</w:t>
      </w:r>
      <w:proofErr w:type="spellEnd"/>
      <w:r w:rsidRPr="008B1988">
        <w:rPr>
          <w:rFonts w:ascii="Times New Roman" w:eastAsia="Times New Roman" w:hAnsi="Times New Roman" w:cs="Times New Roman"/>
          <w:color w:val="000000"/>
          <w:sz w:val="18"/>
          <w:szCs w:val="18"/>
        </w:rPr>
        <w:t xml:space="preserve"> </w:t>
      </w:r>
      <w:proofErr w:type="spellStart"/>
      <w:r w:rsidRPr="008B1988">
        <w:rPr>
          <w:rFonts w:ascii="Times New Roman" w:eastAsia="Times New Roman" w:hAnsi="Times New Roman" w:cs="Times New Roman"/>
          <w:color w:val="000000"/>
          <w:sz w:val="18"/>
          <w:szCs w:val="18"/>
        </w:rPr>
        <w:t>Medica</w:t>
      </w:r>
      <w:proofErr w:type="spellEnd"/>
      <w:r w:rsidRPr="008B1988">
        <w:rPr>
          <w:rFonts w:ascii="Times New Roman" w:eastAsia="Times New Roman" w:hAnsi="Times New Roman" w:cs="Times New Roman"/>
          <w:color w:val="000000"/>
          <w:sz w:val="18"/>
          <w:szCs w:val="18"/>
        </w:rPr>
        <w:t xml:space="preserve"> </w:t>
      </w:r>
      <w:proofErr w:type="spellStart"/>
      <w:r w:rsidRPr="008B1988">
        <w:rPr>
          <w:rFonts w:ascii="Times New Roman" w:eastAsia="Times New Roman" w:hAnsi="Times New Roman" w:cs="Times New Roman"/>
          <w:color w:val="000000"/>
          <w:sz w:val="18"/>
          <w:szCs w:val="18"/>
        </w:rPr>
        <w:t>Iranica</w:t>
      </w:r>
      <w:proofErr w:type="spellEnd"/>
      <w:r w:rsidRPr="008B1988">
        <w:rPr>
          <w:rFonts w:ascii="Times New Roman" w:eastAsia="Times New Roman" w:hAnsi="Times New Roman" w:cs="Times New Roman"/>
          <w:color w:val="000000"/>
          <w:sz w:val="18"/>
          <w:szCs w:val="18"/>
        </w:rPr>
        <w:t xml:space="preserve"> 2004; 42(3):1-5.</w:t>
      </w:r>
    </w:p>
    <w:p w:rsidR="007714BA" w:rsidRPr="008B1988" w:rsidRDefault="00CB6800" w:rsidP="008B198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rPr>
      </w:pPr>
      <w:r w:rsidRPr="008B1988">
        <w:rPr>
          <w:rFonts w:ascii="Times New Roman" w:eastAsia="Times New Roman" w:hAnsi="Times New Roman" w:cs="Times New Roman"/>
          <w:color w:val="000000"/>
          <w:sz w:val="18"/>
          <w:szCs w:val="18"/>
          <w:highlight w:val="white"/>
        </w:rPr>
        <w:t xml:space="preserve">Meyer C, Witte J, </w:t>
      </w:r>
      <w:proofErr w:type="spellStart"/>
      <w:r w:rsidRPr="008B1988">
        <w:rPr>
          <w:rFonts w:ascii="Times New Roman" w:eastAsia="Times New Roman" w:hAnsi="Times New Roman" w:cs="Times New Roman"/>
          <w:color w:val="000000"/>
          <w:sz w:val="18"/>
          <w:szCs w:val="18"/>
          <w:highlight w:val="white"/>
        </w:rPr>
        <w:t>Hildmann</w:t>
      </w:r>
      <w:proofErr w:type="spellEnd"/>
      <w:r w:rsidRPr="008B1988">
        <w:rPr>
          <w:rFonts w:ascii="Times New Roman" w:eastAsia="Times New Roman" w:hAnsi="Times New Roman" w:cs="Times New Roman"/>
          <w:color w:val="000000"/>
          <w:sz w:val="18"/>
          <w:szCs w:val="18"/>
          <w:highlight w:val="white"/>
        </w:rPr>
        <w:t xml:space="preserve"> A, </w:t>
      </w:r>
      <w:proofErr w:type="spellStart"/>
      <w:r w:rsidRPr="008B1988">
        <w:rPr>
          <w:rFonts w:ascii="Times New Roman" w:eastAsia="Times New Roman" w:hAnsi="Times New Roman" w:cs="Times New Roman"/>
          <w:color w:val="000000"/>
          <w:sz w:val="18"/>
          <w:szCs w:val="18"/>
          <w:highlight w:val="white"/>
        </w:rPr>
        <w:t>Hennecke</w:t>
      </w:r>
      <w:proofErr w:type="spellEnd"/>
      <w:r w:rsidRPr="008B1988">
        <w:rPr>
          <w:rFonts w:ascii="Times New Roman" w:eastAsia="Times New Roman" w:hAnsi="Times New Roman" w:cs="Times New Roman"/>
          <w:color w:val="000000"/>
          <w:sz w:val="18"/>
          <w:szCs w:val="18"/>
          <w:highlight w:val="white"/>
        </w:rPr>
        <w:t xml:space="preserve"> KH, </w:t>
      </w:r>
      <w:proofErr w:type="spellStart"/>
      <w:r w:rsidRPr="008B1988">
        <w:rPr>
          <w:rFonts w:ascii="Times New Roman" w:eastAsia="Times New Roman" w:hAnsi="Times New Roman" w:cs="Times New Roman"/>
          <w:color w:val="000000"/>
          <w:sz w:val="18"/>
          <w:szCs w:val="18"/>
          <w:highlight w:val="white"/>
        </w:rPr>
        <w:t>Schunck</w:t>
      </w:r>
      <w:proofErr w:type="spellEnd"/>
      <w:r w:rsidRPr="008B1988">
        <w:rPr>
          <w:rFonts w:ascii="Times New Roman" w:eastAsia="Times New Roman" w:hAnsi="Times New Roman" w:cs="Times New Roman"/>
          <w:color w:val="000000"/>
          <w:sz w:val="18"/>
          <w:szCs w:val="18"/>
          <w:highlight w:val="white"/>
        </w:rPr>
        <w:t xml:space="preserve"> KU, Maul K, et al. Neonatal screening for hearing disorders in infants at risk: Incidence, risk factors, and follow-up. </w:t>
      </w:r>
      <w:proofErr w:type="spellStart"/>
      <w:r w:rsidRPr="008B1988">
        <w:rPr>
          <w:rFonts w:ascii="Times New Roman" w:eastAsia="Times New Roman" w:hAnsi="Times New Roman" w:cs="Times New Roman"/>
          <w:color w:val="000000"/>
          <w:sz w:val="18"/>
          <w:szCs w:val="18"/>
          <w:highlight w:val="white"/>
        </w:rPr>
        <w:t>Pediatrics</w:t>
      </w:r>
      <w:proofErr w:type="spellEnd"/>
      <w:r w:rsidRPr="008B1988">
        <w:rPr>
          <w:rFonts w:ascii="Times New Roman" w:eastAsia="Times New Roman" w:hAnsi="Times New Roman" w:cs="Times New Roman"/>
          <w:color w:val="000000"/>
          <w:sz w:val="18"/>
          <w:szCs w:val="18"/>
          <w:highlight w:val="white"/>
        </w:rPr>
        <w:t xml:space="preserve"> 1999</w:t>
      </w:r>
      <w:proofErr w:type="gramStart"/>
      <w:r w:rsidRPr="008B1988">
        <w:rPr>
          <w:rFonts w:ascii="Times New Roman" w:eastAsia="Times New Roman" w:hAnsi="Times New Roman" w:cs="Times New Roman"/>
          <w:color w:val="000000"/>
          <w:sz w:val="18"/>
          <w:szCs w:val="18"/>
          <w:highlight w:val="white"/>
        </w:rPr>
        <w:t>;104:900</w:t>
      </w:r>
      <w:proofErr w:type="gramEnd"/>
      <w:r w:rsidRPr="008B1988">
        <w:rPr>
          <w:rFonts w:ascii="Times New Roman" w:eastAsia="Times New Roman" w:hAnsi="Times New Roman" w:cs="Times New Roman"/>
          <w:color w:val="000000"/>
          <w:sz w:val="18"/>
          <w:szCs w:val="18"/>
          <w:highlight w:val="white"/>
        </w:rPr>
        <w:t>-4.</w:t>
      </w:r>
    </w:p>
    <w:p w:rsidR="007714BA" w:rsidRPr="008B1988" w:rsidRDefault="00CB6800" w:rsidP="008B198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rPr>
      </w:pPr>
      <w:proofErr w:type="spellStart"/>
      <w:r w:rsidRPr="008B1988">
        <w:rPr>
          <w:rFonts w:ascii="Times New Roman" w:eastAsia="Times New Roman" w:hAnsi="Times New Roman" w:cs="Times New Roman"/>
          <w:color w:val="000000"/>
          <w:sz w:val="18"/>
          <w:szCs w:val="18"/>
          <w:highlight w:val="white"/>
        </w:rPr>
        <w:t>Maisoun</w:t>
      </w:r>
      <w:proofErr w:type="spellEnd"/>
      <w:r w:rsidRPr="008B1988">
        <w:rPr>
          <w:rFonts w:ascii="Times New Roman" w:eastAsia="Times New Roman" w:hAnsi="Times New Roman" w:cs="Times New Roman"/>
          <w:color w:val="000000"/>
          <w:sz w:val="18"/>
          <w:szCs w:val="18"/>
          <w:highlight w:val="white"/>
        </w:rPr>
        <w:t xml:space="preserve"> AM, </w:t>
      </w:r>
      <w:proofErr w:type="spellStart"/>
      <w:r w:rsidRPr="008B1988">
        <w:rPr>
          <w:rFonts w:ascii="Times New Roman" w:eastAsia="Times New Roman" w:hAnsi="Times New Roman" w:cs="Times New Roman"/>
          <w:color w:val="000000"/>
          <w:sz w:val="18"/>
          <w:szCs w:val="18"/>
          <w:highlight w:val="white"/>
        </w:rPr>
        <w:t>Zakzouk</w:t>
      </w:r>
      <w:proofErr w:type="spellEnd"/>
      <w:r w:rsidRPr="008B1988">
        <w:rPr>
          <w:rFonts w:ascii="Times New Roman" w:eastAsia="Times New Roman" w:hAnsi="Times New Roman" w:cs="Times New Roman"/>
          <w:color w:val="000000"/>
          <w:sz w:val="18"/>
          <w:szCs w:val="18"/>
          <w:highlight w:val="white"/>
        </w:rPr>
        <w:t xml:space="preserve"> SM. Hearing screening of neonates at risk. Saudi Med J 2003</w:t>
      </w:r>
      <w:proofErr w:type="gramStart"/>
      <w:r w:rsidRPr="008B1988">
        <w:rPr>
          <w:rFonts w:ascii="Times New Roman" w:eastAsia="Times New Roman" w:hAnsi="Times New Roman" w:cs="Times New Roman"/>
          <w:color w:val="000000"/>
          <w:sz w:val="18"/>
          <w:szCs w:val="18"/>
          <w:highlight w:val="white"/>
        </w:rPr>
        <w:t>;24:55</w:t>
      </w:r>
      <w:proofErr w:type="gramEnd"/>
      <w:r w:rsidRPr="008B1988">
        <w:rPr>
          <w:rFonts w:ascii="Times New Roman" w:eastAsia="Times New Roman" w:hAnsi="Times New Roman" w:cs="Times New Roman"/>
          <w:color w:val="000000"/>
          <w:sz w:val="18"/>
          <w:szCs w:val="18"/>
          <w:highlight w:val="white"/>
        </w:rPr>
        <w:t>-7.</w:t>
      </w:r>
    </w:p>
    <w:p w:rsidR="007714BA" w:rsidRPr="008B1988" w:rsidRDefault="00CB6800" w:rsidP="008B198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rPr>
      </w:pPr>
      <w:r w:rsidRPr="008B1988">
        <w:rPr>
          <w:rFonts w:ascii="Times New Roman" w:eastAsia="Times New Roman" w:hAnsi="Times New Roman" w:cs="Times New Roman"/>
          <w:color w:val="000000"/>
          <w:sz w:val="18"/>
          <w:szCs w:val="18"/>
        </w:rPr>
        <w:t xml:space="preserve">Davis A, Hind S. The </w:t>
      </w:r>
      <w:proofErr w:type="spellStart"/>
      <w:r w:rsidRPr="008B1988">
        <w:rPr>
          <w:rFonts w:ascii="Times New Roman" w:eastAsia="Times New Roman" w:hAnsi="Times New Roman" w:cs="Times New Roman"/>
          <w:color w:val="000000"/>
          <w:sz w:val="18"/>
          <w:szCs w:val="18"/>
        </w:rPr>
        <w:t>newborn</w:t>
      </w:r>
      <w:proofErr w:type="spellEnd"/>
      <w:r w:rsidRPr="008B1988">
        <w:rPr>
          <w:rFonts w:ascii="Times New Roman" w:eastAsia="Times New Roman" w:hAnsi="Times New Roman" w:cs="Times New Roman"/>
          <w:color w:val="000000"/>
          <w:sz w:val="18"/>
          <w:szCs w:val="18"/>
        </w:rPr>
        <w:t xml:space="preserve"> hearing screening programme in England. </w:t>
      </w:r>
      <w:proofErr w:type="spellStart"/>
      <w:r w:rsidRPr="008B1988">
        <w:rPr>
          <w:rFonts w:ascii="Times New Roman" w:eastAsia="Times New Roman" w:hAnsi="Times New Roman" w:cs="Times New Roman"/>
          <w:color w:val="000000"/>
          <w:sz w:val="18"/>
          <w:szCs w:val="18"/>
        </w:rPr>
        <w:t>Int</w:t>
      </w:r>
      <w:proofErr w:type="spellEnd"/>
      <w:r w:rsidRPr="008B1988">
        <w:rPr>
          <w:rFonts w:ascii="Times New Roman" w:eastAsia="Times New Roman" w:hAnsi="Times New Roman" w:cs="Times New Roman"/>
          <w:color w:val="000000"/>
          <w:sz w:val="18"/>
          <w:szCs w:val="18"/>
        </w:rPr>
        <w:t xml:space="preserve"> J </w:t>
      </w:r>
      <w:proofErr w:type="spellStart"/>
      <w:r w:rsidRPr="008B1988">
        <w:rPr>
          <w:rFonts w:ascii="Times New Roman" w:eastAsia="Times New Roman" w:hAnsi="Times New Roman" w:cs="Times New Roman"/>
          <w:color w:val="000000"/>
          <w:sz w:val="18"/>
          <w:szCs w:val="18"/>
        </w:rPr>
        <w:t>Pediatr</w:t>
      </w:r>
      <w:proofErr w:type="spellEnd"/>
      <w:r w:rsidRPr="008B1988">
        <w:rPr>
          <w:rFonts w:ascii="Times New Roman" w:eastAsia="Times New Roman" w:hAnsi="Times New Roman" w:cs="Times New Roman"/>
          <w:color w:val="000000"/>
          <w:sz w:val="18"/>
          <w:szCs w:val="18"/>
        </w:rPr>
        <w:t xml:space="preserve"> </w:t>
      </w:r>
      <w:proofErr w:type="spellStart"/>
      <w:r w:rsidRPr="008B1988">
        <w:rPr>
          <w:rFonts w:ascii="Times New Roman" w:eastAsia="Times New Roman" w:hAnsi="Times New Roman" w:cs="Times New Roman"/>
          <w:color w:val="000000"/>
          <w:sz w:val="18"/>
          <w:szCs w:val="18"/>
        </w:rPr>
        <w:t>Otorhinolaryngol</w:t>
      </w:r>
      <w:proofErr w:type="spellEnd"/>
      <w:r w:rsidRPr="008B1988">
        <w:rPr>
          <w:rFonts w:ascii="Times New Roman" w:eastAsia="Times New Roman" w:hAnsi="Times New Roman" w:cs="Times New Roman"/>
          <w:color w:val="000000"/>
          <w:sz w:val="18"/>
          <w:szCs w:val="18"/>
        </w:rPr>
        <w:t>. 2003</w:t>
      </w:r>
      <w:proofErr w:type="gramStart"/>
      <w:r w:rsidRPr="008B1988">
        <w:rPr>
          <w:rFonts w:ascii="Times New Roman" w:eastAsia="Times New Roman" w:hAnsi="Times New Roman" w:cs="Times New Roman"/>
          <w:color w:val="000000"/>
          <w:sz w:val="18"/>
          <w:szCs w:val="18"/>
        </w:rPr>
        <w:t>;67</w:t>
      </w:r>
      <w:proofErr w:type="gramEnd"/>
      <w:r w:rsidRPr="008B1988">
        <w:rPr>
          <w:rFonts w:ascii="Times New Roman" w:eastAsia="Times New Roman" w:hAnsi="Times New Roman" w:cs="Times New Roman"/>
          <w:color w:val="000000"/>
          <w:sz w:val="18"/>
          <w:szCs w:val="18"/>
        </w:rPr>
        <w:t xml:space="preserve"> </w:t>
      </w:r>
      <w:proofErr w:type="spellStart"/>
      <w:r w:rsidRPr="008B1988">
        <w:rPr>
          <w:rFonts w:ascii="Times New Roman" w:eastAsia="Times New Roman" w:hAnsi="Times New Roman" w:cs="Times New Roman"/>
          <w:color w:val="000000"/>
          <w:sz w:val="18"/>
          <w:szCs w:val="18"/>
        </w:rPr>
        <w:t>Suppl</w:t>
      </w:r>
      <w:proofErr w:type="spellEnd"/>
      <w:r w:rsidRPr="008B1988">
        <w:rPr>
          <w:rFonts w:ascii="Times New Roman" w:eastAsia="Times New Roman" w:hAnsi="Times New Roman" w:cs="Times New Roman"/>
          <w:color w:val="000000"/>
          <w:sz w:val="18"/>
          <w:szCs w:val="18"/>
        </w:rPr>
        <w:t xml:space="preserve"> 1:S193–6.</w:t>
      </w:r>
    </w:p>
    <w:p w:rsidR="007714BA" w:rsidRPr="008B1988" w:rsidRDefault="00CB6800" w:rsidP="008B198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rPr>
      </w:pPr>
      <w:proofErr w:type="spellStart"/>
      <w:r w:rsidRPr="008B1988">
        <w:rPr>
          <w:rFonts w:ascii="Times New Roman" w:eastAsia="Times New Roman" w:hAnsi="Times New Roman" w:cs="Times New Roman"/>
          <w:color w:val="000000"/>
          <w:sz w:val="18"/>
          <w:szCs w:val="18"/>
          <w:highlight w:val="white"/>
        </w:rPr>
        <w:t>Srisuparp</w:t>
      </w:r>
      <w:proofErr w:type="spellEnd"/>
      <w:r w:rsidRPr="008B1988">
        <w:rPr>
          <w:rFonts w:ascii="Times New Roman" w:eastAsia="Times New Roman" w:hAnsi="Times New Roman" w:cs="Times New Roman"/>
          <w:color w:val="000000"/>
          <w:sz w:val="18"/>
          <w:szCs w:val="18"/>
          <w:highlight w:val="white"/>
        </w:rPr>
        <w:t xml:space="preserve"> P, </w:t>
      </w:r>
      <w:proofErr w:type="spellStart"/>
      <w:r w:rsidRPr="008B1988">
        <w:rPr>
          <w:rFonts w:ascii="Times New Roman" w:eastAsia="Times New Roman" w:hAnsi="Times New Roman" w:cs="Times New Roman"/>
          <w:color w:val="000000"/>
          <w:sz w:val="18"/>
          <w:szCs w:val="18"/>
          <w:highlight w:val="white"/>
        </w:rPr>
        <w:t>Gleebbur</w:t>
      </w:r>
      <w:proofErr w:type="spellEnd"/>
      <w:r w:rsidRPr="008B1988">
        <w:rPr>
          <w:rFonts w:ascii="Times New Roman" w:eastAsia="Times New Roman" w:hAnsi="Times New Roman" w:cs="Times New Roman"/>
          <w:color w:val="000000"/>
          <w:sz w:val="18"/>
          <w:szCs w:val="18"/>
          <w:highlight w:val="white"/>
        </w:rPr>
        <w:t xml:space="preserve"> R, </w:t>
      </w:r>
      <w:proofErr w:type="spellStart"/>
      <w:r w:rsidRPr="008B1988">
        <w:rPr>
          <w:rFonts w:ascii="Times New Roman" w:eastAsia="Times New Roman" w:hAnsi="Times New Roman" w:cs="Times New Roman"/>
          <w:color w:val="000000"/>
          <w:sz w:val="18"/>
          <w:szCs w:val="18"/>
          <w:highlight w:val="white"/>
        </w:rPr>
        <w:t>Ngerncham</w:t>
      </w:r>
      <w:proofErr w:type="spellEnd"/>
      <w:r w:rsidRPr="008B1988">
        <w:rPr>
          <w:rFonts w:ascii="Times New Roman" w:eastAsia="Times New Roman" w:hAnsi="Times New Roman" w:cs="Times New Roman"/>
          <w:color w:val="000000"/>
          <w:sz w:val="18"/>
          <w:szCs w:val="18"/>
          <w:highlight w:val="white"/>
        </w:rPr>
        <w:t xml:space="preserve"> S, </w:t>
      </w:r>
      <w:proofErr w:type="spellStart"/>
      <w:r w:rsidRPr="008B1988">
        <w:rPr>
          <w:rFonts w:ascii="Times New Roman" w:eastAsia="Times New Roman" w:hAnsi="Times New Roman" w:cs="Times New Roman"/>
          <w:color w:val="000000"/>
          <w:sz w:val="18"/>
          <w:szCs w:val="18"/>
          <w:highlight w:val="white"/>
        </w:rPr>
        <w:t>Chonpracha</w:t>
      </w:r>
      <w:proofErr w:type="spellEnd"/>
      <w:r w:rsidRPr="008B1988">
        <w:rPr>
          <w:rFonts w:ascii="Times New Roman" w:eastAsia="Times New Roman" w:hAnsi="Times New Roman" w:cs="Times New Roman"/>
          <w:color w:val="000000"/>
          <w:sz w:val="18"/>
          <w:szCs w:val="18"/>
          <w:highlight w:val="white"/>
        </w:rPr>
        <w:t xml:space="preserve"> J, </w:t>
      </w:r>
      <w:proofErr w:type="spellStart"/>
      <w:r w:rsidRPr="008B1988">
        <w:rPr>
          <w:rFonts w:ascii="Times New Roman" w:eastAsia="Times New Roman" w:hAnsi="Times New Roman" w:cs="Times New Roman"/>
          <w:color w:val="000000"/>
          <w:sz w:val="18"/>
          <w:szCs w:val="18"/>
          <w:highlight w:val="white"/>
        </w:rPr>
        <w:t>Singkampong</w:t>
      </w:r>
      <w:proofErr w:type="spellEnd"/>
      <w:r w:rsidRPr="008B1988">
        <w:rPr>
          <w:rFonts w:ascii="Times New Roman" w:eastAsia="Times New Roman" w:hAnsi="Times New Roman" w:cs="Times New Roman"/>
          <w:color w:val="000000"/>
          <w:sz w:val="18"/>
          <w:szCs w:val="18"/>
          <w:highlight w:val="white"/>
        </w:rPr>
        <w:t xml:space="preserve"> J. High-risk neonatal hearing screening program using automated screening device performed by trained nursing personnel at </w:t>
      </w:r>
      <w:proofErr w:type="spellStart"/>
      <w:r w:rsidRPr="008B1988">
        <w:rPr>
          <w:rFonts w:ascii="Times New Roman" w:eastAsia="Times New Roman" w:hAnsi="Times New Roman" w:cs="Times New Roman"/>
          <w:color w:val="000000"/>
          <w:sz w:val="18"/>
          <w:szCs w:val="18"/>
          <w:highlight w:val="white"/>
        </w:rPr>
        <w:t>Siriraj</w:t>
      </w:r>
      <w:proofErr w:type="spellEnd"/>
      <w:r w:rsidRPr="008B1988">
        <w:rPr>
          <w:rFonts w:ascii="Times New Roman" w:eastAsia="Times New Roman" w:hAnsi="Times New Roman" w:cs="Times New Roman"/>
          <w:color w:val="000000"/>
          <w:sz w:val="18"/>
          <w:szCs w:val="18"/>
          <w:highlight w:val="white"/>
        </w:rPr>
        <w:t xml:space="preserve"> hospital: Yield and feasibility. J Med </w:t>
      </w:r>
      <w:proofErr w:type="spellStart"/>
      <w:r w:rsidRPr="008B1988">
        <w:rPr>
          <w:rFonts w:ascii="Times New Roman" w:eastAsia="Times New Roman" w:hAnsi="Times New Roman" w:cs="Times New Roman"/>
          <w:color w:val="000000"/>
          <w:sz w:val="18"/>
          <w:szCs w:val="18"/>
          <w:highlight w:val="white"/>
        </w:rPr>
        <w:t>Assoc</w:t>
      </w:r>
      <w:proofErr w:type="spellEnd"/>
      <w:r w:rsidRPr="008B1988">
        <w:rPr>
          <w:rFonts w:ascii="Times New Roman" w:eastAsia="Times New Roman" w:hAnsi="Times New Roman" w:cs="Times New Roman"/>
          <w:color w:val="000000"/>
          <w:sz w:val="18"/>
          <w:szCs w:val="18"/>
          <w:highlight w:val="white"/>
        </w:rPr>
        <w:t xml:space="preserve"> Thai 2005</w:t>
      </w:r>
      <w:proofErr w:type="gramStart"/>
      <w:r w:rsidRPr="008B1988">
        <w:rPr>
          <w:rFonts w:ascii="Times New Roman" w:eastAsia="Times New Roman" w:hAnsi="Times New Roman" w:cs="Times New Roman"/>
          <w:color w:val="000000"/>
          <w:sz w:val="18"/>
          <w:szCs w:val="18"/>
          <w:highlight w:val="white"/>
        </w:rPr>
        <w:t>;88</w:t>
      </w:r>
      <w:proofErr w:type="gramEnd"/>
      <w:r w:rsidRPr="008B1988">
        <w:rPr>
          <w:rFonts w:ascii="Times New Roman" w:eastAsia="Times New Roman" w:hAnsi="Times New Roman" w:cs="Times New Roman"/>
          <w:color w:val="000000"/>
          <w:sz w:val="18"/>
          <w:szCs w:val="18"/>
          <w:highlight w:val="white"/>
        </w:rPr>
        <w:t xml:space="preserve"> </w:t>
      </w:r>
      <w:proofErr w:type="spellStart"/>
      <w:r w:rsidRPr="008B1988">
        <w:rPr>
          <w:rFonts w:ascii="Times New Roman" w:eastAsia="Times New Roman" w:hAnsi="Times New Roman" w:cs="Times New Roman"/>
          <w:color w:val="000000"/>
          <w:sz w:val="18"/>
          <w:szCs w:val="18"/>
          <w:highlight w:val="white"/>
        </w:rPr>
        <w:t>Suppl</w:t>
      </w:r>
      <w:proofErr w:type="spellEnd"/>
      <w:r w:rsidRPr="008B1988">
        <w:rPr>
          <w:rFonts w:ascii="Times New Roman" w:eastAsia="Times New Roman" w:hAnsi="Times New Roman" w:cs="Times New Roman"/>
          <w:color w:val="000000"/>
          <w:sz w:val="18"/>
          <w:szCs w:val="18"/>
          <w:highlight w:val="white"/>
        </w:rPr>
        <w:t xml:space="preserve"> 8:S176-82.</w:t>
      </w:r>
    </w:p>
    <w:p w:rsidR="007714BA" w:rsidRPr="008B1988" w:rsidRDefault="007714BA" w:rsidP="008B1988">
      <w:pPr>
        <w:spacing w:after="0" w:line="360" w:lineRule="auto"/>
        <w:jc w:val="both"/>
        <w:rPr>
          <w:rFonts w:ascii="Times New Roman" w:eastAsia="Times New Roman" w:hAnsi="Times New Roman" w:cs="Times New Roman"/>
          <w:sz w:val="18"/>
          <w:szCs w:val="18"/>
        </w:rPr>
      </w:pPr>
    </w:p>
    <w:sectPr w:rsidR="007714BA" w:rsidRPr="008B1988" w:rsidSect="008B1988">
      <w:headerReference w:type="default" r:id="rId9"/>
      <w:footerReference w:type="default" r:id="rId10"/>
      <w:pgSz w:w="12240" w:h="15840"/>
      <w:pgMar w:top="1440" w:right="1440" w:bottom="1440" w:left="1440" w:header="720" w:footer="720" w:gutter="0"/>
      <w:pgNumType w:start="23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3C7" w:rsidRDefault="00E573C7" w:rsidP="008B1988">
      <w:pPr>
        <w:spacing w:after="0" w:line="240" w:lineRule="auto"/>
      </w:pPr>
      <w:r>
        <w:separator/>
      </w:r>
    </w:p>
  </w:endnote>
  <w:endnote w:type="continuationSeparator" w:id="0">
    <w:p w:rsidR="00E573C7" w:rsidRDefault="00E573C7" w:rsidP="008B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8B1988">
      <w:trPr>
        <w:trHeight w:val="360"/>
      </w:trPr>
      <w:tc>
        <w:tcPr>
          <w:tcW w:w="3500" w:type="pct"/>
        </w:tcPr>
        <w:p w:rsidR="008B1988" w:rsidRDefault="008B1988">
          <w:pPr>
            <w:pStyle w:val="Footer"/>
            <w:jc w:val="right"/>
          </w:pPr>
          <w:r w:rsidRPr="00864F07">
            <w:rPr>
              <w:sz w:val="18"/>
              <w:szCs w:val="18"/>
            </w:rPr>
            <w:t>www.ijbamr.com   P ISSN: 2250-284X, E ISSN: 2250-2858</w:t>
          </w:r>
        </w:p>
      </w:tc>
      <w:tc>
        <w:tcPr>
          <w:tcW w:w="1500" w:type="pct"/>
          <w:shd w:val="clear" w:color="auto" w:fill="8064A2" w:themeFill="accent4"/>
        </w:tcPr>
        <w:p w:rsidR="008B1988" w:rsidRDefault="008B1988">
          <w:pPr>
            <w:pStyle w:val="Footer"/>
            <w:jc w:val="right"/>
            <w:rPr>
              <w:color w:val="FFFFFF" w:themeColor="background1"/>
            </w:rPr>
          </w:pPr>
          <w:r>
            <w:fldChar w:fldCharType="begin"/>
          </w:r>
          <w:r>
            <w:instrText xml:space="preserve"> PAGE    \* MERGEFORMAT </w:instrText>
          </w:r>
          <w:r>
            <w:fldChar w:fldCharType="separate"/>
          </w:r>
          <w:r w:rsidR="00A84048" w:rsidRPr="00A84048">
            <w:rPr>
              <w:noProof/>
              <w:color w:val="FFFFFF" w:themeColor="background1"/>
            </w:rPr>
            <w:t>236</w:t>
          </w:r>
          <w:r>
            <w:rPr>
              <w:noProof/>
              <w:color w:val="FFFFFF" w:themeColor="background1"/>
            </w:rPr>
            <w:fldChar w:fldCharType="end"/>
          </w:r>
        </w:p>
      </w:tc>
    </w:tr>
  </w:tbl>
  <w:p w:rsidR="008B1988" w:rsidRDefault="008B1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3C7" w:rsidRDefault="00E573C7" w:rsidP="008B1988">
      <w:pPr>
        <w:spacing w:after="0" w:line="240" w:lineRule="auto"/>
      </w:pPr>
      <w:r>
        <w:separator/>
      </w:r>
    </w:p>
  </w:footnote>
  <w:footnote w:type="continuationSeparator" w:id="0">
    <w:p w:rsidR="00E573C7" w:rsidRDefault="00E573C7" w:rsidP="008B1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88" w:rsidRPr="00864F07" w:rsidRDefault="008B1988" w:rsidP="008B1988">
    <w:pPr>
      <w:tabs>
        <w:tab w:val="center" w:pos="4513"/>
        <w:tab w:val="right" w:pos="9026"/>
      </w:tabs>
      <w:spacing w:after="0"/>
      <w:rPr>
        <w:rFonts w:ascii="Cambria" w:hAnsi="Cambria" w:cs="SimSun"/>
        <w:sz w:val="18"/>
        <w:szCs w:val="18"/>
        <w:lang w:val="en-GB" w:bidi="hi-IN"/>
      </w:rPr>
    </w:pPr>
    <w:r w:rsidRPr="00864F07">
      <w:rPr>
        <w:rFonts w:ascii="Cambria" w:hAnsi="Cambria" w:cs="SimSun"/>
        <w:sz w:val="18"/>
        <w:szCs w:val="18"/>
        <w:lang w:val="en-GB" w:bidi="hi-IN"/>
      </w:rPr>
      <w:t xml:space="preserve">Indian Journal of Basic and Applied Medical Research; September 2021: Vol.-10, Issue- 4, P. </w:t>
    </w:r>
    <w:r>
      <w:rPr>
        <w:rFonts w:ascii="Cambria" w:hAnsi="Cambria" w:cs="SimSun"/>
        <w:sz w:val="18"/>
        <w:szCs w:val="18"/>
        <w:lang w:val="en-GB" w:bidi="hi-IN"/>
      </w:rPr>
      <w:t xml:space="preserve">236 – 240 </w:t>
    </w:r>
  </w:p>
  <w:p w:rsidR="008B1988" w:rsidRPr="00864F07" w:rsidRDefault="008B1988" w:rsidP="008B1988">
    <w:pPr>
      <w:pStyle w:val="Header"/>
      <w:spacing w:line="276" w:lineRule="auto"/>
      <w:rPr>
        <w:rFonts w:ascii="Cambria" w:hAnsi="Cambria" w:cs="SimSun"/>
        <w:bCs/>
        <w:sz w:val="18"/>
        <w:szCs w:val="18"/>
        <w:lang w:val="en-GB" w:bidi="hi-IN"/>
      </w:rPr>
    </w:pPr>
    <w:r w:rsidRPr="00864F07">
      <w:rPr>
        <w:rFonts w:ascii="Cambria" w:hAnsi="Cambria" w:cs="SimSun"/>
        <w:bCs/>
        <w:sz w:val="18"/>
        <w:szCs w:val="18"/>
        <w:lang w:val="en-GB" w:bidi="hi-IN"/>
      </w:rPr>
      <w:t xml:space="preserve">DOI: </w:t>
    </w:r>
    <w:r w:rsidR="00A84048">
      <w:rPr>
        <w:rFonts w:ascii="Cambria" w:hAnsi="Cambria" w:cs="SimSun"/>
        <w:bCs/>
        <w:sz w:val="18"/>
        <w:szCs w:val="18"/>
        <w:lang w:val="en-GB" w:bidi="hi-IN"/>
      </w:rPr>
      <w:t>10.36848/IJBAMR/2020/29215.56035</w:t>
    </w:r>
  </w:p>
  <w:p w:rsidR="008B1988" w:rsidRDefault="008B1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734A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BA"/>
    <w:rsid w:val="00316A70"/>
    <w:rsid w:val="0061274F"/>
    <w:rsid w:val="00747AED"/>
    <w:rsid w:val="007714BA"/>
    <w:rsid w:val="007E28CA"/>
    <w:rsid w:val="008B1988"/>
    <w:rsid w:val="00A84048"/>
    <w:rsid w:val="00C77AC0"/>
    <w:rsid w:val="00CB6800"/>
    <w:rsid w:val="00DA2DEF"/>
    <w:rsid w:val="00E3760D"/>
    <w:rsid w:val="00E573C7"/>
    <w:rsid w:val="00E840A0"/>
    <w:rsid w:val="00EC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7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60D"/>
    <w:rPr>
      <w:rFonts w:ascii="Tahoma" w:hAnsi="Tahoma" w:cs="Tahoma"/>
      <w:sz w:val="16"/>
      <w:szCs w:val="16"/>
    </w:rPr>
  </w:style>
  <w:style w:type="paragraph" w:styleId="Header">
    <w:name w:val="header"/>
    <w:basedOn w:val="Normal"/>
    <w:link w:val="HeaderChar"/>
    <w:uiPriority w:val="99"/>
    <w:unhideWhenUsed/>
    <w:rsid w:val="008B1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988"/>
  </w:style>
  <w:style w:type="paragraph" w:styleId="Footer">
    <w:name w:val="footer"/>
    <w:basedOn w:val="Normal"/>
    <w:link w:val="FooterChar"/>
    <w:uiPriority w:val="99"/>
    <w:unhideWhenUsed/>
    <w:rsid w:val="008B1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7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60D"/>
    <w:rPr>
      <w:rFonts w:ascii="Tahoma" w:hAnsi="Tahoma" w:cs="Tahoma"/>
      <w:sz w:val="16"/>
      <w:szCs w:val="16"/>
    </w:rPr>
  </w:style>
  <w:style w:type="paragraph" w:styleId="Header">
    <w:name w:val="header"/>
    <w:basedOn w:val="Normal"/>
    <w:link w:val="HeaderChar"/>
    <w:uiPriority w:val="99"/>
    <w:unhideWhenUsed/>
    <w:rsid w:val="008B1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988"/>
  </w:style>
  <w:style w:type="paragraph" w:styleId="Footer">
    <w:name w:val="footer"/>
    <w:basedOn w:val="Normal"/>
    <w:link w:val="FooterChar"/>
    <w:uiPriority w:val="99"/>
    <w:unhideWhenUsed/>
    <w:rsid w:val="008B1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1"/>
  <c:style val="2"/>
  <c:chart>
    <c:autoTitleDeleted val="1"/>
    <c:plotArea>
      <c:layout/>
      <c:barChart>
        <c:barDir val="col"/>
        <c:grouping val="clustered"/>
        <c:varyColors val="1"/>
        <c:ser>
          <c:idx val="0"/>
          <c:order val="0"/>
          <c:tx>
            <c:strRef>
              <c:f>Sheet1!$B$1</c:f>
              <c:strCache>
                <c:ptCount val="1"/>
                <c:pt idx="0">
                  <c:v>TOTAL</c:v>
                </c:pt>
              </c:strCache>
            </c:strRef>
          </c:tx>
          <c:invertIfNegative val="1"/>
          <c:dLbls>
            <c:spPr>
              <a:noFill/>
              <a:ln>
                <a:noFill/>
              </a:ln>
              <a:effectLst/>
            </c:sp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Sheet1!$A$2:$A$13</c:f>
              <c:strCache>
                <c:ptCount val="12"/>
                <c:pt idx="0">
                  <c:v>Intrauterine Infection (TORCH)</c:v>
                </c:pt>
                <c:pt idx="1">
                  <c:v>Use of Ototoxic drugs (&gt;5 days)</c:v>
                </c:pt>
                <c:pt idx="2">
                  <c:v>Birth Asphyxia</c:v>
                </c:pt>
                <c:pt idx="3">
                  <c:v>Birth Weight (&lt;1.5kg)</c:v>
                </c:pt>
                <c:pt idx="4">
                  <c:v>Prematurity (&lt;37 weeks)</c:v>
                </c:pt>
                <c:pt idx="5">
                  <c:v>Sepsis</c:v>
                </c:pt>
                <c:pt idx="6">
                  <c:v>Hyperbilirubinemia</c:v>
                </c:pt>
                <c:pt idx="7">
                  <c:v>Bacterial Meningitis</c:v>
                </c:pt>
                <c:pt idx="8">
                  <c:v>NICU Stay (&gt;5 Day)</c:v>
                </c:pt>
                <c:pt idx="9">
                  <c:v>Intracranial haemorrhage</c:v>
                </c:pt>
                <c:pt idx="10">
                  <c:v>Family History of Hearing Loss</c:v>
                </c:pt>
                <c:pt idx="11">
                  <c:v>HIE-II &amp; III</c:v>
                </c:pt>
              </c:strCache>
            </c:strRef>
          </c:cat>
          <c:val>
            <c:numRef>
              <c:f>Sheet1!$B$2:$B$13</c:f>
              <c:numCache>
                <c:formatCode>General</c:formatCode>
                <c:ptCount val="12"/>
                <c:pt idx="0">
                  <c:v>12</c:v>
                </c:pt>
                <c:pt idx="1">
                  <c:v>15</c:v>
                </c:pt>
                <c:pt idx="2">
                  <c:v>135</c:v>
                </c:pt>
                <c:pt idx="3">
                  <c:v>90</c:v>
                </c:pt>
                <c:pt idx="4">
                  <c:v>120</c:v>
                </c:pt>
                <c:pt idx="5">
                  <c:v>60</c:v>
                </c:pt>
                <c:pt idx="6">
                  <c:v>102</c:v>
                </c:pt>
                <c:pt idx="7">
                  <c:v>18</c:v>
                </c:pt>
                <c:pt idx="8">
                  <c:v>117</c:v>
                </c:pt>
                <c:pt idx="9">
                  <c:v>15</c:v>
                </c:pt>
                <c:pt idx="10">
                  <c:v>9</c:v>
                </c:pt>
                <c:pt idx="11">
                  <c:v>99</c:v>
                </c:pt>
              </c:numCache>
            </c:numRef>
          </c:val>
          <c:extLst xmlns:c16r2="http://schemas.microsoft.com/office/drawing/2015/06/chart">
            <c:ext xmlns:c16="http://schemas.microsoft.com/office/drawing/2014/chart" uri="{C3380CC4-5D6E-409C-BE32-E72D297353CC}">
              <c16:uniqueId val="{00000000-8731-5D45-96F6-4E03E72B251F}"/>
            </c:ext>
          </c:extLst>
        </c:ser>
        <c:ser>
          <c:idx val="1"/>
          <c:order val="1"/>
          <c:tx>
            <c:strRef>
              <c:f>Sheet1!$C$1</c:f>
              <c:strCache>
                <c:ptCount val="1"/>
                <c:pt idx="0">
                  <c:v>FAIL</c:v>
                </c:pt>
              </c:strCache>
            </c:strRef>
          </c:tx>
          <c:invertIfNegative val="1"/>
          <c:dLbls>
            <c:spPr>
              <a:noFill/>
              <a:ln>
                <a:noFill/>
              </a:ln>
              <a:effectLst/>
            </c:sp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Sheet1!$A$2:$A$13</c:f>
              <c:strCache>
                <c:ptCount val="12"/>
                <c:pt idx="0">
                  <c:v>Intrauterine Infection (TORCH)</c:v>
                </c:pt>
                <c:pt idx="1">
                  <c:v>Use of Ototoxic drugs (&gt;5 days)</c:v>
                </c:pt>
                <c:pt idx="2">
                  <c:v>Birth Asphyxia</c:v>
                </c:pt>
                <c:pt idx="3">
                  <c:v>Birth Weight (&lt;1.5kg)</c:v>
                </c:pt>
                <c:pt idx="4">
                  <c:v>Prematurity (&lt;37 weeks)</c:v>
                </c:pt>
                <c:pt idx="5">
                  <c:v>Sepsis</c:v>
                </c:pt>
                <c:pt idx="6">
                  <c:v>Hyperbilirubinemia</c:v>
                </c:pt>
                <c:pt idx="7">
                  <c:v>Bacterial Meningitis</c:v>
                </c:pt>
                <c:pt idx="8">
                  <c:v>NICU Stay (&gt;5 Day)</c:v>
                </c:pt>
                <c:pt idx="9">
                  <c:v>Intracranial haemorrhage</c:v>
                </c:pt>
                <c:pt idx="10">
                  <c:v>Family History of Hearing Loss</c:v>
                </c:pt>
                <c:pt idx="11">
                  <c:v>HIE-II &amp; III</c:v>
                </c:pt>
              </c:strCache>
            </c:strRef>
          </c:cat>
          <c:val>
            <c:numRef>
              <c:f>Sheet1!$C$2:$C$13</c:f>
              <c:numCache>
                <c:formatCode>General</c:formatCode>
                <c:ptCount val="12"/>
                <c:pt idx="0">
                  <c:v>1</c:v>
                </c:pt>
                <c:pt idx="1">
                  <c:v>0</c:v>
                </c:pt>
                <c:pt idx="2">
                  <c:v>5</c:v>
                </c:pt>
                <c:pt idx="3">
                  <c:v>7</c:v>
                </c:pt>
                <c:pt idx="4">
                  <c:v>3</c:v>
                </c:pt>
                <c:pt idx="5">
                  <c:v>0</c:v>
                </c:pt>
                <c:pt idx="6">
                  <c:v>3</c:v>
                </c:pt>
                <c:pt idx="7">
                  <c:v>0</c:v>
                </c:pt>
                <c:pt idx="8">
                  <c:v>3</c:v>
                </c:pt>
                <c:pt idx="9">
                  <c:v>1</c:v>
                </c:pt>
                <c:pt idx="10">
                  <c:v>0</c:v>
                </c:pt>
                <c:pt idx="11">
                  <c:v>3</c:v>
                </c:pt>
              </c:numCache>
            </c:numRef>
          </c:val>
          <c:extLst xmlns:c16r2="http://schemas.microsoft.com/office/drawing/2015/06/chart">
            <c:ext xmlns:c16="http://schemas.microsoft.com/office/drawing/2014/chart" uri="{C3380CC4-5D6E-409C-BE32-E72D297353CC}">
              <c16:uniqueId val="{00000001-8731-5D45-96F6-4E03E72B251F}"/>
            </c:ext>
          </c:extLst>
        </c:ser>
        <c:dLbls>
          <c:showLegendKey val="1"/>
          <c:showVal val="1"/>
          <c:showCatName val="1"/>
          <c:showSerName val="1"/>
          <c:showPercent val="1"/>
          <c:showBubbleSize val="1"/>
        </c:dLbls>
        <c:gapWidth val="75"/>
        <c:axId val="171800064"/>
        <c:axId val="312318208"/>
      </c:barChart>
      <c:catAx>
        <c:axId val="171800064"/>
        <c:scaling>
          <c:orientation val="minMax"/>
        </c:scaling>
        <c:delete val="1"/>
        <c:axPos val="b"/>
        <c:numFmt formatCode="General" sourceLinked="0"/>
        <c:majorTickMark val="none"/>
        <c:minorTickMark val="cross"/>
        <c:tickLblPos val="nextTo"/>
        <c:crossAx val="312318208"/>
        <c:crosses val="autoZero"/>
        <c:auto val="1"/>
        <c:lblAlgn val="ctr"/>
        <c:lblOffset val="100"/>
        <c:noMultiLvlLbl val="1"/>
      </c:catAx>
      <c:valAx>
        <c:axId val="312318208"/>
        <c:scaling>
          <c:orientation val="minMax"/>
        </c:scaling>
        <c:delete val="1"/>
        <c:axPos val="l"/>
        <c:numFmt formatCode="General" sourceLinked="1"/>
        <c:majorTickMark val="none"/>
        <c:minorTickMark val="cross"/>
        <c:tickLblPos val="nextTo"/>
        <c:crossAx val="171800064"/>
        <c:crosses val="autoZero"/>
        <c:crossBetween val="between"/>
      </c:valAx>
    </c:plotArea>
    <c:legend>
      <c:legendPos val="b"/>
      <c:overlay val="1"/>
    </c:legend>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RDRL</cp:lastModifiedBy>
  <cp:revision>6</cp:revision>
  <cp:lastPrinted>2021-11-28T07:20:00Z</cp:lastPrinted>
  <dcterms:created xsi:type="dcterms:W3CDTF">2021-11-28T07:10:00Z</dcterms:created>
  <dcterms:modified xsi:type="dcterms:W3CDTF">2021-11-28T08:00:00Z</dcterms:modified>
</cp:coreProperties>
</file>