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82B2E" w14:textId="0F8E592A" w:rsidR="00283E01" w:rsidRPr="00520A8D" w:rsidRDefault="00283E01" w:rsidP="00520A8D">
      <w:pPr>
        <w:spacing w:after="0" w:line="360" w:lineRule="auto"/>
        <w:ind w:left="-737"/>
        <w:rPr>
          <w:rFonts w:ascii="Cambria" w:hAnsi="Cambria" w:cs="Times New Roman"/>
          <w:b/>
          <w:sz w:val="24"/>
          <w:szCs w:val="24"/>
        </w:rPr>
      </w:pPr>
      <w:r w:rsidRPr="00520A8D">
        <w:rPr>
          <w:rFonts w:ascii="Cambria" w:hAnsi="Cambria" w:cs="Times New Roman"/>
          <w:b/>
          <w:sz w:val="24"/>
          <w:szCs w:val="24"/>
          <w:highlight w:val="lightGray"/>
        </w:rPr>
        <w:t>Original article:</w:t>
      </w:r>
      <w:r w:rsidRPr="00520A8D">
        <w:rPr>
          <w:rFonts w:ascii="Cambria" w:hAnsi="Cambria" w:cs="Times New Roman"/>
          <w:b/>
          <w:sz w:val="24"/>
          <w:szCs w:val="24"/>
        </w:rPr>
        <w:t xml:space="preserve"> </w:t>
      </w:r>
    </w:p>
    <w:p w14:paraId="78FD5ACC" w14:textId="37E2C76D" w:rsidR="005E2F8A" w:rsidRPr="00520A8D" w:rsidRDefault="00004036" w:rsidP="00520A8D">
      <w:pPr>
        <w:spacing w:after="0" w:line="360" w:lineRule="auto"/>
        <w:ind w:left="-737"/>
        <w:rPr>
          <w:rFonts w:ascii="Cambria" w:hAnsi="Cambria" w:cs="Times New Roman"/>
          <w:b/>
          <w:color w:val="0070C0"/>
          <w:sz w:val="28"/>
          <w:szCs w:val="28"/>
        </w:rPr>
      </w:pPr>
      <w:r w:rsidRPr="00520A8D">
        <w:rPr>
          <w:rFonts w:ascii="Cambria" w:hAnsi="Cambria" w:cs="Times New Roman"/>
          <w:b/>
          <w:color w:val="0070C0"/>
          <w:sz w:val="28"/>
          <w:szCs w:val="28"/>
        </w:rPr>
        <w:t>A</w:t>
      </w:r>
      <w:r w:rsidR="00283E01" w:rsidRPr="00520A8D">
        <w:rPr>
          <w:rFonts w:ascii="Cambria" w:hAnsi="Cambria" w:cs="Times New Roman"/>
          <w:b/>
          <w:color w:val="0070C0"/>
          <w:sz w:val="28"/>
          <w:szCs w:val="28"/>
        </w:rPr>
        <w:t xml:space="preserve"> descriptive observational clinical study of secondary bacterial wound infection in burns patients in a tertiary care hospital</w:t>
      </w:r>
    </w:p>
    <w:p w14:paraId="424C256B" w14:textId="3719F1FE" w:rsidR="00594654" w:rsidRPr="00520A8D" w:rsidRDefault="00594654" w:rsidP="00520A8D">
      <w:pPr>
        <w:spacing w:after="0" w:line="360" w:lineRule="auto"/>
        <w:ind w:left="-737"/>
        <w:rPr>
          <w:rFonts w:ascii="Cambria" w:hAnsi="Cambria" w:cs="Times New Roman"/>
          <w:b/>
          <w:bCs/>
          <w:sz w:val="20"/>
        </w:rPr>
      </w:pPr>
      <w:r w:rsidRPr="00520A8D">
        <w:rPr>
          <w:rFonts w:ascii="Cambria" w:hAnsi="Cambria" w:cs="Times New Roman"/>
          <w:sz w:val="20"/>
          <w:vertAlign w:val="superscript"/>
        </w:rPr>
        <w:t>1</w:t>
      </w:r>
      <w:r w:rsidRPr="00520A8D">
        <w:rPr>
          <w:rFonts w:ascii="Cambria" w:hAnsi="Cambria" w:cs="Times New Roman"/>
          <w:b/>
          <w:bCs/>
          <w:sz w:val="20"/>
        </w:rPr>
        <w:t>Vitthal R. Haramkar</w:t>
      </w:r>
      <w:r w:rsidR="00520A8D">
        <w:rPr>
          <w:rFonts w:ascii="Cambria" w:hAnsi="Cambria" w:cs="Times New Roman"/>
          <w:b/>
          <w:bCs/>
          <w:sz w:val="20"/>
        </w:rPr>
        <w:t>*</w:t>
      </w:r>
      <w:r w:rsidRPr="00520A8D">
        <w:rPr>
          <w:rFonts w:ascii="Cambria" w:hAnsi="Cambria" w:cs="Times New Roman"/>
          <w:sz w:val="20"/>
        </w:rPr>
        <w:t xml:space="preserve"> , </w:t>
      </w:r>
      <w:r w:rsidRPr="00520A8D">
        <w:rPr>
          <w:rFonts w:ascii="Cambria" w:hAnsi="Cambria" w:cs="Times New Roman"/>
          <w:sz w:val="20"/>
          <w:vertAlign w:val="superscript"/>
        </w:rPr>
        <w:t>2</w:t>
      </w:r>
      <w:r w:rsidRPr="00520A8D">
        <w:rPr>
          <w:rFonts w:ascii="Cambria" w:hAnsi="Cambria" w:cs="Times New Roman"/>
          <w:b/>
          <w:bCs/>
          <w:sz w:val="20"/>
        </w:rPr>
        <w:t>Santosh B. Dalavi</w:t>
      </w:r>
      <w:r w:rsidR="007751AF" w:rsidRPr="00520A8D">
        <w:rPr>
          <w:rFonts w:ascii="Cambria" w:hAnsi="Cambria" w:cs="Times New Roman"/>
          <w:b/>
          <w:bCs/>
          <w:sz w:val="20"/>
        </w:rPr>
        <w:t xml:space="preserve">, </w:t>
      </w:r>
      <w:r w:rsidR="007751AF" w:rsidRPr="00520A8D">
        <w:rPr>
          <w:rFonts w:ascii="Cambria" w:hAnsi="Cambria" w:cs="Times New Roman"/>
          <w:b/>
          <w:bCs/>
          <w:sz w:val="20"/>
          <w:vertAlign w:val="superscript"/>
        </w:rPr>
        <w:t>3</w:t>
      </w:r>
      <w:r w:rsidR="007751AF" w:rsidRPr="00520A8D">
        <w:rPr>
          <w:rFonts w:ascii="Cambria" w:hAnsi="Cambria" w:cs="Times New Roman"/>
          <w:b/>
          <w:bCs/>
          <w:sz w:val="20"/>
        </w:rPr>
        <w:t>Irshad Shaikh</w:t>
      </w:r>
    </w:p>
    <w:p w14:paraId="5B63673D" w14:textId="77777777" w:rsidR="00283E01" w:rsidRPr="00520A8D" w:rsidRDefault="00283E01" w:rsidP="00520A8D">
      <w:pPr>
        <w:spacing w:after="0" w:line="360" w:lineRule="auto"/>
        <w:ind w:left="-737"/>
        <w:rPr>
          <w:rFonts w:ascii="Cambria" w:hAnsi="Cambria" w:cs="Times New Roman"/>
          <w:sz w:val="20"/>
        </w:rPr>
      </w:pPr>
    </w:p>
    <w:p w14:paraId="117B4323" w14:textId="11F11587" w:rsidR="00594654" w:rsidRPr="00520A8D" w:rsidRDefault="00594654" w:rsidP="00520A8D">
      <w:pPr>
        <w:spacing w:after="0" w:line="360" w:lineRule="auto"/>
        <w:ind w:left="-737"/>
        <w:rPr>
          <w:rFonts w:ascii="Cambria" w:hAnsi="Cambria" w:cs="Times New Roman"/>
          <w:sz w:val="18"/>
          <w:szCs w:val="18"/>
        </w:rPr>
      </w:pPr>
      <w:r w:rsidRPr="00520A8D">
        <w:rPr>
          <w:rFonts w:ascii="Cambria" w:hAnsi="Cambria" w:cs="Times New Roman"/>
          <w:sz w:val="18"/>
          <w:szCs w:val="18"/>
          <w:vertAlign w:val="superscript"/>
        </w:rPr>
        <w:t>1</w:t>
      </w:r>
      <w:r w:rsidRPr="00520A8D">
        <w:rPr>
          <w:rFonts w:ascii="Cambria" w:hAnsi="Cambria" w:cs="Times New Roman"/>
          <w:sz w:val="18"/>
          <w:szCs w:val="18"/>
        </w:rPr>
        <w:t xml:space="preserve">Junior Resident, </w:t>
      </w:r>
      <w:r w:rsidRPr="00520A8D">
        <w:rPr>
          <w:rFonts w:ascii="Cambria" w:hAnsi="Cambria" w:cs="Times New Roman"/>
          <w:sz w:val="18"/>
          <w:szCs w:val="18"/>
          <w:vertAlign w:val="superscript"/>
        </w:rPr>
        <w:t>2</w:t>
      </w:r>
      <w:r w:rsidRPr="00520A8D">
        <w:rPr>
          <w:rFonts w:ascii="Cambria" w:hAnsi="Cambria" w:cs="Times New Roman"/>
          <w:sz w:val="18"/>
          <w:szCs w:val="18"/>
        </w:rPr>
        <w:t>Associate Professor</w:t>
      </w:r>
      <w:r w:rsidR="007751AF" w:rsidRPr="00520A8D">
        <w:rPr>
          <w:rFonts w:ascii="Cambria" w:hAnsi="Cambria" w:cs="Times New Roman"/>
          <w:sz w:val="18"/>
          <w:szCs w:val="18"/>
        </w:rPr>
        <w:t xml:space="preserve">, </w:t>
      </w:r>
      <w:r w:rsidR="007751AF" w:rsidRPr="00520A8D">
        <w:rPr>
          <w:rFonts w:ascii="Cambria" w:hAnsi="Cambria" w:cs="Times New Roman"/>
          <w:sz w:val="18"/>
          <w:szCs w:val="18"/>
          <w:vertAlign w:val="superscript"/>
        </w:rPr>
        <w:t>3</w:t>
      </w:r>
      <w:r w:rsidR="007751AF" w:rsidRPr="00520A8D">
        <w:rPr>
          <w:rFonts w:ascii="Cambria" w:hAnsi="Cambria" w:cs="Times New Roman"/>
          <w:sz w:val="18"/>
          <w:szCs w:val="18"/>
        </w:rPr>
        <w:t>Junior Resident</w:t>
      </w:r>
    </w:p>
    <w:p w14:paraId="21472AC6" w14:textId="7EF79B1E" w:rsidR="00594654" w:rsidRDefault="00594654" w:rsidP="00520A8D">
      <w:pPr>
        <w:spacing w:after="0" w:line="360" w:lineRule="auto"/>
        <w:ind w:left="-737"/>
        <w:rPr>
          <w:rFonts w:ascii="Cambria" w:hAnsi="Cambria" w:cs="Times New Roman"/>
          <w:sz w:val="18"/>
          <w:szCs w:val="18"/>
        </w:rPr>
      </w:pPr>
      <w:r w:rsidRPr="00520A8D">
        <w:rPr>
          <w:rFonts w:ascii="Cambria" w:hAnsi="Cambria" w:cs="Times New Roman"/>
          <w:sz w:val="18"/>
          <w:szCs w:val="18"/>
        </w:rPr>
        <w:t>Department of General Surgery , Government medical college , Miraj , Maharashtra</w:t>
      </w:r>
    </w:p>
    <w:p w14:paraId="0A7D3304" w14:textId="66BE8C51" w:rsidR="00520A8D" w:rsidRPr="00520A8D" w:rsidRDefault="00520A8D" w:rsidP="00520A8D">
      <w:pPr>
        <w:spacing w:after="0" w:line="360" w:lineRule="auto"/>
        <w:ind w:left="-737"/>
        <w:rPr>
          <w:rFonts w:ascii="Cambria" w:hAnsi="Cambria" w:cs="Times New Roman"/>
          <w:b/>
          <w:sz w:val="18"/>
          <w:szCs w:val="18"/>
        </w:rPr>
      </w:pPr>
      <w:r>
        <w:rPr>
          <w:rFonts w:ascii="Cambria" w:hAnsi="Cambria" w:cs="Times New Roman"/>
          <w:sz w:val="18"/>
          <w:szCs w:val="18"/>
        </w:rPr>
        <w:t>Corresponding author *</w:t>
      </w:r>
    </w:p>
    <w:p w14:paraId="6F946A51" w14:textId="77777777" w:rsidR="00283E01" w:rsidRPr="004F1C00" w:rsidRDefault="00283E01" w:rsidP="004F1C00">
      <w:pPr>
        <w:spacing w:after="0" w:line="360" w:lineRule="auto"/>
        <w:rPr>
          <w:rFonts w:ascii="Times New Roman" w:hAnsi="Times New Roman" w:cs="Times New Roman"/>
          <w:b/>
          <w:bCs/>
          <w:sz w:val="20"/>
        </w:rPr>
        <w:sectPr w:rsidR="00283E01" w:rsidRPr="004F1C00" w:rsidSect="00520A8D">
          <w:headerReference w:type="default" r:id="rId8"/>
          <w:footerReference w:type="default" r:id="rId9"/>
          <w:type w:val="continuous"/>
          <w:pgSz w:w="11906" w:h="16838"/>
          <w:pgMar w:top="554" w:right="1440" w:bottom="1440" w:left="1440" w:header="708" w:footer="708" w:gutter="0"/>
          <w:pgNumType w:start="219"/>
          <w:cols w:space="708"/>
          <w:docGrid w:linePitch="360"/>
        </w:sectPr>
      </w:pPr>
    </w:p>
    <w:p w14:paraId="6D29A519" w14:textId="77777777" w:rsidR="00520A8D" w:rsidRPr="00A668EC" w:rsidRDefault="00520A8D" w:rsidP="00520A8D">
      <w:pPr>
        <w:spacing w:after="0" w:line="360" w:lineRule="auto"/>
        <w:rPr>
          <w:rFonts w:ascii="Cambria" w:eastAsia="Times New Roman" w:hAnsi="Cambria" w:cs="Times New Roman"/>
          <w:bCs/>
          <w:sz w:val="18"/>
          <w:szCs w:val="18"/>
          <w:lang w:val="en-GB" w:eastAsia="en-IN"/>
        </w:rPr>
      </w:pPr>
    </w:p>
    <w:p w14:paraId="71AFA471" w14:textId="77777777" w:rsidR="00520A8D" w:rsidRPr="00A668EC" w:rsidRDefault="00520A8D" w:rsidP="00520A8D">
      <w:pPr>
        <w:spacing w:after="0" w:line="360" w:lineRule="auto"/>
        <w:rPr>
          <w:rFonts w:ascii="Cambria" w:eastAsia="Times New Roman" w:hAnsi="Cambria" w:cs="Times New Roman"/>
          <w:bCs/>
          <w:sz w:val="18"/>
          <w:szCs w:val="18"/>
          <w:lang w:eastAsia="en-IN"/>
        </w:rPr>
      </w:pPr>
      <w:r w:rsidRPr="00A668EC">
        <w:rPr>
          <w:rFonts w:ascii="Cambria" w:eastAsia="Times New Roman" w:hAnsi="Cambria" w:cs="Times New Roman"/>
          <w:bCs/>
          <w:noProof/>
          <w:sz w:val="18"/>
          <w:szCs w:val="18"/>
          <w:lang w:eastAsia="en-IN"/>
        </w:rPr>
        <w:drawing>
          <wp:inline distT="0" distB="0" distL="0" distR="0" wp14:anchorId="22A86174" wp14:editId="30AF5670">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10" cstate="print">
                      <a:biLevel thresh="7500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A668EC">
        <w:rPr>
          <w:rFonts w:ascii="Cambria" w:eastAsia="Times New Roman" w:hAnsi="Cambria" w:cs="Times New Roman"/>
          <w:bCs/>
          <w:noProof/>
          <w:sz w:val="18"/>
          <w:szCs w:val="18"/>
          <w:lang w:eastAsia="en-IN"/>
        </w:rPr>
        <w:drawing>
          <wp:anchor distT="0" distB="0" distL="114300" distR="114300" simplePos="0" relativeHeight="251659264" behindDoc="0" locked="0" layoutInCell="1" allowOverlap="1" wp14:anchorId="5193E279" wp14:editId="3164295B">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A668EC">
        <w:rPr>
          <w:rFonts w:ascii="Cambria" w:eastAsia="Times New Roman" w:hAnsi="Cambria" w:cs="Times New Roman"/>
          <w:bCs/>
          <w:sz w:val="18"/>
          <w:szCs w:val="18"/>
          <w:lang w:eastAsia="en-IN"/>
        </w:rPr>
        <w:br/>
        <w:t>This work is licensed under a Creative Commons Attribution-NonCommercial 4.0 International License</w:t>
      </w:r>
    </w:p>
    <w:p w14:paraId="7A4486B2" w14:textId="7CC9915D" w:rsidR="00520A8D" w:rsidRPr="00A668EC" w:rsidRDefault="00520A8D" w:rsidP="00520A8D">
      <w:pPr>
        <w:spacing w:after="0" w:line="360" w:lineRule="auto"/>
        <w:rPr>
          <w:rFonts w:ascii="Cambria" w:eastAsia="Times New Roman" w:hAnsi="Cambria" w:cs="Times New Roman"/>
          <w:bCs/>
          <w:sz w:val="18"/>
          <w:szCs w:val="18"/>
          <w:lang w:eastAsia="en-IN"/>
        </w:rPr>
      </w:pPr>
      <w:r w:rsidRPr="00A668EC">
        <w:rPr>
          <w:rFonts w:ascii="Cambria" w:eastAsia="Times New Roman" w:hAnsi="Cambria" w:cs="Times New Roman"/>
          <w:bCs/>
          <w:sz w:val="18"/>
          <w:szCs w:val="18"/>
          <w:lang w:eastAsia="en-IN"/>
        </w:rPr>
        <w:t>Date of submission:</w:t>
      </w:r>
      <w:r>
        <w:rPr>
          <w:rFonts w:ascii="Cambria" w:eastAsia="Times New Roman" w:hAnsi="Cambria" w:cs="Times New Roman"/>
          <w:bCs/>
          <w:sz w:val="18"/>
          <w:szCs w:val="18"/>
          <w:lang w:eastAsia="en-IN"/>
        </w:rPr>
        <w:t xml:space="preserve">  7</w:t>
      </w:r>
      <w:r w:rsidRPr="00A668EC">
        <w:rPr>
          <w:rFonts w:ascii="Cambria" w:eastAsia="Times New Roman" w:hAnsi="Cambria" w:cs="Times New Roman"/>
          <w:bCs/>
          <w:sz w:val="18"/>
          <w:szCs w:val="18"/>
          <w:lang w:eastAsia="en-IN"/>
        </w:rPr>
        <w:t xml:space="preserve"> January 2023   </w:t>
      </w:r>
    </w:p>
    <w:p w14:paraId="31F0606A" w14:textId="2F72D17B" w:rsidR="00520A8D" w:rsidRPr="00A668EC" w:rsidRDefault="00520A8D" w:rsidP="00520A8D">
      <w:pPr>
        <w:spacing w:after="0" w:line="360" w:lineRule="auto"/>
        <w:rPr>
          <w:rFonts w:ascii="Cambria" w:eastAsia="Times New Roman" w:hAnsi="Cambria" w:cs="Times New Roman"/>
          <w:bCs/>
          <w:sz w:val="18"/>
          <w:szCs w:val="18"/>
          <w:lang w:eastAsia="en-IN"/>
        </w:rPr>
      </w:pPr>
      <w:r>
        <w:rPr>
          <w:rFonts w:ascii="Cambria" w:eastAsia="Times New Roman" w:hAnsi="Cambria" w:cs="Times New Roman"/>
          <w:bCs/>
          <w:sz w:val="18"/>
          <w:szCs w:val="18"/>
          <w:lang w:eastAsia="en-IN"/>
        </w:rPr>
        <w:t>Date of Final acceptance: 18</w:t>
      </w:r>
      <w:r w:rsidRPr="00A668EC">
        <w:rPr>
          <w:rFonts w:ascii="Cambria" w:eastAsia="Times New Roman" w:hAnsi="Cambria" w:cs="Times New Roman"/>
          <w:bCs/>
          <w:sz w:val="18"/>
          <w:szCs w:val="18"/>
          <w:lang w:eastAsia="en-IN"/>
        </w:rPr>
        <w:t xml:space="preserve"> March 2023  </w:t>
      </w:r>
    </w:p>
    <w:p w14:paraId="6DAF7ED3" w14:textId="77777777" w:rsidR="00520A8D" w:rsidRPr="00A668EC" w:rsidRDefault="00520A8D" w:rsidP="00520A8D">
      <w:pPr>
        <w:spacing w:after="0" w:line="360" w:lineRule="auto"/>
        <w:rPr>
          <w:rFonts w:ascii="Cambria" w:eastAsia="Times New Roman" w:hAnsi="Cambria" w:cs="Times New Roman"/>
          <w:bCs/>
          <w:sz w:val="18"/>
          <w:szCs w:val="18"/>
          <w:lang w:eastAsia="en-IN"/>
        </w:rPr>
      </w:pPr>
      <w:r w:rsidRPr="00A668EC">
        <w:rPr>
          <w:rFonts w:ascii="Cambria" w:eastAsia="Times New Roman" w:hAnsi="Cambria" w:cs="Times New Roman"/>
          <w:bCs/>
          <w:sz w:val="18"/>
          <w:szCs w:val="18"/>
          <w:lang w:eastAsia="en-IN"/>
        </w:rPr>
        <w:t>Date of Publication: 30 March 2023</w:t>
      </w:r>
    </w:p>
    <w:p w14:paraId="00A146F6" w14:textId="77777777" w:rsidR="00520A8D" w:rsidRPr="00A668EC" w:rsidRDefault="00520A8D" w:rsidP="00520A8D">
      <w:pPr>
        <w:spacing w:after="0" w:line="360" w:lineRule="auto"/>
        <w:rPr>
          <w:rFonts w:ascii="Cambria" w:eastAsia="Times New Roman" w:hAnsi="Cambria" w:cs="Times New Roman"/>
          <w:bCs/>
          <w:sz w:val="18"/>
          <w:szCs w:val="18"/>
          <w:lang w:eastAsia="en-IN"/>
        </w:rPr>
      </w:pPr>
      <w:r w:rsidRPr="00A668EC">
        <w:rPr>
          <w:rFonts w:ascii="Cambria" w:eastAsia="Times New Roman" w:hAnsi="Cambria" w:cs="Times New Roman"/>
          <w:bCs/>
          <w:sz w:val="18"/>
          <w:szCs w:val="18"/>
          <w:lang w:eastAsia="en-IN"/>
        </w:rPr>
        <w:t xml:space="preserve">Source of support: Nil </w:t>
      </w:r>
      <w:r w:rsidRPr="00A668EC">
        <w:rPr>
          <w:rFonts w:ascii="Cambria" w:eastAsia="Times New Roman" w:hAnsi="Cambria" w:cs="Times New Roman"/>
          <w:bCs/>
          <w:sz w:val="18"/>
          <w:szCs w:val="18"/>
          <w:lang w:eastAsia="en-IN"/>
        </w:rPr>
        <w:tab/>
      </w:r>
    </w:p>
    <w:p w14:paraId="462C0AD5" w14:textId="77777777" w:rsidR="00520A8D" w:rsidRPr="00A668EC" w:rsidRDefault="00520A8D" w:rsidP="00520A8D">
      <w:pPr>
        <w:spacing w:after="0" w:line="360" w:lineRule="auto"/>
        <w:rPr>
          <w:rFonts w:ascii="Cambria" w:eastAsia="Times New Roman" w:hAnsi="Cambria" w:cs="Times New Roman"/>
          <w:bCs/>
          <w:sz w:val="18"/>
          <w:szCs w:val="18"/>
          <w:lang w:eastAsia="en-IN"/>
        </w:rPr>
      </w:pPr>
      <w:r w:rsidRPr="00A668EC">
        <w:rPr>
          <w:rFonts w:ascii="Cambria" w:eastAsia="Times New Roman" w:hAnsi="Cambria" w:cs="Times New Roman"/>
          <w:bCs/>
          <w:sz w:val="18"/>
          <w:szCs w:val="18"/>
          <w:lang w:eastAsia="en-IN"/>
        </w:rPr>
        <w:t>Conflict of interest: Nil</w:t>
      </w:r>
    </w:p>
    <w:p w14:paraId="79656CB2" w14:textId="77777777" w:rsidR="00520A8D" w:rsidRDefault="00520A8D" w:rsidP="00283E01">
      <w:pPr>
        <w:spacing w:after="0" w:line="360" w:lineRule="auto"/>
        <w:rPr>
          <w:rFonts w:ascii="Times New Roman" w:hAnsi="Times New Roman" w:cs="Times New Roman"/>
          <w:b/>
          <w:bCs/>
          <w:sz w:val="20"/>
          <w:lang w:val="en-US"/>
        </w:rPr>
      </w:pPr>
    </w:p>
    <w:p w14:paraId="399329CE" w14:textId="77777777" w:rsidR="00283E01" w:rsidRPr="00283E01" w:rsidRDefault="00283E01" w:rsidP="00283E01">
      <w:pPr>
        <w:spacing w:after="0" w:line="360" w:lineRule="auto"/>
        <w:rPr>
          <w:rFonts w:ascii="Times New Roman" w:hAnsi="Times New Roman" w:cs="Times New Roman"/>
          <w:b/>
          <w:bCs/>
          <w:sz w:val="20"/>
          <w:lang w:val="en-US"/>
        </w:rPr>
      </w:pPr>
      <w:r w:rsidRPr="00283E01">
        <w:rPr>
          <w:rFonts w:ascii="Times New Roman" w:hAnsi="Times New Roman" w:cs="Times New Roman"/>
          <w:b/>
          <w:bCs/>
          <w:sz w:val="20"/>
          <w:lang w:val="en-US"/>
        </w:rPr>
        <w:t>ABSTRACT</w:t>
      </w:r>
    </w:p>
    <w:p w14:paraId="5DB7A1A5" w14:textId="19761244" w:rsidR="00283E01" w:rsidRDefault="00520A8D" w:rsidP="00283E01">
      <w:pPr>
        <w:spacing w:after="0" w:line="360" w:lineRule="auto"/>
        <w:jc w:val="both"/>
        <w:rPr>
          <w:rFonts w:ascii="Times New Roman" w:hAnsi="Times New Roman" w:cs="Times New Roman"/>
          <w:bCs/>
          <w:sz w:val="18"/>
          <w:szCs w:val="18"/>
        </w:rPr>
      </w:pPr>
      <w:r w:rsidRPr="00520A8D">
        <w:rPr>
          <w:rFonts w:ascii="Times New Roman" w:hAnsi="Times New Roman" w:cs="Times New Roman"/>
          <w:b/>
          <w:bCs/>
          <w:sz w:val="18"/>
          <w:szCs w:val="18"/>
        </w:rPr>
        <w:t>Introduction:</w:t>
      </w:r>
      <w:r>
        <w:rPr>
          <w:rFonts w:ascii="Times New Roman" w:hAnsi="Times New Roman" w:cs="Times New Roman"/>
          <w:bCs/>
          <w:sz w:val="18"/>
          <w:szCs w:val="18"/>
        </w:rPr>
        <w:t xml:space="preserve"> </w:t>
      </w:r>
      <w:r w:rsidR="00283E01" w:rsidRPr="00520A8D">
        <w:rPr>
          <w:rFonts w:ascii="Times New Roman" w:hAnsi="Times New Roman" w:cs="Times New Roman"/>
          <w:bCs/>
          <w:sz w:val="18"/>
          <w:szCs w:val="18"/>
        </w:rPr>
        <w:t xml:space="preserve">Infection is a common cause of morbidity and mortality in burn patients. The skin, our body's natural defence against the outside world, is destroyed by thermal harm. </w:t>
      </w:r>
    </w:p>
    <w:p w14:paraId="6D5AEF0F" w14:textId="77777777" w:rsidR="00520A8D" w:rsidRPr="00520A8D" w:rsidRDefault="00520A8D" w:rsidP="00520A8D">
      <w:pPr>
        <w:spacing w:after="0" w:line="360" w:lineRule="auto"/>
        <w:jc w:val="both"/>
        <w:rPr>
          <w:rFonts w:ascii="Times New Roman" w:hAnsi="Times New Roman" w:cs="Times New Roman"/>
          <w:b/>
          <w:bCs/>
          <w:sz w:val="18"/>
          <w:szCs w:val="18"/>
        </w:rPr>
      </w:pPr>
      <w:r w:rsidRPr="00520A8D">
        <w:rPr>
          <w:rFonts w:ascii="Times New Roman" w:hAnsi="Times New Roman" w:cs="Times New Roman"/>
          <w:b/>
          <w:bCs/>
          <w:sz w:val="18"/>
          <w:szCs w:val="18"/>
        </w:rPr>
        <w:t xml:space="preserve">Material and methods : </w:t>
      </w:r>
      <w:r w:rsidRPr="00520A8D">
        <w:rPr>
          <w:rFonts w:ascii="Times New Roman" w:hAnsi="Times New Roman" w:cs="Times New Roman"/>
          <w:bCs/>
          <w:sz w:val="18"/>
          <w:szCs w:val="18"/>
        </w:rPr>
        <w:t>The present work includes the investigation of 50 burn cases admitted in the Burn Unit of tertiary care hospital, Govt. Medical college and hospital, Miraj and PVPGH Sangli between January 2021 to June 2022 for the duration of 18 months</w:t>
      </w:r>
    </w:p>
    <w:p w14:paraId="549206A9" w14:textId="77777777" w:rsidR="0092698B" w:rsidRPr="00520A8D" w:rsidRDefault="00520A8D" w:rsidP="00520A8D">
      <w:pPr>
        <w:spacing w:after="0" w:line="360" w:lineRule="auto"/>
        <w:jc w:val="both"/>
        <w:rPr>
          <w:rFonts w:ascii="Times New Roman" w:hAnsi="Times New Roman" w:cs="Times New Roman"/>
          <w:bCs/>
          <w:sz w:val="18"/>
          <w:szCs w:val="18"/>
        </w:rPr>
      </w:pPr>
      <w:r w:rsidRPr="00520A8D">
        <w:rPr>
          <w:rFonts w:ascii="Times New Roman" w:hAnsi="Times New Roman" w:cs="Times New Roman"/>
          <w:b/>
          <w:bCs/>
          <w:sz w:val="18"/>
          <w:szCs w:val="18"/>
        </w:rPr>
        <w:t>Results :</w:t>
      </w:r>
      <w:r w:rsidRPr="00520A8D">
        <w:rPr>
          <w:rFonts w:ascii="Times New Roman" w:hAnsi="Times New Roman" w:cs="Times New Roman"/>
          <w:bCs/>
          <w:sz w:val="18"/>
          <w:szCs w:val="18"/>
        </w:rPr>
        <w:t xml:space="preserve"> </w:t>
      </w:r>
      <w:r w:rsidR="008A7B00" w:rsidRPr="00520A8D">
        <w:rPr>
          <w:rFonts w:ascii="Times New Roman" w:hAnsi="Times New Roman" w:cs="Times New Roman"/>
          <w:bCs/>
          <w:sz w:val="18"/>
          <w:szCs w:val="18"/>
        </w:rPr>
        <w:t xml:space="preserve">Out of 66 patients with 0-50% TBSA burns 19 patients had wound contractures (28.78%). </w:t>
      </w:r>
      <w:r w:rsidR="008A7B00" w:rsidRPr="00520A8D">
        <w:rPr>
          <w:rFonts w:ascii="Times New Roman" w:hAnsi="Times New Roman" w:cs="Times New Roman"/>
          <w:bCs/>
          <w:sz w:val="18"/>
          <w:szCs w:val="18"/>
        </w:rPr>
        <w:t>Dressing with topical antibiotics and steroids for partial thickne</w:t>
      </w:r>
      <w:r w:rsidR="008A7B00" w:rsidRPr="00520A8D">
        <w:rPr>
          <w:rFonts w:ascii="Times New Roman" w:hAnsi="Times New Roman" w:cs="Times New Roman"/>
          <w:bCs/>
          <w:sz w:val="18"/>
          <w:szCs w:val="18"/>
        </w:rPr>
        <w:t xml:space="preserve">ss second degree burns used in 12 patients prevented development of fibrosis and wound contractures of the scars. </w:t>
      </w:r>
      <w:r w:rsidRPr="00520A8D">
        <w:rPr>
          <w:rFonts w:ascii="Times New Roman" w:hAnsi="Times New Roman" w:cs="Times New Roman"/>
          <w:bCs/>
          <w:sz w:val="18"/>
          <w:szCs w:val="18"/>
        </w:rPr>
        <w:t xml:space="preserve"> </w:t>
      </w:r>
      <w:r w:rsidR="008A7B00" w:rsidRPr="00520A8D">
        <w:rPr>
          <w:rFonts w:ascii="Times New Roman" w:hAnsi="Times New Roman" w:cs="Times New Roman"/>
          <w:bCs/>
          <w:sz w:val="18"/>
          <w:szCs w:val="18"/>
        </w:rPr>
        <w:t xml:space="preserve">Patients with 0-15% TBSA burns has average duration of hospital stay of 16.6 days. Hydrocolloid dressings used for 0-15% TBSA burns patients </w:t>
      </w:r>
      <w:r w:rsidR="008A7B00" w:rsidRPr="00520A8D">
        <w:rPr>
          <w:rFonts w:ascii="Times New Roman" w:hAnsi="Times New Roman" w:cs="Times New Roman"/>
          <w:bCs/>
          <w:sz w:val="18"/>
          <w:szCs w:val="18"/>
        </w:rPr>
        <w:t>for superficial first and second degree burns showed decrease in average duration of hospital stay (13.38 days).</w:t>
      </w:r>
    </w:p>
    <w:p w14:paraId="0116771C" w14:textId="77777777" w:rsidR="00520A8D" w:rsidRDefault="00520A8D" w:rsidP="00520A8D">
      <w:pPr>
        <w:spacing w:after="0" w:line="360" w:lineRule="auto"/>
        <w:jc w:val="both"/>
        <w:rPr>
          <w:rFonts w:ascii="Times New Roman" w:hAnsi="Times New Roman" w:cs="Times New Roman"/>
          <w:bCs/>
          <w:sz w:val="18"/>
          <w:szCs w:val="18"/>
        </w:rPr>
      </w:pPr>
      <w:r w:rsidRPr="00520A8D">
        <w:rPr>
          <w:rFonts w:ascii="Times New Roman" w:hAnsi="Times New Roman" w:cs="Times New Roman"/>
          <w:b/>
          <w:bCs/>
          <w:sz w:val="18"/>
          <w:szCs w:val="18"/>
        </w:rPr>
        <w:t>Conclusion:</w:t>
      </w:r>
      <w:r w:rsidRPr="00520A8D">
        <w:rPr>
          <w:rFonts w:ascii="Times New Roman" w:hAnsi="Times New Roman" w:cs="Times New Roman"/>
          <w:bCs/>
          <w:sz w:val="18"/>
          <w:szCs w:val="18"/>
        </w:rPr>
        <w:t xml:space="preserve"> The study shows that as the percentage of total body surface area burn increases the mortality increases with 100% mortality above 60% of TBSA burn.</w:t>
      </w:r>
    </w:p>
    <w:p w14:paraId="4B3AB029" w14:textId="25DCEA53" w:rsidR="00520A8D" w:rsidRPr="00520A8D" w:rsidRDefault="00520A8D" w:rsidP="00520A8D">
      <w:pPr>
        <w:spacing w:after="0" w:line="360" w:lineRule="auto"/>
        <w:jc w:val="both"/>
        <w:rPr>
          <w:rFonts w:ascii="Times New Roman" w:hAnsi="Times New Roman" w:cs="Times New Roman"/>
          <w:bCs/>
          <w:sz w:val="18"/>
          <w:szCs w:val="18"/>
        </w:rPr>
      </w:pPr>
      <w:r w:rsidRPr="00520A8D">
        <w:rPr>
          <w:rFonts w:ascii="Times New Roman" w:hAnsi="Times New Roman" w:cs="Times New Roman"/>
          <w:b/>
          <w:bCs/>
          <w:sz w:val="18"/>
          <w:szCs w:val="18"/>
        </w:rPr>
        <w:t>Keywords:</w:t>
      </w:r>
      <w:r>
        <w:rPr>
          <w:rFonts w:ascii="Times New Roman" w:hAnsi="Times New Roman" w:cs="Times New Roman"/>
          <w:bCs/>
          <w:sz w:val="18"/>
          <w:szCs w:val="18"/>
        </w:rPr>
        <w:t xml:space="preserve"> Wound infection, burn patients </w:t>
      </w:r>
    </w:p>
    <w:p w14:paraId="61A78C73" w14:textId="77777777" w:rsidR="00520A8D" w:rsidRDefault="00520A8D" w:rsidP="00283E01">
      <w:pPr>
        <w:spacing w:after="0" w:line="360" w:lineRule="auto"/>
        <w:jc w:val="both"/>
        <w:rPr>
          <w:rFonts w:ascii="Times New Roman" w:hAnsi="Times New Roman" w:cs="Times New Roman"/>
          <w:bCs/>
          <w:sz w:val="18"/>
          <w:szCs w:val="18"/>
        </w:rPr>
      </w:pPr>
    </w:p>
    <w:p w14:paraId="5ED68436" w14:textId="705022AE" w:rsidR="00004036" w:rsidRPr="00283E01" w:rsidRDefault="00004036" w:rsidP="00283E01">
      <w:pPr>
        <w:spacing w:after="0" w:line="360" w:lineRule="auto"/>
        <w:rPr>
          <w:rFonts w:ascii="Times New Roman" w:hAnsi="Times New Roman" w:cs="Times New Roman"/>
          <w:b/>
          <w:bCs/>
          <w:sz w:val="20"/>
        </w:rPr>
      </w:pPr>
      <w:r w:rsidRPr="00283E01">
        <w:rPr>
          <w:rFonts w:ascii="Times New Roman" w:hAnsi="Times New Roman" w:cs="Times New Roman"/>
          <w:b/>
          <w:bCs/>
          <w:sz w:val="20"/>
        </w:rPr>
        <w:t xml:space="preserve">INTRODUCTION </w:t>
      </w:r>
    </w:p>
    <w:p w14:paraId="4F7B86E7" w14:textId="5DBF36A4" w:rsidR="00E2403B" w:rsidRPr="00283E01" w:rsidRDefault="00004036" w:rsidP="00283E01">
      <w:pPr>
        <w:spacing w:after="0" w:line="360" w:lineRule="auto"/>
        <w:jc w:val="both"/>
        <w:rPr>
          <w:rFonts w:ascii="Times New Roman" w:hAnsi="Times New Roman" w:cs="Times New Roman"/>
          <w:sz w:val="20"/>
        </w:rPr>
      </w:pPr>
      <w:r w:rsidRPr="00283E01">
        <w:rPr>
          <w:rFonts w:ascii="Times New Roman" w:hAnsi="Times New Roman" w:cs="Times New Roman"/>
          <w:sz w:val="20"/>
        </w:rPr>
        <w:t>Burn patients are ideal hosts for opportunistic infections.</w:t>
      </w:r>
      <w:r w:rsidRPr="00283E01">
        <w:rPr>
          <w:rFonts w:ascii="Times New Roman" w:hAnsi="Times New Roman" w:cs="Times New Roman"/>
          <w:sz w:val="20"/>
          <w:vertAlign w:val="superscript"/>
        </w:rPr>
        <w:t>1</w:t>
      </w:r>
      <w:r w:rsidRPr="00283E01">
        <w:rPr>
          <w:rFonts w:ascii="Times New Roman" w:hAnsi="Times New Roman" w:cs="Times New Roman"/>
          <w:sz w:val="20"/>
        </w:rPr>
        <w:t xml:space="preserve"> The burn site remains relatively sterile during the first 24 hour; thereafter, colonization of the wound by gram negative bacteria is common.</w:t>
      </w:r>
      <w:r w:rsidRPr="00283E01">
        <w:rPr>
          <w:rFonts w:ascii="Times New Roman" w:hAnsi="Times New Roman" w:cs="Times New Roman"/>
          <w:sz w:val="20"/>
          <w:vertAlign w:val="superscript"/>
        </w:rPr>
        <w:t>2</w:t>
      </w:r>
      <w:r w:rsidRPr="00283E01">
        <w:rPr>
          <w:rFonts w:ascii="Times New Roman" w:hAnsi="Times New Roman" w:cs="Times New Roman"/>
          <w:sz w:val="20"/>
        </w:rPr>
        <w:t xml:space="preserve"> Pseudomonas aeruginosa has emerged as a predominant member of the burn wound flora and in the absence of topical therapy is cultured from the burn injuries of 70% patients by the third week.</w:t>
      </w:r>
      <w:r w:rsidRPr="00283E01">
        <w:rPr>
          <w:rFonts w:ascii="Times New Roman" w:hAnsi="Times New Roman" w:cs="Times New Roman"/>
          <w:sz w:val="20"/>
          <w:vertAlign w:val="superscript"/>
        </w:rPr>
        <w:t>3</w:t>
      </w:r>
      <w:r w:rsidRPr="00283E01">
        <w:rPr>
          <w:rFonts w:ascii="Times New Roman" w:hAnsi="Times New Roman" w:cs="Times New Roman"/>
          <w:sz w:val="20"/>
        </w:rPr>
        <w:t xml:space="preserve"> Microorganisms routinely isolated from burn wounds include aerobic organisms like Staphylococcus aureus, Streptococcus pyogenes, E.coli, Klebsiella spp., Proteus etc., anaerobic organisms like Bacteroides fragilis, Peptostreptococcus, Propionibacterium spp., Fusobacterium.</w:t>
      </w:r>
      <w:r w:rsidRPr="00283E01">
        <w:rPr>
          <w:rFonts w:ascii="Times New Roman" w:hAnsi="Times New Roman" w:cs="Times New Roman"/>
          <w:sz w:val="20"/>
          <w:vertAlign w:val="superscript"/>
        </w:rPr>
        <w:t>4</w:t>
      </w:r>
      <w:r w:rsidRPr="00283E01">
        <w:rPr>
          <w:rFonts w:ascii="Times New Roman" w:hAnsi="Times New Roman" w:cs="Times New Roman"/>
          <w:sz w:val="20"/>
        </w:rPr>
        <w:t xml:space="preserve"> The surface of every burn wound is contaminated to some degree by bacteria.</w:t>
      </w:r>
      <w:r w:rsidRPr="00283E01">
        <w:rPr>
          <w:rFonts w:ascii="Times New Roman" w:hAnsi="Times New Roman" w:cs="Times New Roman"/>
          <w:sz w:val="20"/>
          <w:vertAlign w:val="superscript"/>
        </w:rPr>
        <w:t>5</w:t>
      </w:r>
      <w:r w:rsidRPr="00283E01">
        <w:rPr>
          <w:rFonts w:ascii="Times New Roman" w:hAnsi="Times New Roman" w:cs="Times New Roman"/>
          <w:sz w:val="20"/>
        </w:rPr>
        <w:t xml:space="preserve"> Because of this, surface bacterial growth is routinely monitored in most centers to facilitate management and treatment. It has been found by many investigators that the distribution of various species of bacteria from burn wound surfaces is similar to </w:t>
      </w:r>
      <w:r w:rsidRPr="00283E01">
        <w:rPr>
          <w:rFonts w:ascii="Times New Roman" w:hAnsi="Times New Roman" w:cs="Times New Roman"/>
          <w:sz w:val="20"/>
        </w:rPr>
        <w:lastRenderedPageBreak/>
        <w:t>that from blood specimens.</w:t>
      </w:r>
      <w:r w:rsidRPr="00283E01">
        <w:rPr>
          <w:rFonts w:ascii="Times New Roman" w:hAnsi="Times New Roman" w:cs="Times New Roman"/>
          <w:sz w:val="20"/>
          <w:vertAlign w:val="superscript"/>
        </w:rPr>
        <w:t>6</w:t>
      </w:r>
      <w:r w:rsidR="00115227" w:rsidRPr="00283E01">
        <w:rPr>
          <w:rFonts w:ascii="Times New Roman" w:hAnsi="Times New Roman" w:cs="Times New Roman"/>
          <w:sz w:val="20"/>
        </w:rPr>
        <w:t xml:space="preserve"> </w:t>
      </w:r>
      <w:r w:rsidRPr="00283E01">
        <w:rPr>
          <w:rFonts w:ascii="Times New Roman" w:hAnsi="Times New Roman" w:cs="Times New Roman"/>
          <w:sz w:val="20"/>
        </w:rPr>
        <w:t>Staphylococcus aureus remains a common colonizer and has developed resistance to several anti-microbial agents.</w:t>
      </w:r>
      <w:r w:rsidR="00E2403B" w:rsidRPr="00283E01">
        <w:rPr>
          <w:rFonts w:ascii="Times New Roman" w:hAnsi="Times New Roman" w:cs="Times New Roman"/>
          <w:sz w:val="20"/>
          <w:vertAlign w:val="superscript"/>
        </w:rPr>
        <w:t>7</w:t>
      </w:r>
    </w:p>
    <w:p w14:paraId="3EE944CA" w14:textId="02EBB328" w:rsidR="00004036" w:rsidRPr="00283E01" w:rsidRDefault="00004036" w:rsidP="00283E01">
      <w:pPr>
        <w:spacing w:after="0" w:line="360" w:lineRule="auto"/>
        <w:jc w:val="both"/>
        <w:rPr>
          <w:rFonts w:ascii="Times New Roman" w:hAnsi="Times New Roman" w:cs="Times New Roman"/>
          <w:sz w:val="20"/>
        </w:rPr>
      </w:pPr>
      <w:r w:rsidRPr="00283E01">
        <w:rPr>
          <w:rFonts w:ascii="Times New Roman" w:hAnsi="Times New Roman" w:cs="Times New Roman"/>
          <w:sz w:val="20"/>
        </w:rPr>
        <w:t>The present study is undertaken to study the micro flora in burn wounds and blood of the burn patients from a tertiary care medical hospital.</w:t>
      </w:r>
      <w:r w:rsidR="00E2403B" w:rsidRPr="00283E01">
        <w:rPr>
          <w:rFonts w:ascii="Times New Roman" w:hAnsi="Times New Roman" w:cs="Times New Roman"/>
          <w:sz w:val="20"/>
        </w:rPr>
        <w:t xml:space="preserve"> </w:t>
      </w:r>
      <w:r w:rsidRPr="00283E01">
        <w:rPr>
          <w:rFonts w:ascii="Times New Roman" w:hAnsi="Times New Roman" w:cs="Times New Roman"/>
          <w:sz w:val="20"/>
        </w:rPr>
        <w:t>This study will help to assess the burden of infections at the center and antimicrobial susceptibility testing will help to formulate antibiotic policy for better management of these patients. The objectives of this study were to find out the bacterial profile for post burn infection in pus and blood. And to evaluate the antibiotic sensitivity of organisms cultured and isolated.</w:t>
      </w:r>
    </w:p>
    <w:p w14:paraId="227EA17B" w14:textId="0F5F85AE" w:rsidR="00004036" w:rsidRPr="00283E01" w:rsidRDefault="00004036" w:rsidP="00283E01">
      <w:pPr>
        <w:spacing w:after="0" w:line="360" w:lineRule="auto"/>
        <w:rPr>
          <w:rFonts w:ascii="Times New Roman" w:hAnsi="Times New Roman" w:cs="Times New Roman"/>
          <w:b/>
          <w:bCs/>
          <w:sz w:val="20"/>
        </w:rPr>
      </w:pPr>
      <w:r w:rsidRPr="00283E01">
        <w:rPr>
          <w:rFonts w:ascii="Times New Roman" w:hAnsi="Times New Roman" w:cs="Times New Roman"/>
          <w:b/>
          <w:bCs/>
          <w:sz w:val="20"/>
        </w:rPr>
        <w:t>MATERIAL AND METHODS</w:t>
      </w:r>
    </w:p>
    <w:p w14:paraId="16B8864B" w14:textId="7456F4CE" w:rsidR="00004036" w:rsidRPr="00283E01" w:rsidRDefault="00B2271C" w:rsidP="00283E01">
      <w:pPr>
        <w:spacing w:after="0" w:line="360" w:lineRule="auto"/>
        <w:rPr>
          <w:rFonts w:ascii="Times New Roman" w:hAnsi="Times New Roman" w:cs="Times New Roman"/>
          <w:b/>
          <w:bCs/>
          <w:sz w:val="20"/>
        </w:rPr>
      </w:pPr>
      <w:r w:rsidRPr="00283E01">
        <w:rPr>
          <w:rFonts w:ascii="Times New Roman" w:hAnsi="Times New Roman" w:cs="Times New Roman"/>
          <w:sz w:val="20"/>
        </w:rPr>
        <w:t>The present work includes the investigation of 50 burn cases admitted in the Burn Unit of tertiary care hospital, Govt. Medical college and hospital, Miraj and PVPGH Sangli between January 2021 to June 2022</w:t>
      </w:r>
      <w:r w:rsidR="008C6673" w:rsidRPr="00283E01">
        <w:rPr>
          <w:rFonts w:ascii="Times New Roman" w:hAnsi="Times New Roman" w:cs="Times New Roman"/>
          <w:sz w:val="20"/>
        </w:rPr>
        <w:t xml:space="preserve"> for the duration of 18 months</w:t>
      </w:r>
      <w:r w:rsidRPr="00283E01">
        <w:rPr>
          <w:rFonts w:ascii="Times New Roman" w:hAnsi="Times New Roman" w:cs="Times New Roman"/>
          <w:sz w:val="20"/>
        </w:rPr>
        <w:t xml:space="preserve">. Wound swabs were collected on 3rd and 7th day. A total of 100 wound swabs were collected aseptically and brought to the laboratory. In this study, patients who were </w:t>
      </w:r>
      <w:r w:rsidR="008C6673" w:rsidRPr="00283E01">
        <w:rPr>
          <w:rFonts w:ascii="Times New Roman" w:hAnsi="Times New Roman" w:cs="Times New Roman"/>
          <w:sz w:val="20"/>
        </w:rPr>
        <w:t>between 12 to 80 years of age</w:t>
      </w:r>
      <w:r w:rsidRPr="00283E01">
        <w:rPr>
          <w:rFonts w:ascii="Times New Roman" w:hAnsi="Times New Roman" w:cs="Times New Roman"/>
          <w:sz w:val="20"/>
        </w:rPr>
        <w:t xml:space="preserve"> and either gender were included. </w:t>
      </w:r>
      <w:r w:rsidR="00D2128E" w:rsidRPr="00283E01">
        <w:rPr>
          <w:rFonts w:ascii="Times New Roman" w:hAnsi="Times New Roman" w:cs="Times New Roman"/>
          <w:sz w:val="20"/>
        </w:rPr>
        <w:t xml:space="preserve">Patient of more than 20% burn or less than 20% burn but including facial or genital burns were admitted considered for the study. burns due to heat, electricity, chemicals or radiation whether accidental, suicidal or homicidal were included in the study. </w:t>
      </w:r>
      <w:r w:rsidRPr="00283E01">
        <w:rPr>
          <w:rFonts w:ascii="Times New Roman" w:hAnsi="Times New Roman" w:cs="Times New Roman"/>
          <w:sz w:val="20"/>
        </w:rPr>
        <w:t xml:space="preserve">Adult patients with partial thickness burns less than 10% body surface area were excluded. </w:t>
      </w:r>
      <w:r w:rsidR="008C6673" w:rsidRPr="00283E01">
        <w:rPr>
          <w:rFonts w:ascii="Times New Roman" w:hAnsi="Times New Roman" w:cs="Times New Roman"/>
          <w:sz w:val="20"/>
        </w:rPr>
        <w:t>Immunocompromised p</w:t>
      </w:r>
      <w:r w:rsidRPr="00283E01">
        <w:rPr>
          <w:rFonts w:ascii="Times New Roman" w:hAnsi="Times New Roman" w:cs="Times New Roman"/>
          <w:sz w:val="20"/>
        </w:rPr>
        <w:t>atients with chronic diseases like tuberculosis, diabetes mellitus</w:t>
      </w:r>
      <w:r w:rsidR="008C6673" w:rsidRPr="00283E01">
        <w:rPr>
          <w:rFonts w:ascii="Times New Roman" w:hAnsi="Times New Roman" w:cs="Times New Roman"/>
          <w:sz w:val="20"/>
        </w:rPr>
        <w:t>, HIV</w:t>
      </w:r>
      <w:r w:rsidRPr="00283E01">
        <w:rPr>
          <w:rFonts w:ascii="Times New Roman" w:hAnsi="Times New Roman" w:cs="Times New Roman"/>
          <w:sz w:val="20"/>
        </w:rPr>
        <w:t xml:space="preserve"> were excluded from the study.</w:t>
      </w:r>
    </w:p>
    <w:p w14:paraId="24B6534B" w14:textId="77777777" w:rsidR="00004036" w:rsidRPr="00283E01" w:rsidRDefault="00004036" w:rsidP="00283E01">
      <w:pPr>
        <w:spacing w:after="0" w:line="360" w:lineRule="auto"/>
        <w:jc w:val="both"/>
        <w:rPr>
          <w:rFonts w:ascii="Times New Roman" w:hAnsi="Times New Roman" w:cs="Times New Roman"/>
          <w:b/>
          <w:sz w:val="20"/>
        </w:rPr>
      </w:pPr>
      <w:r w:rsidRPr="00283E01">
        <w:rPr>
          <w:rFonts w:ascii="Times New Roman" w:hAnsi="Times New Roman" w:cs="Times New Roman"/>
          <w:b/>
          <w:sz w:val="20"/>
        </w:rPr>
        <w:t>DETAILED PROCEDURE OF STUDY CONDUCT</w:t>
      </w:r>
    </w:p>
    <w:p w14:paraId="5E55C9F1" w14:textId="13679C4D" w:rsidR="00004036" w:rsidRPr="00283E01" w:rsidRDefault="00004036" w:rsidP="00283E01">
      <w:pPr>
        <w:spacing w:after="0" w:line="360" w:lineRule="auto"/>
        <w:jc w:val="both"/>
        <w:rPr>
          <w:rFonts w:ascii="Times New Roman" w:hAnsi="Times New Roman" w:cs="Times New Roman"/>
          <w:sz w:val="20"/>
        </w:rPr>
      </w:pPr>
      <w:r w:rsidRPr="00283E01">
        <w:rPr>
          <w:rFonts w:ascii="Times New Roman" w:hAnsi="Times New Roman" w:cs="Times New Roman"/>
          <w:sz w:val="20"/>
        </w:rPr>
        <w:t>On admission, the percentage of burns calculated according to Wallace's Rule of 9.</w:t>
      </w:r>
    </w:p>
    <w:p w14:paraId="11869FA7" w14:textId="4CB77367" w:rsidR="00004036" w:rsidRPr="00283E01" w:rsidRDefault="00004036" w:rsidP="00283E01">
      <w:pPr>
        <w:spacing w:after="0" w:line="360" w:lineRule="auto"/>
        <w:jc w:val="both"/>
        <w:rPr>
          <w:rFonts w:ascii="Times New Roman" w:hAnsi="Times New Roman" w:cs="Times New Roman"/>
          <w:sz w:val="20"/>
        </w:rPr>
      </w:pPr>
      <w:r w:rsidRPr="00283E01">
        <w:rPr>
          <w:rFonts w:ascii="Times New Roman" w:hAnsi="Times New Roman" w:cs="Times New Roman"/>
          <w:sz w:val="20"/>
        </w:rPr>
        <w:t xml:space="preserve">‌The patient </w:t>
      </w:r>
      <w:r w:rsidR="003250CF" w:rsidRPr="00283E01">
        <w:rPr>
          <w:rFonts w:ascii="Times New Roman" w:hAnsi="Times New Roman" w:cs="Times New Roman"/>
          <w:sz w:val="20"/>
        </w:rPr>
        <w:t xml:space="preserve">were </w:t>
      </w:r>
      <w:r w:rsidRPr="00283E01">
        <w:rPr>
          <w:rFonts w:ascii="Times New Roman" w:hAnsi="Times New Roman" w:cs="Times New Roman"/>
          <w:sz w:val="20"/>
        </w:rPr>
        <w:t>also categorized according to the degree of burns into superficial, deep or mixed burns.</w:t>
      </w:r>
      <w:r w:rsidR="00C35470" w:rsidRPr="00283E01">
        <w:rPr>
          <w:rFonts w:ascii="Times New Roman" w:hAnsi="Times New Roman" w:cs="Times New Roman"/>
          <w:sz w:val="20"/>
        </w:rPr>
        <w:t xml:space="preserve"> </w:t>
      </w:r>
      <w:r w:rsidRPr="00283E01">
        <w:rPr>
          <w:rFonts w:ascii="Times New Roman" w:hAnsi="Times New Roman" w:cs="Times New Roman"/>
          <w:sz w:val="20"/>
        </w:rPr>
        <w:t>The burn</w:t>
      </w:r>
      <w:r w:rsidR="00D2128E" w:rsidRPr="00283E01">
        <w:rPr>
          <w:rFonts w:ascii="Times New Roman" w:hAnsi="Times New Roman" w:cs="Times New Roman"/>
          <w:sz w:val="20"/>
        </w:rPr>
        <w:t xml:space="preserve"> </w:t>
      </w:r>
      <w:r w:rsidRPr="00283E01">
        <w:rPr>
          <w:rFonts w:ascii="Times New Roman" w:hAnsi="Times New Roman" w:cs="Times New Roman"/>
          <w:sz w:val="20"/>
        </w:rPr>
        <w:t>patients usually present</w:t>
      </w:r>
      <w:r w:rsidR="003250CF" w:rsidRPr="00283E01">
        <w:rPr>
          <w:rFonts w:ascii="Times New Roman" w:hAnsi="Times New Roman" w:cs="Times New Roman"/>
          <w:sz w:val="20"/>
        </w:rPr>
        <w:t>ed</w:t>
      </w:r>
      <w:r w:rsidRPr="00283E01">
        <w:rPr>
          <w:rFonts w:ascii="Times New Roman" w:hAnsi="Times New Roman" w:cs="Times New Roman"/>
          <w:sz w:val="20"/>
        </w:rPr>
        <w:t xml:space="preserve"> in hypovolemic shock so resuscitative management with fluids</w:t>
      </w:r>
      <w:r w:rsidR="003250CF" w:rsidRPr="00283E01">
        <w:rPr>
          <w:rFonts w:ascii="Times New Roman" w:hAnsi="Times New Roman" w:cs="Times New Roman"/>
          <w:sz w:val="20"/>
        </w:rPr>
        <w:t xml:space="preserve"> calculated by Parkland's formula</w:t>
      </w:r>
      <w:r w:rsidRPr="00283E01">
        <w:rPr>
          <w:rFonts w:ascii="Times New Roman" w:hAnsi="Times New Roman" w:cs="Times New Roman"/>
          <w:sz w:val="20"/>
        </w:rPr>
        <w:t xml:space="preserve"> </w:t>
      </w:r>
      <w:r w:rsidR="003250CF" w:rsidRPr="00283E01">
        <w:rPr>
          <w:rFonts w:ascii="Times New Roman" w:hAnsi="Times New Roman" w:cs="Times New Roman"/>
          <w:sz w:val="20"/>
        </w:rPr>
        <w:t>were</w:t>
      </w:r>
      <w:r w:rsidRPr="00283E01">
        <w:rPr>
          <w:rFonts w:ascii="Times New Roman" w:hAnsi="Times New Roman" w:cs="Times New Roman"/>
          <w:sz w:val="20"/>
        </w:rPr>
        <w:t xml:space="preserve"> given.</w:t>
      </w:r>
      <w:r w:rsidR="003250CF" w:rsidRPr="00283E01">
        <w:rPr>
          <w:rFonts w:ascii="Times New Roman" w:hAnsi="Times New Roman" w:cs="Times New Roman"/>
          <w:sz w:val="20"/>
        </w:rPr>
        <w:t xml:space="preserve"> ‌Half of the calculated fluids were given within 8 hours of burn and remaining fluids were given in next 16 hours.</w:t>
      </w:r>
      <w:r w:rsidR="00D2128E" w:rsidRPr="00283E01">
        <w:rPr>
          <w:rFonts w:ascii="Times New Roman" w:hAnsi="Times New Roman" w:cs="Times New Roman"/>
          <w:sz w:val="20"/>
        </w:rPr>
        <w:t xml:space="preserve"> </w:t>
      </w:r>
      <w:r w:rsidRPr="00283E01">
        <w:rPr>
          <w:rFonts w:ascii="Times New Roman" w:hAnsi="Times New Roman" w:cs="Times New Roman"/>
          <w:sz w:val="20"/>
        </w:rPr>
        <w:t xml:space="preserve">Cleaning and dressing of the patient </w:t>
      </w:r>
      <w:r w:rsidR="003250CF" w:rsidRPr="00283E01">
        <w:rPr>
          <w:rFonts w:ascii="Times New Roman" w:hAnsi="Times New Roman" w:cs="Times New Roman"/>
          <w:sz w:val="20"/>
        </w:rPr>
        <w:t xml:space="preserve">was </w:t>
      </w:r>
      <w:r w:rsidRPr="00283E01">
        <w:rPr>
          <w:rFonts w:ascii="Times New Roman" w:hAnsi="Times New Roman" w:cs="Times New Roman"/>
          <w:sz w:val="20"/>
        </w:rPr>
        <w:t>done with silver sulfadiazine. And patient will be covered with warm cloths to prevent hypothermia.</w:t>
      </w:r>
      <w:r w:rsidR="003250CF" w:rsidRPr="00283E01">
        <w:rPr>
          <w:rFonts w:ascii="Times New Roman" w:hAnsi="Times New Roman" w:cs="Times New Roman"/>
          <w:sz w:val="20"/>
        </w:rPr>
        <w:t xml:space="preserve"> Daily dressings with eusol will be done.</w:t>
      </w:r>
    </w:p>
    <w:p w14:paraId="10BDDE5D" w14:textId="08E3E6C1" w:rsidR="00004036" w:rsidRPr="00283E01" w:rsidRDefault="00004036" w:rsidP="00283E01">
      <w:pPr>
        <w:spacing w:after="0" w:line="360" w:lineRule="auto"/>
        <w:jc w:val="both"/>
        <w:rPr>
          <w:rFonts w:ascii="Times New Roman" w:hAnsi="Times New Roman" w:cs="Times New Roman"/>
          <w:sz w:val="20"/>
        </w:rPr>
      </w:pPr>
      <w:r w:rsidRPr="00283E01">
        <w:rPr>
          <w:rFonts w:ascii="Times New Roman" w:hAnsi="Times New Roman" w:cs="Times New Roman"/>
          <w:sz w:val="20"/>
        </w:rPr>
        <w:t>Blood samples for complete blood count, renal function tests, HIV, HbSAg will be taken on 1st day.</w:t>
      </w:r>
      <w:r w:rsidR="003250CF" w:rsidRPr="00283E01">
        <w:rPr>
          <w:rFonts w:ascii="Times New Roman" w:hAnsi="Times New Roman" w:cs="Times New Roman"/>
          <w:sz w:val="20"/>
        </w:rPr>
        <w:t xml:space="preserve"> </w:t>
      </w:r>
      <w:r w:rsidRPr="00283E01">
        <w:rPr>
          <w:rFonts w:ascii="Times New Roman" w:hAnsi="Times New Roman" w:cs="Times New Roman"/>
          <w:sz w:val="20"/>
        </w:rPr>
        <w:t xml:space="preserve">Blood transfusion with packed cell volume and/or fresh frozen plasma according to the CBC status </w:t>
      </w:r>
      <w:r w:rsidR="003250CF" w:rsidRPr="00283E01">
        <w:rPr>
          <w:rFonts w:ascii="Times New Roman" w:hAnsi="Times New Roman" w:cs="Times New Roman"/>
          <w:sz w:val="20"/>
        </w:rPr>
        <w:t>were</w:t>
      </w:r>
      <w:r w:rsidRPr="00283E01">
        <w:rPr>
          <w:rFonts w:ascii="Times New Roman" w:hAnsi="Times New Roman" w:cs="Times New Roman"/>
          <w:sz w:val="20"/>
        </w:rPr>
        <w:t xml:space="preserve"> given.</w:t>
      </w:r>
      <w:r w:rsidR="00D2128E" w:rsidRPr="00283E01">
        <w:rPr>
          <w:rFonts w:ascii="Times New Roman" w:hAnsi="Times New Roman" w:cs="Times New Roman"/>
          <w:sz w:val="20"/>
        </w:rPr>
        <w:t xml:space="preserve"> </w:t>
      </w:r>
      <w:r w:rsidRPr="00283E01">
        <w:rPr>
          <w:rFonts w:ascii="Times New Roman" w:hAnsi="Times New Roman" w:cs="Times New Roman"/>
          <w:sz w:val="20"/>
        </w:rPr>
        <w:t xml:space="preserve">On 3rd day of admission the blood sample for blood culture sensitivity </w:t>
      </w:r>
      <w:r w:rsidR="003250CF" w:rsidRPr="00283E01">
        <w:rPr>
          <w:rFonts w:ascii="Times New Roman" w:hAnsi="Times New Roman" w:cs="Times New Roman"/>
          <w:sz w:val="20"/>
        </w:rPr>
        <w:t>were</w:t>
      </w:r>
      <w:r w:rsidRPr="00283E01">
        <w:rPr>
          <w:rFonts w:ascii="Times New Roman" w:hAnsi="Times New Roman" w:cs="Times New Roman"/>
          <w:sz w:val="20"/>
        </w:rPr>
        <w:t xml:space="preserve"> taken. Simultaneously the urine sample and swab from the wound </w:t>
      </w:r>
      <w:r w:rsidR="003250CF" w:rsidRPr="00283E01">
        <w:rPr>
          <w:rFonts w:ascii="Times New Roman" w:hAnsi="Times New Roman" w:cs="Times New Roman"/>
          <w:sz w:val="20"/>
        </w:rPr>
        <w:t>were also</w:t>
      </w:r>
      <w:r w:rsidRPr="00283E01">
        <w:rPr>
          <w:rFonts w:ascii="Times New Roman" w:hAnsi="Times New Roman" w:cs="Times New Roman"/>
          <w:sz w:val="20"/>
        </w:rPr>
        <w:t xml:space="preserve"> taken for the culture sensitivity to start appropriate antibiotics.</w:t>
      </w:r>
      <w:r w:rsidR="003250CF" w:rsidRPr="00283E01">
        <w:rPr>
          <w:rFonts w:ascii="Times New Roman" w:hAnsi="Times New Roman" w:cs="Times New Roman"/>
          <w:sz w:val="20"/>
        </w:rPr>
        <w:t xml:space="preserve"> T</w:t>
      </w:r>
      <w:r w:rsidRPr="00283E01">
        <w:rPr>
          <w:rFonts w:ascii="Times New Roman" w:hAnsi="Times New Roman" w:cs="Times New Roman"/>
          <w:sz w:val="20"/>
        </w:rPr>
        <w:t xml:space="preserve">he blood samples for detailed liver function tests (LFTs) </w:t>
      </w:r>
      <w:r w:rsidR="003250CF" w:rsidRPr="00283E01">
        <w:rPr>
          <w:rFonts w:ascii="Times New Roman" w:hAnsi="Times New Roman" w:cs="Times New Roman"/>
          <w:sz w:val="20"/>
        </w:rPr>
        <w:t>were</w:t>
      </w:r>
      <w:r w:rsidRPr="00283E01">
        <w:rPr>
          <w:rFonts w:ascii="Times New Roman" w:hAnsi="Times New Roman" w:cs="Times New Roman"/>
          <w:sz w:val="20"/>
        </w:rPr>
        <w:t xml:space="preserve"> sent to know the serum protein levels.</w:t>
      </w:r>
      <w:r w:rsidR="003250CF" w:rsidRPr="00283E01">
        <w:rPr>
          <w:rFonts w:ascii="Times New Roman" w:hAnsi="Times New Roman" w:cs="Times New Roman"/>
          <w:sz w:val="20"/>
        </w:rPr>
        <w:t xml:space="preserve"> </w:t>
      </w:r>
      <w:r w:rsidRPr="00283E01">
        <w:rPr>
          <w:rFonts w:ascii="Times New Roman" w:hAnsi="Times New Roman" w:cs="Times New Roman"/>
          <w:sz w:val="20"/>
        </w:rPr>
        <w:t xml:space="preserve">According to the culture sensitivity report the appropriate antibiotics </w:t>
      </w:r>
      <w:r w:rsidR="003250CF" w:rsidRPr="00283E01">
        <w:rPr>
          <w:rFonts w:ascii="Times New Roman" w:hAnsi="Times New Roman" w:cs="Times New Roman"/>
          <w:sz w:val="20"/>
        </w:rPr>
        <w:t>were</w:t>
      </w:r>
      <w:r w:rsidRPr="00283E01">
        <w:rPr>
          <w:rFonts w:ascii="Times New Roman" w:hAnsi="Times New Roman" w:cs="Times New Roman"/>
          <w:sz w:val="20"/>
        </w:rPr>
        <w:t xml:space="preserve"> started for 7</w:t>
      </w:r>
      <w:r w:rsidR="003250CF" w:rsidRPr="00283E01">
        <w:rPr>
          <w:rFonts w:ascii="Times New Roman" w:hAnsi="Times New Roman" w:cs="Times New Roman"/>
          <w:sz w:val="20"/>
        </w:rPr>
        <w:t xml:space="preserve"> </w:t>
      </w:r>
      <w:r w:rsidRPr="00283E01">
        <w:rPr>
          <w:rFonts w:ascii="Times New Roman" w:hAnsi="Times New Roman" w:cs="Times New Roman"/>
          <w:sz w:val="20"/>
        </w:rPr>
        <w:t>days.</w:t>
      </w:r>
      <w:r w:rsidR="003250CF" w:rsidRPr="00283E01">
        <w:rPr>
          <w:rFonts w:ascii="Times New Roman" w:hAnsi="Times New Roman" w:cs="Times New Roman"/>
          <w:sz w:val="20"/>
        </w:rPr>
        <w:t xml:space="preserve"> </w:t>
      </w:r>
      <w:r w:rsidRPr="00283E01">
        <w:rPr>
          <w:rFonts w:ascii="Times New Roman" w:hAnsi="Times New Roman" w:cs="Times New Roman"/>
          <w:sz w:val="20"/>
        </w:rPr>
        <w:t xml:space="preserve">‌Blood investigations like CBC, RFT </w:t>
      </w:r>
      <w:r w:rsidR="003250CF" w:rsidRPr="00283E01">
        <w:rPr>
          <w:rFonts w:ascii="Times New Roman" w:hAnsi="Times New Roman" w:cs="Times New Roman"/>
          <w:sz w:val="20"/>
        </w:rPr>
        <w:t>were</w:t>
      </w:r>
      <w:r w:rsidRPr="00283E01">
        <w:rPr>
          <w:rFonts w:ascii="Times New Roman" w:hAnsi="Times New Roman" w:cs="Times New Roman"/>
          <w:sz w:val="20"/>
        </w:rPr>
        <w:t xml:space="preserve"> repeated after every 3 days.</w:t>
      </w:r>
      <w:r w:rsidR="003250CF" w:rsidRPr="00283E01">
        <w:rPr>
          <w:rFonts w:ascii="Times New Roman" w:hAnsi="Times New Roman" w:cs="Times New Roman"/>
          <w:sz w:val="20"/>
        </w:rPr>
        <w:t xml:space="preserve"> </w:t>
      </w:r>
      <w:r w:rsidRPr="00283E01">
        <w:rPr>
          <w:rFonts w:ascii="Times New Roman" w:hAnsi="Times New Roman" w:cs="Times New Roman"/>
          <w:sz w:val="20"/>
        </w:rPr>
        <w:t>Blood and swab cultures repeated after 7 days.</w:t>
      </w:r>
      <w:r w:rsidR="003250CF" w:rsidRPr="00283E01">
        <w:rPr>
          <w:rFonts w:ascii="Times New Roman" w:hAnsi="Times New Roman" w:cs="Times New Roman"/>
          <w:sz w:val="20"/>
        </w:rPr>
        <w:t xml:space="preserve"> </w:t>
      </w:r>
      <w:r w:rsidRPr="00283E01">
        <w:rPr>
          <w:rFonts w:ascii="Times New Roman" w:hAnsi="Times New Roman" w:cs="Times New Roman"/>
          <w:sz w:val="20"/>
        </w:rPr>
        <w:t xml:space="preserve">Wound assessment for slough formation </w:t>
      </w:r>
      <w:r w:rsidR="003250CF" w:rsidRPr="00283E01">
        <w:rPr>
          <w:rFonts w:ascii="Times New Roman" w:hAnsi="Times New Roman" w:cs="Times New Roman"/>
          <w:sz w:val="20"/>
        </w:rPr>
        <w:t>was</w:t>
      </w:r>
      <w:r w:rsidRPr="00283E01">
        <w:rPr>
          <w:rFonts w:ascii="Times New Roman" w:hAnsi="Times New Roman" w:cs="Times New Roman"/>
          <w:sz w:val="20"/>
        </w:rPr>
        <w:t xml:space="preserve"> done.</w:t>
      </w:r>
      <w:r w:rsidR="003250CF" w:rsidRPr="00283E01">
        <w:rPr>
          <w:rFonts w:ascii="Times New Roman" w:hAnsi="Times New Roman" w:cs="Times New Roman"/>
          <w:sz w:val="20"/>
        </w:rPr>
        <w:t xml:space="preserve"> </w:t>
      </w:r>
      <w:r w:rsidRPr="00283E01">
        <w:rPr>
          <w:rFonts w:ascii="Times New Roman" w:hAnsi="Times New Roman" w:cs="Times New Roman"/>
          <w:sz w:val="20"/>
        </w:rPr>
        <w:t>Treatment options for wound care like eusol dressing, silver sulfadiazine dressing, honey dressing, escharotomy, topical antibiotics with steroids, early excision with skin grafting w</w:t>
      </w:r>
      <w:r w:rsidR="003250CF" w:rsidRPr="00283E01">
        <w:rPr>
          <w:rFonts w:ascii="Times New Roman" w:hAnsi="Times New Roman" w:cs="Times New Roman"/>
          <w:sz w:val="20"/>
        </w:rPr>
        <w:t>ere</w:t>
      </w:r>
      <w:r w:rsidRPr="00283E01">
        <w:rPr>
          <w:rFonts w:ascii="Times New Roman" w:hAnsi="Times New Roman" w:cs="Times New Roman"/>
          <w:sz w:val="20"/>
        </w:rPr>
        <w:t xml:space="preserve"> considered for the treatment and study. </w:t>
      </w:r>
    </w:p>
    <w:p w14:paraId="5B2BE9CE" w14:textId="77777777" w:rsidR="00004036" w:rsidRPr="00283E01" w:rsidRDefault="00004036" w:rsidP="00283E01">
      <w:pPr>
        <w:spacing w:after="0" w:line="360" w:lineRule="auto"/>
        <w:rPr>
          <w:rFonts w:ascii="Times New Roman" w:hAnsi="Times New Roman" w:cs="Times New Roman"/>
          <w:sz w:val="20"/>
        </w:rPr>
      </w:pPr>
    </w:p>
    <w:p w14:paraId="3A905CB3" w14:textId="77777777" w:rsidR="00BA210D" w:rsidRPr="00283E01" w:rsidRDefault="00BA210D" w:rsidP="00283E01">
      <w:pPr>
        <w:spacing w:after="0" w:line="360" w:lineRule="auto"/>
        <w:rPr>
          <w:rFonts w:ascii="Times New Roman" w:hAnsi="Times New Roman" w:cs="Times New Roman"/>
          <w:b/>
          <w:bCs/>
          <w:sz w:val="20"/>
        </w:rPr>
        <w:sectPr w:rsidR="00BA210D" w:rsidRPr="00283E01" w:rsidSect="004F1C00">
          <w:type w:val="continuous"/>
          <w:pgSz w:w="11906" w:h="16838"/>
          <w:pgMar w:top="554" w:right="720" w:bottom="720" w:left="720" w:header="708" w:footer="708" w:gutter="0"/>
          <w:cols w:space="708"/>
          <w:docGrid w:linePitch="360"/>
        </w:sectPr>
      </w:pPr>
    </w:p>
    <w:p w14:paraId="5FF9AE96" w14:textId="77777777" w:rsidR="00D6417D" w:rsidRDefault="00D6417D" w:rsidP="00283E01">
      <w:pPr>
        <w:spacing w:after="0" w:line="360" w:lineRule="auto"/>
        <w:rPr>
          <w:rFonts w:ascii="Times New Roman" w:hAnsi="Times New Roman" w:cs="Times New Roman"/>
          <w:b/>
          <w:bCs/>
          <w:sz w:val="20"/>
        </w:rPr>
      </w:pPr>
    </w:p>
    <w:p w14:paraId="08ABAA08" w14:textId="77777777" w:rsidR="00D6417D" w:rsidRDefault="00D6417D" w:rsidP="00283E01">
      <w:pPr>
        <w:spacing w:after="0" w:line="360" w:lineRule="auto"/>
        <w:rPr>
          <w:rFonts w:ascii="Times New Roman" w:hAnsi="Times New Roman" w:cs="Times New Roman"/>
          <w:b/>
          <w:bCs/>
          <w:sz w:val="20"/>
        </w:rPr>
      </w:pPr>
    </w:p>
    <w:p w14:paraId="3CA699D9" w14:textId="77777777" w:rsidR="00D6417D" w:rsidRDefault="00D6417D" w:rsidP="00283E01">
      <w:pPr>
        <w:spacing w:after="0" w:line="360" w:lineRule="auto"/>
        <w:rPr>
          <w:rFonts w:ascii="Times New Roman" w:hAnsi="Times New Roman" w:cs="Times New Roman"/>
          <w:b/>
          <w:bCs/>
          <w:sz w:val="20"/>
        </w:rPr>
      </w:pPr>
    </w:p>
    <w:p w14:paraId="5E68E25C" w14:textId="77777777" w:rsidR="00D6417D" w:rsidRDefault="00D6417D" w:rsidP="00283E01">
      <w:pPr>
        <w:spacing w:after="0" w:line="360" w:lineRule="auto"/>
        <w:rPr>
          <w:rFonts w:ascii="Times New Roman" w:hAnsi="Times New Roman" w:cs="Times New Roman"/>
          <w:b/>
          <w:bCs/>
          <w:sz w:val="20"/>
        </w:rPr>
      </w:pPr>
    </w:p>
    <w:p w14:paraId="78C0DD07" w14:textId="77777777" w:rsidR="00D6417D" w:rsidRDefault="00D6417D" w:rsidP="00283E01">
      <w:pPr>
        <w:spacing w:after="0" w:line="360" w:lineRule="auto"/>
        <w:rPr>
          <w:rFonts w:ascii="Times New Roman" w:hAnsi="Times New Roman" w:cs="Times New Roman"/>
          <w:b/>
          <w:bCs/>
          <w:sz w:val="20"/>
        </w:rPr>
      </w:pPr>
    </w:p>
    <w:p w14:paraId="19EC4E2E" w14:textId="77777777" w:rsidR="00D6417D" w:rsidRDefault="00D6417D" w:rsidP="00283E01">
      <w:pPr>
        <w:spacing w:after="0" w:line="360" w:lineRule="auto"/>
        <w:rPr>
          <w:rFonts w:ascii="Times New Roman" w:hAnsi="Times New Roman" w:cs="Times New Roman"/>
          <w:b/>
          <w:bCs/>
          <w:sz w:val="20"/>
        </w:rPr>
      </w:pPr>
    </w:p>
    <w:p w14:paraId="197FFF20" w14:textId="77777777" w:rsidR="00D6417D" w:rsidRDefault="00D6417D" w:rsidP="00283E01">
      <w:pPr>
        <w:spacing w:after="0" w:line="360" w:lineRule="auto"/>
        <w:rPr>
          <w:rFonts w:ascii="Times New Roman" w:hAnsi="Times New Roman" w:cs="Times New Roman"/>
          <w:b/>
          <w:bCs/>
          <w:sz w:val="20"/>
        </w:rPr>
      </w:pPr>
    </w:p>
    <w:p w14:paraId="5E6B1BE1" w14:textId="77777777" w:rsidR="00D6417D" w:rsidRDefault="00D6417D" w:rsidP="00283E01">
      <w:pPr>
        <w:spacing w:after="0" w:line="360" w:lineRule="auto"/>
        <w:rPr>
          <w:rFonts w:ascii="Times New Roman" w:hAnsi="Times New Roman" w:cs="Times New Roman"/>
          <w:b/>
          <w:bCs/>
          <w:sz w:val="20"/>
        </w:rPr>
      </w:pPr>
    </w:p>
    <w:p w14:paraId="5086B41F" w14:textId="6AB7C9D5" w:rsidR="00004036" w:rsidRPr="00283E01" w:rsidRDefault="00004036" w:rsidP="00283E01">
      <w:pPr>
        <w:spacing w:after="0" w:line="360" w:lineRule="auto"/>
        <w:rPr>
          <w:rFonts w:ascii="Times New Roman" w:hAnsi="Times New Roman" w:cs="Times New Roman"/>
          <w:b/>
          <w:bCs/>
          <w:sz w:val="20"/>
        </w:rPr>
      </w:pPr>
      <w:r w:rsidRPr="00283E01">
        <w:rPr>
          <w:rFonts w:ascii="Times New Roman" w:hAnsi="Times New Roman" w:cs="Times New Roman"/>
          <w:b/>
          <w:bCs/>
          <w:sz w:val="20"/>
        </w:rPr>
        <w:t xml:space="preserve">OBERVATIONS AND RESULTS </w:t>
      </w:r>
    </w:p>
    <w:p w14:paraId="5DABC73F" w14:textId="77777777" w:rsidR="00E417AF" w:rsidRPr="00283E01" w:rsidRDefault="00E417AF" w:rsidP="00D6417D">
      <w:pPr>
        <w:spacing w:after="0" w:line="360" w:lineRule="auto"/>
        <w:rPr>
          <w:rFonts w:ascii="Times New Roman" w:hAnsi="Times New Roman" w:cs="Times New Roman"/>
          <w:sz w:val="20"/>
        </w:rPr>
        <w:sectPr w:rsidR="00E417AF" w:rsidRPr="00283E01" w:rsidSect="000C1CCD">
          <w:type w:val="continuous"/>
          <w:pgSz w:w="11906" w:h="16838"/>
          <w:pgMar w:top="720" w:right="720" w:bottom="720" w:left="720" w:header="708" w:footer="708" w:gutter="0"/>
          <w:cols w:space="708"/>
          <w:docGrid w:linePitch="360"/>
        </w:sectPr>
      </w:pPr>
    </w:p>
    <w:p w14:paraId="0597E829" w14:textId="6524DEF8" w:rsidR="00004036" w:rsidRPr="00283E01" w:rsidRDefault="00717EC1" w:rsidP="00283E01">
      <w:pPr>
        <w:spacing w:after="0" w:line="360" w:lineRule="auto"/>
        <w:ind w:firstLine="720"/>
        <w:rPr>
          <w:rFonts w:ascii="Times New Roman" w:hAnsi="Times New Roman" w:cs="Times New Roman"/>
          <w:sz w:val="20"/>
        </w:rPr>
      </w:pPr>
      <w:r w:rsidRPr="00283E01">
        <w:rPr>
          <w:rFonts w:ascii="Times New Roman" w:hAnsi="Times New Roman" w:cs="Times New Roman"/>
          <w:sz w:val="20"/>
        </w:rPr>
        <w:t>P</w:t>
      </w:r>
      <w:r w:rsidR="00004036" w:rsidRPr="00283E01">
        <w:rPr>
          <w:rFonts w:ascii="Times New Roman" w:hAnsi="Times New Roman" w:cs="Times New Roman"/>
          <w:sz w:val="20"/>
        </w:rPr>
        <w:t>atients with age from 18 to 80 years were grouped according to the age. The total number of patients, number of male and female patients in these age groups are as follows.</w:t>
      </w:r>
      <w:r w:rsidR="004F6990" w:rsidRPr="00283E01">
        <w:rPr>
          <w:rFonts w:ascii="Times New Roman" w:hAnsi="Times New Roman" w:cs="Times New Roman"/>
          <w:sz w:val="20"/>
        </w:rPr>
        <w:t xml:space="preserve"> </w:t>
      </w:r>
      <w:r w:rsidR="00004036" w:rsidRPr="00283E01">
        <w:rPr>
          <w:rFonts w:ascii="Times New Roman" w:hAnsi="Times New Roman" w:cs="Times New Roman"/>
          <w:sz w:val="20"/>
        </w:rPr>
        <w:t>The highest number of patients (28.68%) were admitted from age group of 21 to 30 years.</w:t>
      </w:r>
    </w:p>
    <w:p w14:paraId="184DB830" w14:textId="1C4A710E" w:rsidR="00004036" w:rsidRPr="00283E01" w:rsidRDefault="00283E01" w:rsidP="00283E01">
      <w:pPr>
        <w:spacing w:after="0" w:line="360" w:lineRule="auto"/>
        <w:rPr>
          <w:rFonts w:ascii="Times New Roman" w:hAnsi="Times New Roman" w:cs="Times New Roman"/>
          <w:b/>
          <w:bCs/>
          <w:sz w:val="20"/>
        </w:rPr>
      </w:pPr>
      <w:r>
        <w:rPr>
          <w:rFonts w:ascii="Times New Roman" w:hAnsi="Times New Roman" w:cs="Times New Roman"/>
          <w:b/>
          <w:bCs/>
          <w:sz w:val="20"/>
        </w:rPr>
        <w:t>Fig. 1</w:t>
      </w:r>
      <w:r w:rsidR="00004036" w:rsidRPr="00283E01">
        <w:rPr>
          <w:rFonts w:ascii="Times New Roman" w:hAnsi="Times New Roman" w:cs="Times New Roman"/>
          <w:b/>
          <w:bCs/>
          <w:sz w:val="20"/>
        </w:rPr>
        <w:t xml:space="preserve"> : Sex wise incidence of burns in different age groups</w:t>
      </w:r>
    </w:p>
    <w:p w14:paraId="7EE63909" w14:textId="08FD4F7D" w:rsidR="00004036" w:rsidRPr="00283E01" w:rsidRDefault="00004036" w:rsidP="00283E01">
      <w:pPr>
        <w:spacing w:after="0" w:line="360" w:lineRule="auto"/>
        <w:rPr>
          <w:rFonts w:ascii="Times New Roman" w:hAnsi="Times New Roman" w:cs="Times New Roman"/>
          <w:b/>
          <w:bCs/>
          <w:sz w:val="20"/>
        </w:rPr>
      </w:pPr>
      <w:r w:rsidRPr="00283E01">
        <w:rPr>
          <w:rFonts w:ascii="Times New Roman" w:hAnsi="Times New Roman" w:cs="Times New Roman"/>
          <w:noProof/>
          <w:sz w:val="20"/>
          <w:lang w:eastAsia="en-IN" w:bidi="ar-SA"/>
        </w:rPr>
        <w:drawing>
          <wp:inline distT="0" distB="0" distL="0" distR="0" wp14:anchorId="51FFB6E6" wp14:editId="51356824">
            <wp:extent cx="3257550" cy="2032000"/>
            <wp:effectExtent l="0" t="0" r="0" b="6350"/>
            <wp:docPr id="30" name="Chart 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3C0F0C1-174A-3E2C-B327-7A1D44C113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7CAA5E" w14:textId="208FEDE5" w:rsidR="00004036" w:rsidRPr="00283E01" w:rsidRDefault="00004036" w:rsidP="00283E01">
      <w:pPr>
        <w:spacing w:after="0" w:line="360" w:lineRule="auto"/>
        <w:rPr>
          <w:rFonts w:ascii="Times New Roman" w:hAnsi="Times New Roman" w:cs="Times New Roman"/>
          <w:b/>
          <w:bCs/>
          <w:sz w:val="20"/>
        </w:rPr>
      </w:pPr>
      <w:r w:rsidRPr="00283E01">
        <w:rPr>
          <w:rFonts w:ascii="Times New Roman" w:hAnsi="Times New Roman" w:cs="Times New Roman"/>
          <w:sz w:val="20"/>
        </w:rPr>
        <w:t>Study shows maximum number of both accidental and suicidal injuries in the age group of 21 to 30 years. And decrease in the incidence of accidental injuries in following age groups above 30 years of age.</w:t>
      </w:r>
    </w:p>
    <w:p w14:paraId="09E54DDD" w14:textId="353BBF64" w:rsidR="00004036" w:rsidRPr="00283E01" w:rsidRDefault="00004036" w:rsidP="00283E01">
      <w:pPr>
        <w:spacing w:after="0" w:line="360" w:lineRule="auto"/>
        <w:rPr>
          <w:rFonts w:ascii="Times New Roman" w:hAnsi="Times New Roman" w:cs="Times New Roman"/>
          <w:b/>
          <w:bCs/>
          <w:sz w:val="20"/>
        </w:rPr>
      </w:pPr>
      <w:r w:rsidRPr="00283E01">
        <w:rPr>
          <w:rFonts w:ascii="Times New Roman" w:hAnsi="Times New Roman" w:cs="Times New Roman"/>
          <w:b/>
          <w:bCs/>
          <w:sz w:val="20"/>
        </w:rPr>
        <w:t>Mode of Burns</w:t>
      </w:r>
      <w:r w:rsidR="00902BA9" w:rsidRPr="00283E01">
        <w:rPr>
          <w:rFonts w:ascii="Times New Roman" w:hAnsi="Times New Roman" w:cs="Times New Roman"/>
          <w:b/>
          <w:bCs/>
          <w:sz w:val="20"/>
        </w:rPr>
        <w:t xml:space="preserve"> : </w:t>
      </w:r>
      <w:r w:rsidRPr="00283E01">
        <w:rPr>
          <w:rFonts w:ascii="Times New Roman" w:hAnsi="Times New Roman" w:cs="Times New Roman"/>
          <w:sz w:val="20"/>
        </w:rPr>
        <w:t>Study shows maximum burn injuries occurred due to flame burns with 62% incidence. Followed by Scald burns with incidence of 29%.  In this study out of 129 patients only one case of burns due to lightening.</w:t>
      </w:r>
    </w:p>
    <w:p w14:paraId="4B32DB71" w14:textId="6135FB59" w:rsidR="00004036" w:rsidRPr="00283E01" w:rsidRDefault="00283E01" w:rsidP="00283E01">
      <w:pPr>
        <w:spacing w:after="0" w:line="360" w:lineRule="auto"/>
        <w:rPr>
          <w:rFonts w:ascii="Times New Roman" w:hAnsi="Times New Roman" w:cs="Times New Roman"/>
          <w:b/>
          <w:bCs/>
          <w:sz w:val="20"/>
        </w:rPr>
      </w:pPr>
      <w:r>
        <w:rPr>
          <w:rFonts w:ascii="Times New Roman" w:hAnsi="Times New Roman" w:cs="Times New Roman"/>
          <w:b/>
          <w:bCs/>
          <w:sz w:val="20"/>
        </w:rPr>
        <w:t>Table 1</w:t>
      </w:r>
      <w:r w:rsidR="00004036" w:rsidRPr="00283E01">
        <w:rPr>
          <w:rFonts w:ascii="Times New Roman" w:hAnsi="Times New Roman" w:cs="Times New Roman"/>
          <w:b/>
          <w:bCs/>
          <w:sz w:val="20"/>
        </w:rPr>
        <w:t xml:space="preserve"> : Mode of burns</w:t>
      </w:r>
    </w:p>
    <w:tbl>
      <w:tblPr>
        <w:tblW w:w="4176" w:type="dxa"/>
        <w:tblLook w:val="04A0" w:firstRow="1" w:lastRow="0" w:firstColumn="1" w:lastColumn="0" w:noHBand="0" w:noVBand="1"/>
      </w:tblPr>
      <w:tblGrid>
        <w:gridCol w:w="1271"/>
        <w:gridCol w:w="1559"/>
        <w:gridCol w:w="1346"/>
      </w:tblGrid>
      <w:tr w:rsidR="00004036" w:rsidRPr="00283E01" w14:paraId="5E0B5F2E" w14:textId="77777777" w:rsidTr="0049654A">
        <w:trPr>
          <w:trHeight w:val="20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9508B"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Mode of burn injury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33E42C"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Number of patients</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70C5599A"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Percentage</w:t>
            </w:r>
          </w:p>
        </w:tc>
      </w:tr>
      <w:tr w:rsidR="00004036" w:rsidRPr="00283E01" w14:paraId="5BC1ECCB" w14:textId="77777777" w:rsidTr="0049654A">
        <w:trPr>
          <w:trHeight w:val="6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54F59D3"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Flame</w:t>
            </w:r>
          </w:p>
        </w:tc>
        <w:tc>
          <w:tcPr>
            <w:tcW w:w="1559" w:type="dxa"/>
            <w:tcBorders>
              <w:top w:val="nil"/>
              <w:left w:val="nil"/>
              <w:bottom w:val="single" w:sz="4" w:space="0" w:color="auto"/>
              <w:right w:val="single" w:sz="4" w:space="0" w:color="auto"/>
            </w:tcBorders>
            <w:shd w:val="clear" w:color="auto" w:fill="auto"/>
            <w:noWrap/>
            <w:vAlign w:val="center"/>
            <w:hideMark/>
          </w:tcPr>
          <w:p w14:paraId="0035E5FF"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80</w:t>
            </w:r>
          </w:p>
        </w:tc>
        <w:tc>
          <w:tcPr>
            <w:tcW w:w="1346" w:type="dxa"/>
            <w:tcBorders>
              <w:top w:val="nil"/>
              <w:left w:val="nil"/>
              <w:bottom w:val="single" w:sz="4" w:space="0" w:color="auto"/>
              <w:right w:val="single" w:sz="4" w:space="0" w:color="auto"/>
            </w:tcBorders>
            <w:shd w:val="clear" w:color="auto" w:fill="auto"/>
            <w:noWrap/>
            <w:vAlign w:val="center"/>
            <w:hideMark/>
          </w:tcPr>
          <w:p w14:paraId="2EC5224F"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62.01</w:t>
            </w:r>
          </w:p>
        </w:tc>
      </w:tr>
      <w:tr w:rsidR="00004036" w:rsidRPr="00283E01" w14:paraId="540A98CD" w14:textId="77777777" w:rsidTr="0049654A">
        <w:trPr>
          <w:trHeight w:val="6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9A60389"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Scalds</w:t>
            </w:r>
          </w:p>
        </w:tc>
        <w:tc>
          <w:tcPr>
            <w:tcW w:w="1559" w:type="dxa"/>
            <w:tcBorders>
              <w:top w:val="nil"/>
              <w:left w:val="nil"/>
              <w:bottom w:val="single" w:sz="4" w:space="0" w:color="auto"/>
              <w:right w:val="single" w:sz="4" w:space="0" w:color="auto"/>
            </w:tcBorders>
            <w:shd w:val="clear" w:color="auto" w:fill="auto"/>
            <w:noWrap/>
            <w:vAlign w:val="center"/>
            <w:hideMark/>
          </w:tcPr>
          <w:p w14:paraId="30E265CE"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38</w:t>
            </w:r>
          </w:p>
        </w:tc>
        <w:tc>
          <w:tcPr>
            <w:tcW w:w="1346" w:type="dxa"/>
            <w:tcBorders>
              <w:top w:val="nil"/>
              <w:left w:val="nil"/>
              <w:bottom w:val="single" w:sz="4" w:space="0" w:color="auto"/>
              <w:right w:val="single" w:sz="4" w:space="0" w:color="auto"/>
            </w:tcBorders>
            <w:shd w:val="clear" w:color="auto" w:fill="auto"/>
            <w:noWrap/>
            <w:vAlign w:val="center"/>
            <w:hideMark/>
          </w:tcPr>
          <w:p w14:paraId="78684ACD"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29.45</w:t>
            </w:r>
          </w:p>
        </w:tc>
      </w:tr>
      <w:tr w:rsidR="00004036" w:rsidRPr="00283E01" w14:paraId="463BC91E" w14:textId="77777777" w:rsidTr="0049654A">
        <w:trPr>
          <w:trHeight w:val="69"/>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594D3E7"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Chemical</w:t>
            </w:r>
          </w:p>
        </w:tc>
        <w:tc>
          <w:tcPr>
            <w:tcW w:w="1559" w:type="dxa"/>
            <w:tcBorders>
              <w:top w:val="nil"/>
              <w:left w:val="nil"/>
              <w:bottom w:val="single" w:sz="4" w:space="0" w:color="auto"/>
              <w:right w:val="single" w:sz="4" w:space="0" w:color="auto"/>
            </w:tcBorders>
            <w:shd w:val="clear" w:color="auto" w:fill="auto"/>
            <w:noWrap/>
            <w:vAlign w:val="center"/>
            <w:hideMark/>
          </w:tcPr>
          <w:p w14:paraId="2992202F"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3</w:t>
            </w:r>
          </w:p>
        </w:tc>
        <w:tc>
          <w:tcPr>
            <w:tcW w:w="1346" w:type="dxa"/>
            <w:tcBorders>
              <w:top w:val="nil"/>
              <w:left w:val="nil"/>
              <w:bottom w:val="single" w:sz="4" w:space="0" w:color="auto"/>
              <w:right w:val="single" w:sz="4" w:space="0" w:color="auto"/>
            </w:tcBorders>
            <w:shd w:val="clear" w:color="auto" w:fill="auto"/>
            <w:noWrap/>
            <w:vAlign w:val="center"/>
            <w:hideMark/>
          </w:tcPr>
          <w:p w14:paraId="65E967B0"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2.32</w:t>
            </w:r>
          </w:p>
        </w:tc>
      </w:tr>
      <w:tr w:rsidR="00004036" w:rsidRPr="00283E01" w14:paraId="296FABDE" w14:textId="77777777" w:rsidTr="0049654A">
        <w:trPr>
          <w:trHeight w:val="34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E9F593D"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Electrical</w:t>
            </w:r>
          </w:p>
        </w:tc>
        <w:tc>
          <w:tcPr>
            <w:tcW w:w="1559" w:type="dxa"/>
            <w:tcBorders>
              <w:top w:val="nil"/>
              <w:left w:val="nil"/>
              <w:bottom w:val="single" w:sz="4" w:space="0" w:color="auto"/>
              <w:right w:val="single" w:sz="4" w:space="0" w:color="auto"/>
            </w:tcBorders>
            <w:shd w:val="clear" w:color="auto" w:fill="auto"/>
            <w:noWrap/>
            <w:vAlign w:val="center"/>
            <w:hideMark/>
          </w:tcPr>
          <w:p w14:paraId="422F7517"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7</w:t>
            </w:r>
          </w:p>
        </w:tc>
        <w:tc>
          <w:tcPr>
            <w:tcW w:w="1346" w:type="dxa"/>
            <w:tcBorders>
              <w:top w:val="nil"/>
              <w:left w:val="nil"/>
              <w:bottom w:val="single" w:sz="4" w:space="0" w:color="auto"/>
              <w:right w:val="single" w:sz="4" w:space="0" w:color="auto"/>
            </w:tcBorders>
            <w:shd w:val="clear" w:color="auto" w:fill="auto"/>
            <w:noWrap/>
            <w:vAlign w:val="center"/>
            <w:hideMark/>
          </w:tcPr>
          <w:p w14:paraId="31ABDDFB"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5.4</w:t>
            </w:r>
          </w:p>
        </w:tc>
      </w:tr>
      <w:tr w:rsidR="00004036" w:rsidRPr="00283E01" w14:paraId="07902F57" w14:textId="77777777" w:rsidTr="0049654A">
        <w:trPr>
          <w:trHeight w:val="6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C213AA4"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Lightening</w:t>
            </w:r>
          </w:p>
        </w:tc>
        <w:tc>
          <w:tcPr>
            <w:tcW w:w="1559" w:type="dxa"/>
            <w:tcBorders>
              <w:top w:val="nil"/>
              <w:left w:val="nil"/>
              <w:bottom w:val="single" w:sz="4" w:space="0" w:color="auto"/>
              <w:right w:val="single" w:sz="4" w:space="0" w:color="auto"/>
            </w:tcBorders>
            <w:shd w:val="clear" w:color="auto" w:fill="auto"/>
            <w:noWrap/>
            <w:vAlign w:val="center"/>
            <w:hideMark/>
          </w:tcPr>
          <w:p w14:paraId="61D37AFF"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w:t>
            </w:r>
          </w:p>
        </w:tc>
        <w:tc>
          <w:tcPr>
            <w:tcW w:w="1346" w:type="dxa"/>
            <w:tcBorders>
              <w:top w:val="nil"/>
              <w:left w:val="nil"/>
              <w:bottom w:val="single" w:sz="4" w:space="0" w:color="auto"/>
              <w:right w:val="single" w:sz="4" w:space="0" w:color="auto"/>
            </w:tcBorders>
            <w:shd w:val="clear" w:color="auto" w:fill="auto"/>
            <w:noWrap/>
            <w:vAlign w:val="center"/>
            <w:hideMark/>
          </w:tcPr>
          <w:p w14:paraId="0922652D"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0.77</w:t>
            </w:r>
          </w:p>
        </w:tc>
      </w:tr>
      <w:tr w:rsidR="00004036" w:rsidRPr="00283E01" w14:paraId="29D02095" w14:textId="77777777" w:rsidTr="0049654A">
        <w:trPr>
          <w:trHeight w:val="6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174D4BA"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Total</w:t>
            </w:r>
          </w:p>
        </w:tc>
        <w:tc>
          <w:tcPr>
            <w:tcW w:w="1559" w:type="dxa"/>
            <w:tcBorders>
              <w:top w:val="nil"/>
              <w:left w:val="nil"/>
              <w:bottom w:val="single" w:sz="4" w:space="0" w:color="auto"/>
              <w:right w:val="single" w:sz="4" w:space="0" w:color="auto"/>
            </w:tcBorders>
            <w:shd w:val="clear" w:color="auto" w:fill="auto"/>
            <w:noWrap/>
            <w:vAlign w:val="center"/>
            <w:hideMark/>
          </w:tcPr>
          <w:p w14:paraId="3A11BF49"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129</w:t>
            </w:r>
          </w:p>
        </w:tc>
        <w:tc>
          <w:tcPr>
            <w:tcW w:w="1346" w:type="dxa"/>
            <w:tcBorders>
              <w:top w:val="nil"/>
              <w:left w:val="nil"/>
              <w:bottom w:val="single" w:sz="4" w:space="0" w:color="auto"/>
              <w:right w:val="single" w:sz="4" w:space="0" w:color="auto"/>
            </w:tcBorders>
            <w:shd w:val="clear" w:color="auto" w:fill="auto"/>
            <w:noWrap/>
            <w:vAlign w:val="center"/>
            <w:hideMark/>
          </w:tcPr>
          <w:p w14:paraId="55E41395"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100</w:t>
            </w:r>
          </w:p>
        </w:tc>
      </w:tr>
    </w:tbl>
    <w:p w14:paraId="51462B59" w14:textId="77777777" w:rsidR="00E417AF" w:rsidRPr="00283E01" w:rsidRDefault="00E417AF" w:rsidP="00283E01">
      <w:pPr>
        <w:spacing w:after="0" w:line="360" w:lineRule="auto"/>
        <w:rPr>
          <w:rFonts w:ascii="Times New Roman" w:hAnsi="Times New Roman" w:cs="Times New Roman"/>
          <w:b/>
          <w:bCs/>
          <w:sz w:val="20"/>
        </w:rPr>
      </w:pPr>
    </w:p>
    <w:p w14:paraId="17AC6EA0" w14:textId="47B26D11" w:rsidR="00004036" w:rsidRPr="00283E01" w:rsidRDefault="00004036" w:rsidP="00283E01">
      <w:pPr>
        <w:spacing w:after="0" w:line="360" w:lineRule="auto"/>
        <w:rPr>
          <w:rFonts w:ascii="Times New Roman" w:hAnsi="Times New Roman" w:cs="Times New Roman"/>
          <w:b/>
          <w:bCs/>
          <w:sz w:val="20"/>
        </w:rPr>
      </w:pPr>
      <w:r w:rsidRPr="00283E01">
        <w:rPr>
          <w:rFonts w:ascii="Times New Roman" w:hAnsi="Times New Roman" w:cs="Times New Roman"/>
          <w:b/>
          <w:bCs/>
          <w:sz w:val="20"/>
        </w:rPr>
        <w:t>Degree of burn</w:t>
      </w:r>
      <w:r w:rsidR="00CB61B4" w:rsidRPr="00283E01">
        <w:rPr>
          <w:rFonts w:ascii="Times New Roman" w:hAnsi="Times New Roman" w:cs="Times New Roman"/>
          <w:b/>
          <w:bCs/>
          <w:sz w:val="20"/>
        </w:rPr>
        <w:t xml:space="preserve"> : </w:t>
      </w:r>
      <w:r w:rsidRPr="00283E01">
        <w:rPr>
          <w:rFonts w:ascii="Times New Roman" w:hAnsi="Times New Roman" w:cs="Times New Roman"/>
          <w:sz w:val="20"/>
        </w:rPr>
        <w:t>In this study patients were observed with multiple types of burn injuries. Majority of patients were observed with mixed type of burns, having different degrees of burns at different parts over the body. Also patients with maximum body surface area with a degree of burn injury were classified with that degree.</w:t>
      </w:r>
    </w:p>
    <w:p w14:paraId="4E197BDA" w14:textId="77777777" w:rsidR="00D6417D" w:rsidRDefault="00D6417D" w:rsidP="00283E01">
      <w:pPr>
        <w:spacing w:after="0" w:line="360" w:lineRule="auto"/>
        <w:rPr>
          <w:rFonts w:ascii="Times New Roman" w:hAnsi="Times New Roman" w:cs="Times New Roman"/>
          <w:b/>
          <w:bCs/>
          <w:sz w:val="20"/>
        </w:rPr>
      </w:pPr>
    </w:p>
    <w:p w14:paraId="42B1305D" w14:textId="77777777" w:rsidR="00D6417D" w:rsidRDefault="00D6417D" w:rsidP="00283E01">
      <w:pPr>
        <w:spacing w:after="0" w:line="360" w:lineRule="auto"/>
        <w:rPr>
          <w:rFonts w:ascii="Times New Roman" w:hAnsi="Times New Roman" w:cs="Times New Roman"/>
          <w:b/>
          <w:bCs/>
          <w:sz w:val="20"/>
        </w:rPr>
      </w:pPr>
    </w:p>
    <w:p w14:paraId="22993548" w14:textId="77777777" w:rsidR="00D6417D" w:rsidRDefault="00D6417D" w:rsidP="00283E01">
      <w:pPr>
        <w:spacing w:after="0" w:line="360" w:lineRule="auto"/>
        <w:rPr>
          <w:rFonts w:ascii="Times New Roman" w:hAnsi="Times New Roman" w:cs="Times New Roman"/>
          <w:b/>
          <w:bCs/>
          <w:sz w:val="20"/>
        </w:rPr>
      </w:pPr>
    </w:p>
    <w:p w14:paraId="6A9DC84C" w14:textId="77777777" w:rsidR="00D6417D" w:rsidRDefault="00D6417D" w:rsidP="00283E01">
      <w:pPr>
        <w:spacing w:after="0" w:line="360" w:lineRule="auto"/>
        <w:rPr>
          <w:rFonts w:ascii="Times New Roman" w:hAnsi="Times New Roman" w:cs="Times New Roman"/>
          <w:b/>
          <w:bCs/>
          <w:sz w:val="20"/>
        </w:rPr>
      </w:pPr>
    </w:p>
    <w:p w14:paraId="4219EDD7" w14:textId="77777777" w:rsidR="00D6417D" w:rsidRDefault="00D6417D" w:rsidP="00283E01">
      <w:pPr>
        <w:spacing w:after="0" w:line="360" w:lineRule="auto"/>
        <w:rPr>
          <w:rFonts w:ascii="Times New Roman" w:hAnsi="Times New Roman" w:cs="Times New Roman"/>
          <w:b/>
          <w:bCs/>
          <w:sz w:val="20"/>
        </w:rPr>
      </w:pPr>
    </w:p>
    <w:p w14:paraId="77C62FF6" w14:textId="77777777" w:rsidR="00D6417D" w:rsidRDefault="00D6417D" w:rsidP="00283E01">
      <w:pPr>
        <w:spacing w:after="0" w:line="360" w:lineRule="auto"/>
        <w:rPr>
          <w:rFonts w:ascii="Times New Roman" w:hAnsi="Times New Roman" w:cs="Times New Roman"/>
          <w:b/>
          <w:bCs/>
          <w:sz w:val="20"/>
        </w:rPr>
      </w:pPr>
    </w:p>
    <w:p w14:paraId="092AEEED" w14:textId="77777777" w:rsidR="00D6417D" w:rsidRDefault="00D6417D" w:rsidP="00283E01">
      <w:pPr>
        <w:spacing w:after="0" w:line="360" w:lineRule="auto"/>
        <w:rPr>
          <w:rFonts w:ascii="Times New Roman" w:hAnsi="Times New Roman" w:cs="Times New Roman"/>
          <w:b/>
          <w:bCs/>
          <w:sz w:val="20"/>
        </w:rPr>
      </w:pPr>
    </w:p>
    <w:p w14:paraId="4F1CA5A1" w14:textId="77777777" w:rsidR="00D6417D" w:rsidRDefault="00D6417D" w:rsidP="00283E01">
      <w:pPr>
        <w:spacing w:after="0" w:line="360" w:lineRule="auto"/>
        <w:rPr>
          <w:rFonts w:ascii="Times New Roman" w:hAnsi="Times New Roman" w:cs="Times New Roman"/>
          <w:b/>
          <w:bCs/>
          <w:sz w:val="20"/>
        </w:rPr>
      </w:pPr>
    </w:p>
    <w:p w14:paraId="4D1CB0B6" w14:textId="4AEBFB32" w:rsidR="00004036" w:rsidRPr="00283E01" w:rsidRDefault="00283E01" w:rsidP="00283E01">
      <w:pPr>
        <w:spacing w:after="0" w:line="360" w:lineRule="auto"/>
        <w:rPr>
          <w:rFonts w:ascii="Times New Roman" w:hAnsi="Times New Roman" w:cs="Times New Roman"/>
          <w:b/>
          <w:bCs/>
          <w:sz w:val="20"/>
        </w:rPr>
      </w:pPr>
      <w:r>
        <w:rPr>
          <w:rFonts w:ascii="Times New Roman" w:hAnsi="Times New Roman" w:cs="Times New Roman"/>
          <w:b/>
          <w:bCs/>
          <w:sz w:val="20"/>
        </w:rPr>
        <w:t>Table 2</w:t>
      </w:r>
      <w:r w:rsidR="00004036" w:rsidRPr="00283E01">
        <w:rPr>
          <w:rFonts w:ascii="Times New Roman" w:hAnsi="Times New Roman" w:cs="Times New Roman"/>
          <w:b/>
          <w:bCs/>
          <w:sz w:val="20"/>
        </w:rPr>
        <w:t xml:space="preserve"> : Degree of burn</w:t>
      </w:r>
    </w:p>
    <w:tbl>
      <w:tblPr>
        <w:tblW w:w="4101" w:type="dxa"/>
        <w:tblLook w:val="04A0" w:firstRow="1" w:lastRow="0" w:firstColumn="1" w:lastColumn="0" w:noHBand="0" w:noVBand="1"/>
      </w:tblPr>
      <w:tblGrid>
        <w:gridCol w:w="1550"/>
        <w:gridCol w:w="1275"/>
        <w:gridCol w:w="1276"/>
      </w:tblGrid>
      <w:tr w:rsidR="00004036" w:rsidRPr="00283E01" w14:paraId="52BC0F13" w14:textId="77777777" w:rsidTr="0049654A">
        <w:trPr>
          <w:trHeight w:val="522"/>
        </w:trPr>
        <w:tc>
          <w:tcPr>
            <w:tcW w:w="1550" w:type="dxa"/>
            <w:tcBorders>
              <w:top w:val="single" w:sz="8" w:space="0" w:color="auto"/>
              <w:left w:val="single" w:sz="8" w:space="0" w:color="auto"/>
              <w:bottom w:val="single" w:sz="4" w:space="0" w:color="auto"/>
              <w:right w:val="single" w:sz="4" w:space="0" w:color="auto"/>
            </w:tcBorders>
            <w:shd w:val="clear" w:color="000000" w:fill="9BC2E6"/>
            <w:noWrap/>
            <w:vAlign w:val="center"/>
            <w:hideMark/>
          </w:tcPr>
          <w:p w14:paraId="60B425FC"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Degree of burn</w:t>
            </w:r>
          </w:p>
        </w:tc>
        <w:tc>
          <w:tcPr>
            <w:tcW w:w="1275" w:type="dxa"/>
            <w:tcBorders>
              <w:top w:val="single" w:sz="8" w:space="0" w:color="auto"/>
              <w:left w:val="nil"/>
              <w:bottom w:val="single" w:sz="4" w:space="0" w:color="auto"/>
              <w:right w:val="single" w:sz="4" w:space="0" w:color="auto"/>
            </w:tcBorders>
            <w:shd w:val="clear" w:color="000000" w:fill="9BC2E6"/>
            <w:vAlign w:val="center"/>
            <w:hideMark/>
          </w:tcPr>
          <w:p w14:paraId="7A2215A7"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Number of patients</w:t>
            </w:r>
          </w:p>
        </w:tc>
        <w:tc>
          <w:tcPr>
            <w:tcW w:w="1276" w:type="dxa"/>
            <w:tcBorders>
              <w:top w:val="single" w:sz="8" w:space="0" w:color="auto"/>
              <w:left w:val="nil"/>
              <w:bottom w:val="single" w:sz="4" w:space="0" w:color="auto"/>
              <w:right w:val="single" w:sz="8" w:space="0" w:color="auto"/>
            </w:tcBorders>
            <w:shd w:val="clear" w:color="000000" w:fill="9BC2E6"/>
            <w:vAlign w:val="center"/>
            <w:hideMark/>
          </w:tcPr>
          <w:p w14:paraId="08A59119"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Percentage</w:t>
            </w:r>
          </w:p>
        </w:tc>
      </w:tr>
      <w:tr w:rsidR="00004036" w:rsidRPr="00283E01" w14:paraId="4BC38644" w14:textId="77777777" w:rsidTr="0049654A">
        <w:trPr>
          <w:trHeight w:val="103"/>
        </w:trPr>
        <w:tc>
          <w:tcPr>
            <w:tcW w:w="1550" w:type="dxa"/>
            <w:tcBorders>
              <w:top w:val="nil"/>
              <w:left w:val="single" w:sz="8" w:space="0" w:color="auto"/>
              <w:bottom w:val="single" w:sz="4" w:space="0" w:color="auto"/>
              <w:right w:val="single" w:sz="4" w:space="0" w:color="auto"/>
            </w:tcBorders>
            <w:shd w:val="clear" w:color="000000" w:fill="9BC2E6"/>
            <w:noWrap/>
            <w:vAlign w:val="bottom"/>
            <w:hideMark/>
          </w:tcPr>
          <w:p w14:paraId="139B1F13"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Superficial</w:t>
            </w:r>
          </w:p>
        </w:tc>
        <w:tc>
          <w:tcPr>
            <w:tcW w:w="1275" w:type="dxa"/>
            <w:tcBorders>
              <w:top w:val="nil"/>
              <w:left w:val="nil"/>
              <w:bottom w:val="single" w:sz="4" w:space="0" w:color="auto"/>
              <w:right w:val="single" w:sz="4" w:space="0" w:color="auto"/>
            </w:tcBorders>
            <w:shd w:val="clear" w:color="000000" w:fill="9BC2E6"/>
            <w:noWrap/>
            <w:vAlign w:val="bottom"/>
            <w:hideMark/>
          </w:tcPr>
          <w:p w14:paraId="4103E735"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28</w:t>
            </w:r>
          </w:p>
        </w:tc>
        <w:tc>
          <w:tcPr>
            <w:tcW w:w="1276" w:type="dxa"/>
            <w:tcBorders>
              <w:top w:val="nil"/>
              <w:left w:val="nil"/>
              <w:bottom w:val="single" w:sz="4" w:space="0" w:color="auto"/>
              <w:right w:val="single" w:sz="8" w:space="0" w:color="auto"/>
            </w:tcBorders>
            <w:shd w:val="clear" w:color="000000" w:fill="9BC2E6"/>
            <w:noWrap/>
            <w:vAlign w:val="bottom"/>
            <w:hideMark/>
          </w:tcPr>
          <w:p w14:paraId="4DC9A4C9"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21.70</w:t>
            </w:r>
          </w:p>
        </w:tc>
      </w:tr>
      <w:tr w:rsidR="00004036" w:rsidRPr="00283E01" w14:paraId="0ADCC9D7" w14:textId="77777777" w:rsidTr="0049654A">
        <w:trPr>
          <w:trHeight w:val="103"/>
        </w:trPr>
        <w:tc>
          <w:tcPr>
            <w:tcW w:w="1550" w:type="dxa"/>
            <w:tcBorders>
              <w:top w:val="nil"/>
              <w:left w:val="single" w:sz="8" w:space="0" w:color="auto"/>
              <w:bottom w:val="single" w:sz="4" w:space="0" w:color="auto"/>
              <w:right w:val="single" w:sz="4" w:space="0" w:color="auto"/>
            </w:tcBorders>
            <w:shd w:val="clear" w:color="000000" w:fill="9BC2E6"/>
            <w:noWrap/>
            <w:vAlign w:val="bottom"/>
            <w:hideMark/>
          </w:tcPr>
          <w:p w14:paraId="2702B0FA"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Partial thickness</w:t>
            </w:r>
          </w:p>
        </w:tc>
        <w:tc>
          <w:tcPr>
            <w:tcW w:w="1275" w:type="dxa"/>
            <w:tcBorders>
              <w:top w:val="nil"/>
              <w:left w:val="nil"/>
              <w:bottom w:val="single" w:sz="4" w:space="0" w:color="auto"/>
              <w:right w:val="single" w:sz="4" w:space="0" w:color="auto"/>
            </w:tcBorders>
            <w:shd w:val="clear" w:color="000000" w:fill="9BC2E6"/>
            <w:noWrap/>
            <w:vAlign w:val="bottom"/>
            <w:hideMark/>
          </w:tcPr>
          <w:p w14:paraId="2D4C2B3B"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25</w:t>
            </w:r>
          </w:p>
        </w:tc>
        <w:tc>
          <w:tcPr>
            <w:tcW w:w="1276" w:type="dxa"/>
            <w:tcBorders>
              <w:top w:val="nil"/>
              <w:left w:val="nil"/>
              <w:bottom w:val="single" w:sz="4" w:space="0" w:color="auto"/>
              <w:right w:val="single" w:sz="8" w:space="0" w:color="auto"/>
            </w:tcBorders>
            <w:shd w:val="clear" w:color="000000" w:fill="9BC2E6"/>
            <w:noWrap/>
            <w:vAlign w:val="bottom"/>
            <w:hideMark/>
          </w:tcPr>
          <w:p w14:paraId="5E234A0D"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19.37</w:t>
            </w:r>
          </w:p>
        </w:tc>
      </w:tr>
      <w:tr w:rsidR="00004036" w:rsidRPr="00283E01" w14:paraId="4F6CFC93" w14:textId="77777777" w:rsidTr="0049654A">
        <w:trPr>
          <w:trHeight w:val="107"/>
        </w:trPr>
        <w:tc>
          <w:tcPr>
            <w:tcW w:w="1550" w:type="dxa"/>
            <w:tcBorders>
              <w:top w:val="nil"/>
              <w:left w:val="single" w:sz="8" w:space="0" w:color="auto"/>
              <w:bottom w:val="single" w:sz="4" w:space="0" w:color="auto"/>
              <w:right w:val="single" w:sz="4" w:space="0" w:color="auto"/>
            </w:tcBorders>
            <w:shd w:val="clear" w:color="000000" w:fill="9BC2E6"/>
            <w:noWrap/>
            <w:vAlign w:val="bottom"/>
            <w:hideMark/>
          </w:tcPr>
          <w:p w14:paraId="5337ECE9" w14:textId="1ACC32C7" w:rsidR="00004036" w:rsidRPr="00283E01" w:rsidRDefault="00587C2D"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D</w:t>
            </w:r>
            <w:r w:rsidR="00004036" w:rsidRPr="00283E01">
              <w:rPr>
                <w:rFonts w:ascii="Times New Roman" w:eastAsia="Times New Roman" w:hAnsi="Times New Roman" w:cs="Times New Roman"/>
                <w:color w:val="000000"/>
                <w:sz w:val="20"/>
                <w:lang w:eastAsia="en-IN"/>
              </w:rPr>
              <w:t>eep</w:t>
            </w:r>
          </w:p>
        </w:tc>
        <w:tc>
          <w:tcPr>
            <w:tcW w:w="1275" w:type="dxa"/>
            <w:tcBorders>
              <w:top w:val="nil"/>
              <w:left w:val="nil"/>
              <w:bottom w:val="single" w:sz="4" w:space="0" w:color="auto"/>
              <w:right w:val="single" w:sz="4" w:space="0" w:color="auto"/>
            </w:tcBorders>
            <w:shd w:val="clear" w:color="000000" w:fill="9BC2E6"/>
            <w:noWrap/>
            <w:vAlign w:val="bottom"/>
            <w:hideMark/>
          </w:tcPr>
          <w:p w14:paraId="23887C24"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17</w:t>
            </w:r>
          </w:p>
        </w:tc>
        <w:tc>
          <w:tcPr>
            <w:tcW w:w="1276" w:type="dxa"/>
            <w:tcBorders>
              <w:top w:val="nil"/>
              <w:left w:val="nil"/>
              <w:bottom w:val="single" w:sz="4" w:space="0" w:color="auto"/>
              <w:right w:val="single" w:sz="8" w:space="0" w:color="auto"/>
            </w:tcBorders>
            <w:shd w:val="clear" w:color="000000" w:fill="9BC2E6"/>
            <w:noWrap/>
            <w:vAlign w:val="bottom"/>
            <w:hideMark/>
          </w:tcPr>
          <w:p w14:paraId="460F2E38"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13.17</w:t>
            </w:r>
          </w:p>
        </w:tc>
      </w:tr>
      <w:tr w:rsidR="00004036" w:rsidRPr="00283E01" w14:paraId="3A44CB66" w14:textId="77777777" w:rsidTr="0049654A">
        <w:trPr>
          <w:trHeight w:val="103"/>
        </w:trPr>
        <w:tc>
          <w:tcPr>
            <w:tcW w:w="1550" w:type="dxa"/>
            <w:tcBorders>
              <w:top w:val="nil"/>
              <w:left w:val="single" w:sz="8" w:space="0" w:color="auto"/>
              <w:bottom w:val="single" w:sz="4" w:space="0" w:color="auto"/>
              <w:right w:val="single" w:sz="4" w:space="0" w:color="auto"/>
            </w:tcBorders>
            <w:shd w:val="clear" w:color="000000" w:fill="9BC2E6"/>
            <w:noWrap/>
            <w:vAlign w:val="bottom"/>
            <w:hideMark/>
          </w:tcPr>
          <w:p w14:paraId="23227243"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full thickness</w:t>
            </w:r>
          </w:p>
        </w:tc>
        <w:tc>
          <w:tcPr>
            <w:tcW w:w="1275" w:type="dxa"/>
            <w:tcBorders>
              <w:top w:val="nil"/>
              <w:left w:val="nil"/>
              <w:bottom w:val="single" w:sz="4" w:space="0" w:color="auto"/>
              <w:right w:val="single" w:sz="4" w:space="0" w:color="auto"/>
            </w:tcBorders>
            <w:shd w:val="clear" w:color="000000" w:fill="9BC2E6"/>
            <w:noWrap/>
            <w:vAlign w:val="bottom"/>
            <w:hideMark/>
          </w:tcPr>
          <w:p w14:paraId="7B864C87"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22</w:t>
            </w:r>
          </w:p>
        </w:tc>
        <w:tc>
          <w:tcPr>
            <w:tcW w:w="1276" w:type="dxa"/>
            <w:tcBorders>
              <w:top w:val="nil"/>
              <w:left w:val="nil"/>
              <w:bottom w:val="single" w:sz="4" w:space="0" w:color="auto"/>
              <w:right w:val="single" w:sz="8" w:space="0" w:color="auto"/>
            </w:tcBorders>
            <w:shd w:val="clear" w:color="000000" w:fill="9BC2E6"/>
            <w:noWrap/>
            <w:vAlign w:val="bottom"/>
            <w:hideMark/>
          </w:tcPr>
          <w:p w14:paraId="6A32CF3A"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17.05</w:t>
            </w:r>
          </w:p>
        </w:tc>
      </w:tr>
      <w:tr w:rsidR="00004036" w:rsidRPr="00283E01" w14:paraId="0D966737" w14:textId="77777777" w:rsidTr="0049654A">
        <w:trPr>
          <w:trHeight w:val="422"/>
        </w:trPr>
        <w:tc>
          <w:tcPr>
            <w:tcW w:w="1550" w:type="dxa"/>
            <w:tcBorders>
              <w:top w:val="nil"/>
              <w:left w:val="single" w:sz="8" w:space="0" w:color="auto"/>
              <w:bottom w:val="single" w:sz="4" w:space="0" w:color="auto"/>
              <w:right w:val="single" w:sz="4" w:space="0" w:color="auto"/>
            </w:tcBorders>
            <w:shd w:val="clear" w:color="000000" w:fill="9BC2E6"/>
            <w:vAlign w:val="bottom"/>
            <w:hideMark/>
          </w:tcPr>
          <w:p w14:paraId="7C3BCE09"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Mixed</w:t>
            </w:r>
          </w:p>
        </w:tc>
        <w:tc>
          <w:tcPr>
            <w:tcW w:w="1275" w:type="dxa"/>
            <w:tcBorders>
              <w:top w:val="nil"/>
              <w:left w:val="nil"/>
              <w:bottom w:val="single" w:sz="4" w:space="0" w:color="auto"/>
              <w:right w:val="single" w:sz="4" w:space="0" w:color="auto"/>
            </w:tcBorders>
            <w:shd w:val="clear" w:color="000000" w:fill="9BC2E6"/>
            <w:vAlign w:val="bottom"/>
            <w:hideMark/>
          </w:tcPr>
          <w:p w14:paraId="1D5C2223"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37</w:t>
            </w:r>
          </w:p>
        </w:tc>
        <w:tc>
          <w:tcPr>
            <w:tcW w:w="1276" w:type="dxa"/>
            <w:tcBorders>
              <w:top w:val="nil"/>
              <w:left w:val="nil"/>
              <w:bottom w:val="single" w:sz="4" w:space="0" w:color="auto"/>
              <w:right w:val="single" w:sz="8" w:space="0" w:color="auto"/>
            </w:tcBorders>
            <w:shd w:val="clear" w:color="000000" w:fill="9BC2E6"/>
            <w:noWrap/>
            <w:vAlign w:val="bottom"/>
            <w:hideMark/>
          </w:tcPr>
          <w:p w14:paraId="72965DB9"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28.68</w:t>
            </w:r>
          </w:p>
        </w:tc>
      </w:tr>
      <w:tr w:rsidR="00004036" w:rsidRPr="00283E01" w14:paraId="3A3BA27A" w14:textId="77777777" w:rsidTr="0049654A">
        <w:trPr>
          <w:trHeight w:val="107"/>
        </w:trPr>
        <w:tc>
          <w:tcPr>
            <w:tcW w:w="1550" w:type="dxa"/>
            <w:tcBorders>
              <w:top w:val="nil"/>
              <w:left w:val="single" w:sz="8" w:space="0" w:color="auto"/>
              <w:bottom w:val="single" w:sz="8" w:space="0" w:color="auto"/>
              <w:right w:val="single" w:sz="4" w:space="0" w:color="auto"/>
            </w:tcBorders>
            <w:shd w:val="clear" w:color="000000" w:fill="9BC2E6"/>
            <w:noWrap/>
            <w:vAlign w:val="bottom"/>
            <w:hideMark/>
          </w:tcPr>
          <w:p w14:paraId="5E0256C3"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Total</w:t>
            </w:r>
          </w:p>
        </w:tc>
        <w:tc>
          <w:tcPr>
            <w:tcW w:w="1275" w:type="dxa"/>
            <w:tcBorders>
              <w:top w:val="nil"/>
              <w:left w:val="nil"/>
              <w:bottom w:val="single" w:sz="8" w:space="0" w:color="auto"/>
              <w:right w:val="single" w:sz="4" w:space="0" w:color="auto"/>
            </w:tcBorders>
            <w:shd w:val="clear" w:color="000000" w:fill="9BC2E6"/>
            <w:noWrap/>
            <w:vAlign w:val="bottom"/>
            <w:hideMark/>
          </w:tcPr>
          <w:p w14:paraId="1AC75002"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129</w:t>
            </w:r>
          </w:p>
        </w:tc>
        <w:tc>
          <w:tcPr>
            <w:tcW w:w="1276" w:type="dxa"/>
            <w:tcBorders>
              <w:top w:val="nil"/>
              <w:left w:val="nil"/>
              <w:bottom w:val="single" w:sz="8" w:space="0" w:color="auto"/>
              <w:right w:val="single" w:sz="8" w:space="0" w:color="auto"/>
            </w:tcBorders>
            <w:shd w:val="clear" w:color="000000" w:fill="9BC2E6"/>
            <w:noWrap/>
            <w:vAlign w:val="bottom"/>
            <w:hideMark/>
          </w:tcPr>
          <w:p w14:paraId="6B55160B"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100</w:t>
            </w:r>
          </w:p>
        </w:tc>
      </w:tr>
    </w:tbl>
    <w:p w14:paraId="77E966C1" w14:textId="77777777" w:rsidR="00EE39AB" w:rsidRPr="00283E01" w:rsidRDefault="00EE39AB" w:rsidP="00283E01">
      <w:pPr>
        <w:spacing w:after="0" w:line="360" w:lineRule="auto"/>
        <w:rPr>
          <w:rFonts w:ascii="Times New Roman" w:hAnsi="Times New Roman" w:cs="Times New Roman"/>
          <w:b/>
          <w:bCs/>
          <w:sz w:val="20"/>
        </w:rPr>
      </w:pPr>
    </w:p>
    <w:p w14:paraId="293F2148" w14:textId="528ACA3A" w:rsidR="00BB75EA" w:rsidRPr="00283E01" w:rsidRDefault="00004036" w:rsidP="00283E01">
      <w:pPr>
        <w:spacing w:after="0" w:line="360" w:lineRule="auto"/>
        <w:rPr>
          <w:rFonts w:ascii="Times New Roman" w:hAnsi="Times New Roman" w:cs="Times New Roman"/>
          <w:b/>
          <w:bCs/>
          <w:sz w:val="20"/>
        </w:rPr>
      </w:pPr>
      <w:r w:rsidRPr="00283E01">
        <w:rPr>
          <w:rFonts w:ascii="Times New Roman" w:hAnsi="Times New Roman" w:cs="Times New Roman"/>
          <w:b/>
          <w:bCs/>
          <w:sz w:val="20"/>
        </w:rPr>
        <w:t>Facial burns and Inhalational burns</w:t>
      </w:r>
      <w:r w:rsidR="00717EC1" w:rsidRPr="00283E01">
        <w:rPr>
          <w:rFonts w:ascii="Times New Roman" w:hAnsi="Times New Roman" w:cs="Times New Roman"/>
          <w:b/>
          <w:bCs/>
          <w:sz w:val="20"/>
        </w:rPr>
        <w:t xml:space="preserve"> : </w:t>
      </w:r>
      <w:r w:rsidRPr="00283E01">
        <w:rPr>
          <w:rFonts w:ascii="Times New Roman" w:hAnsi="Times New Roman" w:cs="Times New Roman"/>
          <w:sz w:val="20"/>
        </w:rPr>
        <w:t>The study shows that 65.12% of patients shows facial burns and 38.76% patients shows inhalational burn injuries along with the external body surface area burn.</w:t>
      </w:r>
    </w:p>
    <w:p w14:paraId="52BDEE57" w14:textId="5E742869" w:rsidR="00004036" w:rsidRPr="00283E01" w:rsidRDefault="00004036" w:rsidP="00283E01">
      <w:pPr>
        <w:spacing w:after="0" w:line="360" w:lineRule="auto"/>
        <w:rPr>
          <w:rFonts w:ascii="Times New Roman" w:hAnsi="Times New Roman" w:cs="Times New Roman"/>
          <w:b/>
          <w:bCs/>
          <w:sz w:val="20"/>
        </w:rPr>
      </w:pPr>
      <w:r w:rsidRPr="00283E01">
        <w:rPr>
          <w:rFonts w:ascii="Times New Roman" w:hAnsi="Times New Roman" w:cs="Times New Roman"/>
          <w:b/>
          <w:bCs/>
          <w:sz w:val="20"/>
        </w:rPr>
        <w:t>Mortality in different Age groups</w:t>
      </w:r>
      <w:r w:rsidR="00695566" w:rsidRPr="00283E01">
        <w:rPr>
          <w:rFonts w:ascii="Times New Roman" w:hAnsi="Times New Roman" w:cs="Times New Roman"/>
          <w:b/>
          <w:bCs/>
          <w:sz w:val="20"/>
        </w:rPr>
        <w:t xml:space="preserve"> : </w:t>
      </w:r>
      <w:r w:rsidRPr="00283E01">
        <w:rPr>
          <w:rFonts w:ascii="Times New Roman" w:hAnsi="Times New Roman" w:cs="Times New Roman"/>
          <w:sz w:val="20"/>
        </w:rPr>
        <w:t>Age group of 71 to 80 years shows the maximum mortality rate of 57.14%. With least mortality rate of 14.81% found in age group of 31 to 40 years.</w:t>
      </w:r>
    </w:p>
    <w:p w14:paraId="6CCADCF6" w14:textId="3FD63FC3" w:rsidR="00004036" w:rsidRPr="00283E01" w:rsidRDefault="00283E01" w:rsidP="00283E01">
      <w:pPr>
        <w:spacing w:after="0" w:line="360" w:lineRule="auto"/>
        <w:rPr>
          <w:rFonts w:ascii="Times New Roman" w:hAnsi="Times New Roman" w:cs="Times New Roman"/>
          <w:b/>
          <w:bCs/>
          <w:sz w:val="20"/>
          <w:lang w:val="en-US"/>
        </w:rPr>
      </w:pPr>
      <w:r>
        <w:rPr>
          <w:rFonts w:ascii="Times New Roman" w:hAnsi="Times New Roman" w:cs="Times New Roman"/>
          <w:sz w:val="20"/>
        </w:rPr>
        <w:t>Fig. 2</w:t>
      </w:r>
      <w:r w:rsidR="00004036" w:rsidRPr="00283E01">
        <w:rPr>
          <w:rFonts w:ascii="Times New Roman" w:hAnsi="Times New Roman" w:cs="Times New Roman"/>
          <w:sz w:val="20"/>
        </w:rPr>
        <w:t xml:space="preserve"> : </w:t>
      </w:r>
      <w:r w:rsidR="00004036" w:rsidRPr="00283E01">
        <w:rPr>
          <w:rFonts w:ascii="Times New Roman" w:hAnsi="Times New Roman" w:cs="Times New Roman"/>
          <w:b/>
          <w:bCs/>
          <w:sz w:val="20"/>
          <w:lang w:val="en-US"/>
        </w:rPr>
        <w:t>Percentage of Mortality in different age groups</w:t>
      </w:r>
    </w:p>
    <w:p w14:paraId="039A2DAC" w14:textId="77777777" w:rsidR="00BA210D" w:rsidRPr="00283E01" w:rsidRDefault="00BA210D" w:rsidP="00283E01">
      <w:pPr>
        <w:spacing w:after="0" w:line="360" w:lineRule="auto"/>
        <w:rPr>
          <w:rFonts w:ascii="Times New Roman" w:hAnsi="Times New Roman" w:cs="Times New Roman"/>
          <w:sz w:val="20"/>
        </w:rPr>
        <w:sectPr w:rsidR="00BA210D" w:rsidRPr="00283E01" w:rsidSect="000C1CCD">
          <w:type w:val="continuous"/>
          <w:pgSz w:w="11906" w:h="16838"/>
          <w:pgMar w:top="720" w:right="720" w:bottom="720" w:left="720" w:header="708" w:footer="708" w:gutter="0"/>
          <w:cols w:space="708"/>
          <w:docGrid w:linePitch="360"/>
        </w:sectPr>
      </w:pPr>
    </w:p>
    <w:p w14:paraId="002C88D8" w14:textId="462A027A" w:rsidR="00004036" w:rsidRPr="00283E01" w:rsidRDefault="00004036" w:rsidP="00283E01">
      <w:pPr>
        <w:spacing w:after="0" w:line="360" w:lineRule="auto"/>
        <w:rPr>
          <w:rFonts w:ascii="Times New Roman" w:hAnsi="Times New Roman" w:cs="Times New Roman"/>
          <w:sz w:val="20"/>
        </w:rPr>
      </w:pPr>
      <w:r w:rsidRPr="00283E01">
        <w:rPr>
          <w:rFonts w:ascii="Times New Roman" w:hAnsi="Times New Roman" w:cs="Times New Roman"/>
          <w:noProof/>
          <w:sz w:val="20"/>
          <w:lang w:eastAsia="en-IN" w:bidi="ar-SA"/>
        </w:rPr>
        <w:drawing>
          <wp:inline distT="0" distB="0" distL="0" distR="0" wp14:anchorId="21A9F7BB" wp14:editId="5C47D11E">
            <wp:extent cx="3187700" cy="2235200"/>
            <wp:effectExtent l="0" t="0" r="12700" b="12700"/>
            <wp:docPr id="32" name="Chart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BAFD4F1-E44D-C97B-339F-AE36B4587C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C60980" w14:textId="35E2A78F" w:rsidR="00004036" w:rsidRPr="00283E01" w:rsidRDefault="00004036" w:rsidP="00283E01">
      <w:pPr>
        <w:spacing w:after="0" w:line="360" w:lineRule="auto"/>
        <w:rPr>
          <w:rFonts w:ascii="Times New Roman" w:hAnsi="Times New Roman" w:cs="Times New Roman"/>
          <w:b/>
          <w:bCs/>
          <w:sz w:val="20"/>
          <w:lang w:val="en-US"/>
        </w:rPr>
      </w:pPr>
      <w:r w:rsidRPr="00283E01">
        <w:rPr>
          <w:rFonts w:ascii="Times New Roman" w:hAnsi="Times New Roman" w:cs="Times New Roman"/>
          <w:b/>
          <w:bCs/>
          <w:sz w:val="20"/>
          <w:lang w:val="en-US"/>
        </w:rPr>
        <w:t>Secondary bacterial wound infection</w:t>
      </w:r>
      <w:r w:rsidR="00355B4B" w:rsidRPr="00283E01">
        <w:rPr>
          <w:rFonts w:ascii="Times New Roman" w:hAnsi="Times New Roman" w:cs="Times New Roman"/>
          <w:b/>
          <w:bCs/>
          <w:sz w:val="20"/>
          <w:lang w:val="en-US"/>
        </w:rPr>
        <w:t xml:space="preserve"> : </w:t>
      </w:r>
      <w:r w:rsidRPr="00283E01">
        <w:rPr>
          <w:rFonts w:ascii="Times New Roman" w:hAnsi="Times New Roman" w:cs="Times New Roman"/>
          <w:sz w:val="20"/>
        </w:rPr>
        <w:t>The study shows incidence of secondary bacterial wound infection in 54.44% out of 90 observed patients. The patients succumbed within a short period after burn injury and those who went DAMA were excluded for observation of secondary bacterial wound infection.</w:t>
      </w:r>
    </w:p>
    <w:p w14:paraId="74D2B927" w14:textId="18E66791" w:rsidR="00004036" w:rsidRPr="00283E01" w:rsidRDefault="00004036" w:rsidP="00283E01">
      <w:pPr>
        <w:spacing w:after="0" w:line="360" w:lineRule="auto"/>
        <w:rPr>
          <w:rFonts w:ascii="Times New Roman" w:hAnsi="Times New Roman" w:cs="Times New Roman"/>
          <w:sz w:val="20"/>
        </w:rPr>
      </w:pPr>
      <w:r w:rsidRPr="00283E01">
        <w:rPr>
          <w:rFonts w:ascii="Times New Roman" w:hAnsi="Times New Roman" w:cs="Times New Roman"/>
          <w:sz w:val="20"/>
        </w:rPr>
        <w:t>The study shows that out of the positive swab culture reports, maximum patients had secondary wound infection with Coagulase negative streptococci. Followed by Pseudomonas infection of the wounds.</w:t>
      </w:r>
    </w:p>
    <w:p w14:paraId="6DBF107E" w14:textId="43C98704" w:rsidR="00004036" w:rsidRPr="00283E01" w:rsidRDefault="00283E01" w:rsidP="00283E01">
      <w:pPr>
        <w:spacing w:after="0" w:line="360" w:lineRule="auto"/>
        <w:rPr>
          <w:rFonts w:ascii="Times New Roman" w:hAnsi="Times New Roman" w:cs="Times New Roman"/>
          <w:sz w:val="20"/>
        </w:rPr>
      </w:pPr>
      <w:r>
        <w:rPr>
          <w:rFonts w:ascii="Times New Roman" w:hAnsi="Times New Roman" w:cs="Times New Roman"/>
          <w:sz w:val="20"/>
        </w:rPr>
        <w:t>Fig. 3</w:t>
      </w:r>
      <w:r w:rsidR="00004036" w:rsidRPr="00283E01">
        <w:rPr>
          <w:rFonts w:ascii="Times New Roman" w:hAnsi="Times New Roman" w:cs="Times New Roman"/>
          <w:sz w:val="20"/>
        </w:rPr>
        <w:t xml:space="preserve"> : Microorganisms on culture sensitivity</w:t>
      </w:r>
    </w:p>
    <w:p w14:paraId="55E8926E" w14:textId="77777777" w:rsidR="00004036" w:rsidRPr="00283E01" w:rsidRDefault="00004036" w:rsidP="00283E01">
      <w:pPr>
        <w:spacing w:after="0" w:line="360" w:lineRule="auto"/>
        <w:rPr>
          <w:rFonts w:ascii="Times New Roman" w:hAnsi="Times New Roman" w:cs="Times New Roman"/>
          <w:sz w:val="20"/>
        </w:rPr>
      </w:pPr>
      <w:r w:rsidRPr="00283E01">
        <w:rPr>
          <w:rFonts w:ascii="Times New Roman" w:hAnsi="Times New Roman" w:cs="Times New Roman"/>
          <w:noProof/>
          <w:sz w:val="20"/>
          <w:lang w:eastAsia="en-IN" w:bidi="ar-SA"/>
        </w:rPr>
        <w:drawing>
          <wp:inline distT="0" distB="0" distL="0" distR="0" wp14:anchorId="6E58756D" wp14:editId="5FE741FA">
            <wp:extent cx="2761247" cy="1702468"/>
            <wp:effectExtent l="0" t="0" r="20320" b="12065"/>
            <wp:docPr id="17" name="Chart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0C47D5D-59BF-BC66-41C7-7311113505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D6DBA7" w14:textId="77777777" w:rsidR="00BA210D" w:rsidRPr="00283E01" w:rsidRDefault="00BA210D" w:rsidP="00283E01">
      <w:pPr>
        <w:spacing w:after="0" w:line="360" w:lineRule="auto"/>
        <w:rPr>
          <w:rFonts w:ascii="Times New Roman" w:hAnsi="Times New Roman" w:cs="Times New Roman"/>
          <w:b/>
          <w:bCs/>
          <w:sz w:val="20"/>
        </w:rPr>
        <w:sectPr w:rsidR="00BA210D" w:rsidRPr="00283E01" w:rsidSect="000C1CCD">
          <w:type w:val="continuous"/>
          <w:pgSz w:w="11906" w:h="16838"/>
          <w:pgMar w:top="720" w:right="720" w:bottom="720" w:left="720" w:header="708" w:footer="708" w:gutter="0"/>
          <w:cols w:space="708"/>
          <w:docGrid w:linePitch="360"/>
        </w:sectPr>
      </w:pPr>
    </w:p>
    <w:p w14:paraId="59457929" w14:textId="45A4E41D" w:rsidR="00004036" w:rsidRPr="00283E01" w:rsidRDefault="00004036" w:rsidP="00D6417D">
      <w:pPr>
        <w:spacing w:after="0" w:line="360" w:lineRule="auto"/>
        <w:jc w:val="both"/>
        <w:rPr>
          <w:rFonts w:ascii="Times New Roman" w:hAnsi="Times New Roman" w:cs="Times New Roman"/>
          <w:b/>
          <w:bCs/>
          <w:sz w:val="20"/>
        </w:rPr>
      </w:pPr>
      <w:r w:rsidRPr="00283E01">
        <w:rPr>
          <w:rFonts w:ascii="Times New Roman" w:hAnsi="Times New Roman" w:cs="Times New Roman"/>
          <w:b/>
          <w:bCs/>
          <w:sz w:val="20"/>
        </w:rPr>
        <w:t>Secondary bacterial wound infection vs % TBSA burn</w:t>
      </w:r>
      <w:r w:rsidR="004412BA" w:rsidRPr="00283E01">
        <w:rPr>
          <w:rFonts w:ascii="Times New Roman" w:hAnsi="Times New Roman" w:cs="Times New Roman"/>
          <w:b/>
          <w:bCs/>
          <w:sz w:val="20"/>
        </w:rPr>
        <w:t xml:space="preserve"> : </w:t>
      </w:r>
      <w:r w:rsidRPr="00283E01">
        <w:rPr>
          <w:rFonts w:ascii="Times New Roman" w:hAnsi="Times New Roman" w:cs="Times New Roman"/>
          <w:sz w:val="20"/>
        </w:rPr>
        <w:t>Maximum incidence of secondary bacterial wound infection was found in the group of 31 – 40 % total body surface area burn. Burns with more than 50% of involved total body surface area succumbed before secondary bacterial wound infection develops and it comes positive on the culture sensitivity report. Over all it is observed that the incidence of secondary bacterial wound infection increases as the burn surface area increases.</w:t>
      </w:r>
    </w:p>
    <w:p w14:paraId="59460DBC" w14:textId="2A8542D0" w:rsidR="00004036" w:rsidRPr="00283E01" w:rsidRDefault="00283E01" w:rsidP="00283E01">
      <w:pPr>
        <w:spacing w:after="0" w:line="360" w:lineRule="auto"/>
        <w:rPr>
          <w:rFonts w:ascii="Times New Roman" w:hAnsi="Times New Roman" w:cs="Times New Roman"/>
          <w:b/>
          <w:bCs/>
          <w:sz w:val="20"/>
        </w:rPr>
      </w:pPr>
      <w:r>
        <w:rPr>
          <w:rFonts w:ascii="Times New Roman" w:hAnsi="Times New Roman" w:cs="Times New Roman"/>
          <w:sz w:val="20"/>
        </w:rPr>
        <w:t>Table 3</w:t>
      </w:r>
      <w:r w:rsidR="00004036" w:rsidRPr="00283E01">
        <w:rPr>
          <w:rFonts w:ascii="Times New Roman" w:hAnsi="Times New Roman" w:cs="Times New Roman"/>
          <w:sz w:val="20"/>
        </w:rPr>
        <w:t xml:space="preserve"> : </w:t>
      </w:r>
      <w:r w:rsidR="00004036" w:rsidRPr="00283E01">
        <w:rPr>
          <w:rFonts w:ascii="Times New Roman" w:hAnsi="Times New Roman" w:cs="Times New Roman"/>
          <w:b/>
          <w:bCs/>
          <w:sz w:val="20"/>
        </w:rPr>
        <w:t>Secondary bacterial wound infection vs % TBSA burn</w:t>
      </w:r>
    </w:p>
    <w:tbl>
      <w:tblPr>
        <w:tblW w:w="5585" w:type="dxa"/>
        <w:tblLook w:val="04A0" w:firstRow="1" w:lastRow="0" w:firstColumn="1" w:lastColumn="0" w:noHBand="0" w:noVBand="1"/>
      </w:tblPr>
      <w:tblGrid>
        <w:gridCol w:w="1292"/>
        <w:gridCol w:w="1041"/>
        <w:gridCol w:w="1691"/>
        <w:gridCol w:w="1561"/>
      </w:tblGrid>
      <w:tr w:rsidR="00780ED7" w:rsidRPr="00283E01" w14:paraId="6A815A96" w14:textId="77777777" w:rsidTr="00897DC4">
        <w:trPr>
          <w:trHeight w:val="211"/>
        </w:trPr>
        <w:tc>
          <w:tcPr>
            <w:tcW w:w="1292" w:type="dxa"/>
            <w:tcBorders>
              <w:top w:val="single" w:sz="8" w:space="0" w:color="auto"/>
              <w:left w:val="single" w:sz="8" w:space="0" w:color="auto"/>
              <w:bottom w:val="single" w:sz="8" w:space="0" w:color="auto"/>
              <w:right w:val="single" w:sz="4" w:space="0" w:color="auto"/>
            </w:tcBorders>
            <w:shd w:val="clear" w:color="000000" w:fill="9BC2E6"/>
            <w:vAlign w:val="center"/>
            <w:hideMark/>
          </w:tcPr>
          <w:p w14:paraId="6F89B817"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Percentage of TBSA Burn</w:t>
            </w:r>
          </w:p>
        </w:tc>
        <w:tc>
          <w:tcPr>
            <w:tcW w:w="1041" w:type="dxa"/>
            <w:tcBorders>
              <w:top w:val="single" w:sz="8" w:space="0" w:color="auto"/>
              <w:left w:val="nil"/>
              <w:bottom w:val="single" w:sz="8" w:space="0" w:color="auto"/>
              <w:right w:val="single" w:sz="4" w:space="0" w:color="auto"/>
            </w:tcBorders>
            <w:shd w:val="clear" w:color="000000" w:fill="9BC2E6"/>
            <w:vAlign w:val="center"/>
            <w:hideMark/>
          </w:tcPr>
          <w:p w14:paraId="11683F8C" w14:textId="255142A3"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Number of patients</w:t>
            </w:r>
          </w:p>
        </w:tc>
        <w:tc>
          <w:tcPr>
            <w:tcW w:w="1691" w:type="dxa"/>
            <w:tcBorders>
              <w:top w:val="single" w:sz="8" w:space="0" w:color="auto"/>
              <w:left w:val="nil"/>
              <w:bottom w:val="single" w:sz="8" w:space="0" w:color="auto"/>
              <w:right w:val="single" w:sz="4" w:space="0" w:color="auto"/>
            </w:tcBorders>
            <w:shd w:val="clear" w:color="000000" w:fill="9BC2E6"/>
            <w:vAlign w:val="center"/>
            <w:hideMark/>
          </w:tcPr>
          <w:p w14:paraId="675A94A1"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Number of patients having infection</w:t>
            </w:r>
          </w:p>
        </w:tc>
        <w:tc>
          <w:tcPr>
            <w:tcW w:w="1561" w:type="dxa"/>
            <w:tcBorders>
              <w:top w:val="single" w:sz="8" w:space="0" w:color="auto"/>
              <w:left w:val="nil"/>
              <w:bottom w:val="single" w:sz="8" w:space="0" w:color="auto"/>
              <w:right w:val="single" w:sz="8" w:space="0" w:color="auto"/>
            </w:tcBorders>
            <w:shd w:val="clear" w:color="000000" w:fill="9BC2E6"/>
            <w:vAlign w:val="center"/>
            <w:hideMark/>
          </w:tcPr>
          <w:p w14:paraId="1904DC3A"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 xml:space="preserve">% of Secondary bacterial wound infection </w:t>
            </w:r>
          </w:p>
        </w:tc>
      </w:tr>
      <w:tr w:rsidR="00780ED7" w:rsidRPr="00283E01" w14:paraId="0D32A5D8" w14:textId="77777777" w:rsidTr="00897DC4">
        <w:trPr>
          <w:trHeight w:val="94"/>
        </w:trPr>
        <w:tc>
          <w:tcPr>
            <w:tcW w:w="1292" w:type="dxa"/>
            <w:tcBorders>
              <w:top w:val="nil"/>
              <w:left w:val="single" w:sz="8" w:space="0" w:color="auto"/>
              <w:bottom w:val="single" w:sz="4" w:space="0" w:color="auto"/>
              <w:right w:val="single" w:sz="4" w:space="0" w:color="auto"/>
            </w:tcBorders>
            <w:shd w:val="clear" w:color="000000" w:fill="9BC2E6"/>
            <w:vAlign w:val="center"/>
            <w:hideMark/>
          </w:tcPr>
          <w:p w14:paraId="7F7D0B33"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0-10</w:t>
            </w:r>
          </w:p>
        </w:tc>
        <w:tc>
          <w:tcPr>
            <w:tcW w:w="1041" w:type="dxa"/>
            <w:tcBorders>
              <w:top w:val="nil"/>
              <w:left w:val="nil"/>
              <w:bottom w:val="single" w:sz="4" w:space="0" w:color="auto"/>
              <w:right w:val="single" w:sz="4" w:space="0" w:color="auto"/>
            </w:tcBorders>
            <w:shd w:val="clear" w:color="000000" w:fill="9BC2E6"/>
            <w:noWrap/>
            <w:vAlign w:val="center"/>
            <w:hideMark/>
          </w:tcPr>
          <w:p w14:paraId="7B239424"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19</w:t>
            </w:r>
          </w:p>
        </w:tc>
        <w:tc>
          <w:tcPr>
            <w:tcW w:w="1691" w:type="dxa"/>
            <w:tcBorders>
              <w:top w:val="nil"/>
              <w:left w:val="nil"/>
              <w:bottom w:val="single" w:sz="4" w:space="0" w:color="auto"/>
              <w:right w:val="single" w:sz="4" w:space="0" w:color="auto"/>
            </w:tcBorders>
            <w:shd w:val="clear" w:color="000000" w:fill="9BC2E6"/>
            <w:noWrap/>
            <w:vAlign w:val="center"/>
            <w:hideMark/>
          </w:tcPr>
          <w:p w14:paraId="1EF72995"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w:t>
            </w:r>
          </w:p>
        </w:tc>
        <w:tc>
          <w:tcPr>
            <w:tcW w:w="1561" w:type="dxa"/>
            <w:tcBorders>
              <w:top w:val="nil"/>
              <w:left w:val="nil"/>
              <w:bottom w:val="single" w:sz="4" w:space="0" w:color="auto"/>
              <w:right w:val="single" w:sz="8" w:space="0" w:color="auto"/>
            </w:tcBorders>
            <w:shd w:val="clear" w:color="000000" w:fill="9BC2E6"/>
            <w:noWrap/>
            <w:vAlign w:val="center"/>
            <w:hideMark/>
          </w:tcPr>
          <w:p w14:paraId="0B030064"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10.53</w:t>
            </w:r>
          </w:p>
        </w:tc>
      </w:tr>
      <w:tr w:rsidR="00780ED7" w:rsidRPr="00283E01" w14:paraId="7D473C28" w14:textId="77777777" w:rsidTr="00897DC4">
        <w:trPr>
          <w:trHeight w:val="45"/>
        </w:trPr>
        <w:tc>
          <w:tcPr>
            <w:tcW w:w="1292" w:type="dxa"/>
            <w:tcBorders>
              <w:top w:val="nil"/>
              <w:left w:val="single" w:sz="8" w:space="0" w:color="auto"/>
              <w:bottom w:val="single" w:sz="4" w:space="0" w:color="auto"/>
              <w:right w:val="single" w:sz="4" w:space="0" w:color="auto"/>
            </w:tcBorders>
            <w:shd w:val="clear" w:color="000000" w:fill="9BC2E6"/>
            <w:vAlign w:val="center"/>
            <w:hideMark/>
          </w:tcPr>
          <w:p w14:paraId="6B10F4B5"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11-20.</w:t>
            </w:r>
          </w:p>
        </w:tc>
        <w:tc>
          <w:tcPr>
            <w:tcW w:w="1041" w:type="dxa"/>
            <w:tcBorders>
              <w:top w:val="nil"/>
              <w:left w:val="nil"/>
              <w:bottom w:val="single" w:sz="4" w:space="0" w:color="auto"/>
              <w:right w:val="single" w:sz="4" w:space="0" w:color="auto"/>
            </w:tcBorders>
            <w:shd w:val="clear" w:color="000000" w:fill="9BC2E6"/>
            <w:noWrap/>
            <w:vAlign w:val="center"/>
            <w:hideMark/>
          </w:tcPr>
          <w:p w14:paraId="0488A829"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28</w:t>
            </w:r>
          </w:p>
        </w:tc>
        <w:tc>
          <w:tcPr>
            <w:tcW w:w="1691" w:type="dxa"/>
            <w:tcBorders>
              <w:top w:val="nil"/>
              <w:left w:val="nil"/>
              <w:bottom w:val="single" w:sz="4" w:space="0" w:color="auto"/>
              <w:right w:val="single" w:sz="4" w:space="0" w:color="auto"/>
            </w:tcBorders>
            <w:shd w:val="clear" w:color="000000" w:fill="9BC2E6"/>
            <w:noWrap/>
            <w:vAlign w:val="center"/>
            <w:hideMark/>
          </w:tcPr>
          <w:p w14:paraId="09A7EFA9"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7</w:t>
            </w:r>
          </w:p>
        </w:tc>
        <w:tc>
          <w:tcPr>
            <w:tcW w:w="1561" w:type="dxa"/>
            <w:tcBorders>
              <w:top w:val="nil"/>
              <w:left w:val="nil"/>
              <w:bottom w:val="single" w:sz="4" w:space="0" w:color="auto"/>
              <w:right w:val="single" w:sz="8" w:space="0" w:color="auto"/>
            </w:tcBorders>
            <w:shd w:val="clear" w:color="000000" w:fill="9BC2E6"/>
            <w:noWrap/>
            <w:vAlign w:val="center"/>
            <w:hideMark/>
          </w:tcPr>
          <w:p w14:paraId="0AA1D3CE"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25.00</w:t>
            </w:r>
          </w:p>
        </w:tc>
      </w:tr>
      <w:tr w:rsidR="00780ED7" w:rsidRPr="00283E01" w14:paraId="29F67241" w14:textId="77777777" w:rsidTr="00897DC4">
        <w:trPr>
          <w:trHeight w:val="46"/>
        </w:trPr>
        <w:tc>
          <w:tcPr>
            <w:tcW w:w="1292" w:type="dxa"/>
            <w:tcBorders>
              <w:top w:val="nil"/>
              <w:left w:val="single" w:sz="8" w:space="0" w:color="auto"/>
              <w:bottom w:val="single" w:sz="4" w:space="0" w:color="auto"/>
              <w:right w:val="single" w:sz="4" w:space="0" w:color="auto"/>
            </w:tcBorders>
            <w:shd w:val="clear" w:color="000000" w:fill="9BC2E6"/>
            <w:vAlign w:val="center"/>
            <w:hideMark/>
          </w:tcPr>
          <w:p w14:paraId="30DBBED2"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21-30</w:t>
            </w:r>
          </w:p>
        </w:tc>
        <w:tc>
          <w:tcPr>
            <w:tcW w:w="1041" w:type="dxa"/>
            <w:tcBorders>
              <w:top w:val="nil"/>
              <w:left w:val="nil"/>
              <w:bottom w:val="single" w:sz="4" w:space="0" w:color="auto"/>
              <w:right w:val="single" w:sz="4" w:space="0" w:color="auto"/>
            </w:tcBorders>
            <w:shd w:val="clear" w:color="000000" w:fill="9BC2E6"/>
            <w:noWrap/>
            <w:vAlign w:val="center"/>
            <w:hideMark/>
          </w:tcPr>
          <w:p w14:paraId="79345487"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13</w:t>
            </w:r>
          </w:p>
        </w:tc>
        <w:tc>
          <w:tcPr>
            <w:tcW w:w="1691" w:type="dxa"/>
            <w:tcBorders>
              <w:top w:val="nil"/>
              <w:left w:val="nil"/>
              <w:bottom w:val="single" w:sz="4" w:space="0" w:color="auto"/>
              <w:right w:val="single" w:sz="4" w:space="0" w:color="auto"/>
            </w:tcBorders>
            <w:shd w:val="clear" w:color="000000" w:fill="9BC2E6"/>
            <w:noWrap/>
            <w:vAlign w:val="center"/>
            <w:hideMark/>
          </w:tcPr>
          <w:p w14:paraId="679BC1DE"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10</w:t>
            </w:r>
          </w:p>
        </w:tc>
        <w:tc>
          <w:tcPr>
            <w:tcW w:w="1561" w:type="dxa"/>
            <w:tcBorders>
              <w:top w:val="nil"/>
              <w:left w:val="nil"/>
              <w:bottom w:val="single" w:sz="4" w:space="0" w:color="auto"/>
              <w:right w:val="single" w:sz="8" w:space="0" w:color="auto"/>
            </w:tcBorders>
            <w:shd w:val="clear" w:color="000000" w:fill="9BC2E6"/>
            <w:noWrap/>
            <w:vAlign w:val="center"/>
            <w:hideMark/>
          </w:tcPr>
          <w:p w14:paraId="5D69412E"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76.92</w:t>
            </w:r>
          </w:p>
        </w:tc>
      </w:tr>
      <w:tr w:rsidR="00780ED7" w:rsidRPr="00283E01" w14:paraId="59897331" w14:textId="77777777" w:rsidTr="00897DC4">
        <w:trPr>
          <w:trHeight w:val="170"/>
        </w:trPr>
        <w:tc>
          <w:tcPr>
            <w:tcW w:w="1292" w:type="dxa"/>
            <w:tcBorders>
              <w:top w:val="nil"/>
              <w:left w:val="single" w:sz="8" w:space="0" w:color="auto"/>
              <w:bottom w:val="single" w:sz="4" w:space="0" w:color="auto"/>
              <w:right w:val="single" w:sz="4" w:space="0" w:color="auto"/>
            </w:tcBorders>
            <w:shd w:val="clear" w:color="000000" w:fill="9BC2E6"/>
            <w:vAlign w:val="center"/>
            <w:hideMark/>
          </w:tcPr>
          <w:p w14:paraId="6E89FAB5"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31-40</w:t>
            </w:r>
          </w:p>
        </w:tc>
        <w:tc>
          <w:tcPr>
            <w:tcW w:w="1041" w:type="dxa"/>
            <w:tcBorders>
              <w:top w:val="nil"/>
              <w:left w:val="nil"/>
              <w:bottom w:val="single" w:sz="4" w:space="0" w:color="auto"/>
              <w:right w:val="single" w:sz="4" w:space="0" w:color="auto"/>
            </w:tcBorders>
            <w:shd w:val="clear" w:color="000000" w:fill="9BC2E6"/>
            <w:noWrap/>
            <w:vAlign w:val="center"/>
            <w:hideMark/>
          </w:tcPr>
          <w:p w14:paraId="3E63DC74"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7</w:t>
            </w:r>
          </w:p>
        </w:tc>
        <w:tc>
          <w:tcPr>
            <w:tcW w:w="1691" w:type="dxa"/>
            <w:tcBorders>
              <w:top w:val="nil"/>
              <w:left w:val="nil"/>
              <w:bottom w:val="single" w:sz="4" w:space="0" w:color="auto"/>
              <w:right w:val="single" w:sz="4" w:space="0" w:color="auto"/>
            </w:tcBorders>
            <w:shd w:val="clear" w:color="000000" w:fill="9BC2E6"/>
            <w:noWrap/>
            <w:vAlign w:val="center"/>
            <w:hideMark/>
          </w:tcPr>
          <w:p w14:paraId="180D1ACC"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6</w:t>
            </w:r>
          </w:p>
        </w:tc>
        <w:tc>
          <w:tcPr>
            <w:tcW w:w="1561" w:type="dxa"/>
            <w:tcBorders>
              <w:top w:val="nil"/>
              <w:left w:val="nil"/>
              <w:bottom w:val="single" w:sz="4" w:space="0" w:color="auto"/>
              <w:right w:val="single" w:sz="8" w:space="0" w:color="auto"/>
            </w:tcBorders>
            <w:shd w:val="clear" w:color="000000" w:fill="9BC2E6"/>
            <w:noWrap/>
            <w:vAlign w:val="center"/>
            <w:hideMark/>
          </w:tcPr>
          <w:p w14:paraId="49C9B09E"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85.71</w:t>
            </w:r>
          </w:p>
        </w:tc>
      </w:tr>
      <w:tr w:rsidR="00780ED7" w:rsidRPr="00283E01" w14:paraId="7814079A" w14:textId="77777777" w:rsidTr="00897DC4">
        <w:trPr>
          <w:trHeight w:val="45"/>
        </w:trPr>
        <w:tc>
          <w:tcPr>
            <w:tcW w:w="1292" w:type="dxa"/>
            <w:tcBorders>
              <w:top w:val="nil"/>
              <w:left w:val="single" w:sz="8" w:space="0" w:color="auto"/>
              <w:bottom w:val="single" w:sz="4" w:space="0" w:color="auto"/>
              <w:right w:val="single" w:sz="4" w:space="0" w:color="auto"/>
            </w:tcBorders>
            <w:shd w:val="clear" w:color="000000" w:fill="9BC2E6"/>
            <w:vAlign w:val="center"/>
            <w:hideMark/>
          </w:tcPr>
          <w:p w14:paraId="0914F7D2"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41-50</w:t>
            </w:r>
          </w:p>
        </w:tc>
        <w:tc>
          <w:tcPr>
            <w:tcW w:w="1041" w:type="dxa"/>
            <w:tcBorders>
              <w:top w:val="nil"/>
              <w:left w:val="nil"/>
              <w:bottom w:val="single" w:sz="4" w:space="0" w:color="auto"/>
              <w:right w:val="single" w:sz="4" w:space="0" w:color="auto"/>
            </w:tcBorders>
            <w:shd w:val="clear" w:color="000000" w:fill="9BC2E6"/>
            <w:noWrap/>
            <w:vAlign w:val="center"/>
            <w:hideMark/>
          </w:tcPr>
          <w:p w14:paraId="0473DEAD"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13</w:t>
            </w:r>
          </w:p>
        </w:tc>
        <w:tc>
          <w:tcPr>
            <w:tcW w:w="1691" w:type="dxa"/>
            <w:tcBorders>
              <w:top w:val="nil"/>
              <w:left w:val="nil"/>
              <w:bottom w:val="single" w:sz="4" w:space="0" w:color="auto"/>
              <w:right w:val="single" w:sz="4" w:space="0" w:color="auto"/>
            </w:tcBorders>
            <w:shd w:val="clear" w:color="000000" w:fill="9BC2E6"/>
            <w:noWrap/>
            <w:vAlign w:val="center"/>
            <w:hideMark/>
          </w:tcPr>
          <w:p w14:paraId="6C324CD7"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11</w:t>
            </w:r>
          </w:p>
        </w:tc>
        <w:tc>
          <w:tcPr>
            <w:tcW w:w="1561" w:type="dxa"/>
            <w:tcBorders>
              <w:top w:val="nil"/>
              <w:left w:val="nil"/>
              <w:bottom w:val="single" w:sz="4" w:space="0" w:color="auto"/>
              <w:right w:val="single" w:sz="8" w:space="0" w:color="auto"/>
            </w:tcBorders>
            <w:shd w:val="clear" w:color="000000" w:fill="9BC2E6"/>
            <w:noWrap/>
            <w:vAlign w:val="center"/>
            <w:hideMark/>
          </w:tcPr>
          <w:p w14:paraId="60BAC492"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84.62</w:t>
            </w:r>
          </w:p>
        </w:tc>
      </w:tr>
      <w:tr w:rsidR="00780ED7" w:rsidRPr="00283E01" w14:paraId="7CFD9681" w14:textId="77777777" w:rsidTr="00897DC4">
        <w:trPr>
          <w:trHeight w:val="46"/>
        </w:trPr>
        <w:tc>
          <w:tcPr>
            <w:tcW w:w="1292" w:type="dxa"/>
            <w:tcBorders>
              <w:top w:val="nil"/>
              <w:left w:val="single" w:sz="8" w:space="0" w:color="auto"/>
              <w:bottom w:val="single" w:sz="4" w:space="0" w:color="auto"/>
              <w:right w:val="single" w:sz="4" w:space="0" w:color="auto"/>
            </w:tcBorders>
            <w:shd w:val="clear" w:color="000000" w:fill="9BC2E6"/>
            <w:vAlign w:val="center"/>
            <w:hideMark/>
          </w:tcPr>
          <w:p w14:paraId="337494BC"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51-60</w:t>
            </w:r>
          </w:p>
        </w:tc>
        <w:tc>
          <w:tcPr>
            <w:tcW w:w="1041" w:type="dxa"/>
            <w:tcBorders>
              <w:top w:val="nil"/>
              <w:left w:val="nil"/>
              <w:bottom w:val="single" w:sz="4" w:space="0" w:color="auto"/>
              <w:right w:val="single" w:sz="4" w:space="0" w:color="auto"/>
            </w:tcBorders>
            <w:shd w:val="clear" w:color="000000" w:fill="9BC2E6"/>
            <w:noWrap/>
            <w:vAlign w:val="center"/>
            <w:hideMark/>
          </w:tcPr>
          <w:p w14:paraId="1A7AB875"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18</w:t>
            </w:r>
          </w:p>
        </w:tc>
        <w:tc>
          <w:tcPr>
            <w:tcW w:w="1691" w:type="dxa"/>
            <w:tcBorders>
              <w:top w:val="nil"/>
              <w:left w:val="nil"/>
              <w:bottom w:val="single" w:sz="4" w:space="0" w:color="auto"/>
              <w:right w:val="single" w:sz="4" w:space="0" w:color="auto"/>
            </w:tcBorders>
            <w:shd w:val="clear" w:color="000000" w:fill="9BC2E6"/>
            <w:noWrap/>
            <w:vAlign w:val="center"/>
            <w:hideMark/>
          </w:tcPr>
          <w:p w14:paraId="710310E8"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12</w:t>
            </w:r>
          </w:p>
        </w:tc>
        <w:tc>
          <w:tcPr>
            <w:tcW w:w="1561" w:type="dxa"/>
            <w:tcBorders>
              <w:top w:val="nil"/>
              <w:left w:val="nil"/>
              <w:bottom w:val="single" w:sz="4" w:space="0" w:color="auto"/>
              <w:right w:val="single" w:sz="8" w:space="0" w:color="auto"/>
            </w:tcBorders>
            <w:shd w:val="clear" w:color="000000" w:fill="9BC2E6"/>
            <w:noWrap/>
            <w:vAlign w:val="center"/>
            <w:hideMark/>
          </w:tcPr>
          <w:p w14:paraId="1DAC7B29"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66.67</w:t>
            </w:r>
          </w:p>
        </w:tc>
      </w:tr>
      <w:tr w:rsidR="00780ED7" w:rsidRPr="00283E01" w14:paraId="05BED722" w14:textId="77777777" w:rsidTr="00897DC4">
        <w:trPr>
          <w:trHeight w:val="46"/>
        </w:trPr>
        <w:tc>
          <w:tcPr>
            <w:tcW w:w="1292" w:type="dxa"/>
            <w:tcBorders>
              <w:top w:val="nil"/>
              <w:left w:val="single" w:sz="8" w:space="0" w:color="auto"/>
              <w:bottom w:val="single" w:sz="4" w:space="0" w:color="auto"/>
              <w:right w:val="single" w:sz="4" w:space="0" w:color="auto"/>
            </w:tcBorders>
            <w:shd w:val="clear" w:color="000000" w:fill="9BC2E6"/>
            <w:vAlign w:val="center"/>
            <w:hideMark/>
          </w:tcPr>
          <w:p w14:paraId="2783BF10"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61-70</w:t>
            </w:r>
          </w:p>
        </w:tc>
        <w:tc>
          <w:tcPr>
            <w:tcW w:w="1041" w:type="dxa"/>
            <w:tcBorders>
              <w:top w:val="nil"/>
              <w:left w:val="nil"/>
              <w:bottom w:val="single" w:sz="4" w:space="0" w:color="auto"/>
              <w:right w:val="single" w:sz="4" w:space="0" w:color="auto"/>
            </w:tcBorders>
            <w:shd w:val="clear" w:color="000000" w:fill="9BC2E6"/>
            <w:noWrap/>
            <w:vAlign w:val="center"/>
            <w:hideMark/>
          </w:tcPr>
          <w:p w14:paraId="04458762"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8</w:t>
            </w:r>
          </w:p>
        </w:tc>
        <w:tc>
          <w:tcPr>
            <w:tcW w:w="1691" w:type="dxa"/>
            <w:tcBorders>
              <w:top w:val="nil"/>
              <w:left w:val="nil"/>
              <w:bottom w:val="single" w:sz="4" w:space="0" w:color="auto"/>
              <w:right w:val="single" w:sz="4" w:space="0" w:color="auto"/>
            </w:tcBorders>
            <w:shd w:val="clear" w:color="000000" w:fill="9BC2E6"/>
            <w:noWrap/>
            <w:vAlign w:val="center"/>
            <w:hideMark/>
          </w:tcPr>
          <w:p w14:paraId="7A676169"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0</w:t>
            </w:r>
          </w:p>
        </w:tc>
        <w:tc>
          <w:tcPr>
            <w:tcW w:w="1561" w:type="dxa"/>
            <w:tcBorders>
              <w:top w:val="nil"/>
              <w:left w:val="nil"/>
              <w:bottom w:val="single" w:sz="4" w:space="0" w:color="auto"/>
              <w:right w:val="single" w:sz="8" w:space="0" w:color="auto"/>
            </w:tcBorders>
            <w:shd w:val="clear" w:color="000000" w:fill="9BC2E6"/>
            <w:noWrap/>
            <w:vAlign w:val="center"/>
            <w:hideMark/>
          </w:tcPr>
          <w:p w14:paraId="6B10FCCB"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0.00</w:t>
            </w:r>
          </w:p>
        </w:tc>
      </w:tr>
      <w:tr w:rsidR="00780ED7" w:rsidRPr="00283E01" w14:paraId="4F125351" w14:textId="77777777" w:rsidTr="00897DC4">
        <w:trPr>
          <w:trHeight w:val="46"/>
        </w:trPr>
        <w:tc>
          <w:tcPr>
            <w:tcW w:w="1292" w:type="dxa"/>
            <w:tcBorders>
              <w:top w:val="nil"/>
              <w:left w:val="single" w:sz="8" w:space="0" w:color="auto"/>
              <w:bottom w:val="single" w:sz="4" w:space="0" w:color="auto"/>
              <w:right w:val="single" w:sz="4" w:space="0" w:color="auto"/>
            </w:tcBorders>
            <w:shd w:val="clear" w:color="000000" w:fill="9BC2E6"/>
            <w:vAlign w:val="center"/>
            <w:hideMark/>
          </w:tcPr>
          <w:p w14:paraId="054FEFAC"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71-80</w:t>
            </w:r>
          </w:p>
        </w:tc>
        <w:tc>
          <w:tcPr>
            <w:tcW w:w="1041" w:type="dxa"/>
            <w:tcBorders>
              <w:top w:val="nil"/>
              <w:left w:val="nil"/>
              <w:bottom w:val="single" w:sz="4" w:space="0" w:color="auto"/>
              <w:right w:val="single" w:sz="4" w:space="0" w:color="auto"/>
            </w:tcBorders>
            <w:shd w:val="clear" w:color="000000" w:fill="9BC2E6"/>
            <w:noWrap/>
            <w:vAlign w:val="center"/>
            <w:hideMark/>
          </w:tcPr>
          <w:p w14:paraId="66AA556D"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5</w:t>
            </w:r>
          </w:p>
        </w:tc>
        <w:tc>
          <w:tcPr>
            <w:tcW w:w="1691" w:type="dxa"/>
            <w:tcBorders>
              <w:top w:val="nil"/>
              <w:left w:val="nil"/>
              <w:bottom w:val="single" w:sz="4" w:space="0" w:color="auto"/>
              <w:right w:val="single" w:sz="4" w:space="0" w:color="auto"/>
            </w:tcBorders>
            <w:shd w:val="clear" w:color="000000" w:fill="9BC2E6"/>
            <w:noWrap/>
            <w:vAlign w:val="center"/>
            <w:hideMark/>
          </w:tcPr>
          <w:p w14:paraId="2F9C1C6D"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0</w:t>
            </w:r>
          </w:p>
        </w:tc>
        <w:tc>
          <w:tcPr>
            <w:tcW w:w="1561" w:type="dxa"/>
            <w:tcBorders>
              <w:top w:val="nil"/>
              <w:left w:val="nil"/>
              <w:bottom w:val="single" w:sz="4" w:space="0" w:color="auto"/>
              <w:right w:val="single" w:sz="8" w:space="0" w:color="auto"/>
            </w:tcBorders>
            <w:shd w:val="clear" w:color="000000" w:fill="9BC2E6"/>
            <w:noWrap/>
            <w:vAlign w:val="center"/>
            <w:hideMark/>
          </w:tcPr>
          <w:p w14:paraId="12FB55AC"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0.00</w:t>
            </w:r>
          </w:p>
        </w:tc>
      </w:tr>
      <w:tr w:rsidR="00780ED7" w:rsidRPr="00283E01" w14:paraId="7C9C2A49" w14:textId="77777777" w:rsidTr="00897DC4">
        <w:trPr>
          <w:trHeight w:val="46"/>
        </w:trPr>
        <w:tc>
          <w:tcPr>
            <w:tcW w:w="1292" w:type="dxa"/>
            <w:tcBorders>
              <w:top w:val="nil"/>
              <w:left w:val="single" w:sz="8" w:space="0" w:color="auto"/>
              <w:bottom w:val="single" w:sz="4" w:space="0" w:color="auto"/>
              <w:right w:val="single" w:sz="4" w:space="0" w:color="auto"/>
            </w:tcBorders>
            <w:shd w:val="clear" w:color="000000" w:fill="9BC2E6"/>
            <w:vAlign w:val="center"/>
            <w:hideMark/>
          </w:tcPr>
          <w:p w14:paraId="0D132E3C"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81-90</w:t>
            </w:r>
          </w:p>
        </w:tc>
        <w:tc>
          <w:tcPr>
            <w:tcW w:w="1041" w:type="dxa"/>
            <w:tcBorders>
              <w:top w:val="nil"/>
              <w:left w:val="nil"/>
              <w:bottom w:val="single" w:sz="4" w:space="0" w:color="auto"/>
              <w:right w:val="single" w:sz="4" w:space="0" w:color="auto"/>
            </w:tcBorders>
            <w:shd w:val="clear" w:color="000000" w:fill="9BC2E6"/>
            <w:noWrap/>
            <w:vAlign w:val="center"/>
            <w:hideMark/>
          </w:tcPr>
          <w:p w14:paraId="33E1652D"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6</w:t>
            </w:r>
          </w:p>
        </w:tc>
        <w:tc>
          <w:tcPr>
            <w:tcW w:w="1691" w:type="dxa"/>
            <w:tcBorders>
              <w:top w:val="nil"/>
              <w:left w:val="nil"/>
              <w:bottom w:val="single" w:sz="4" w:space="0" w:color="auto"/>
              <w:right w:val="single" w:sz="4" w:space="0" w:color="auto"/>
            </w:tcBorders>
            <w:shd w:val="clear" w:color="000000" w:fill="9BC2E6"/>
            <w:noWrap/>
            <w:vAlign w:val="center"/>
            <w:hideMark/>
          </w:tcPr>
          <w:p w14:paraId="68F33DB8"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0</w:t>
            </w:r>
          </w:p>
        </w:tc>
        <w:tc>
          <w:tcPr>
            <w:tcW w:w="1561" w:type="dxa"/>
            <w:tcBorders>
              <w:top w:val="nil"/>
              <w:left w:val="nil"/>
              <w:bottom w:val="single" w:sz="4" w:space="0" w:color="auto"/>
              <w:right w:val="single" w:sz="8" w:space="0" w:color="auto"/>
            </w:tcBorders>
            <w:shd w:val="clear" w:color="000000" w:fill="9BC2E6"/>
            <w:noWrap/>
            <w:vAlign w:val="center"/>
            <w:hideMark/>
          </w:tcPr>
          <w:p w14:paraId="5693BBE5"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0.00</w:t>
            </w:r>
          </w:p>
        </w:tc>
      </w:tr>
      <w:tr w:rsidR="00780ED7" w:rsidRPr="00283E01" w14:paraId="786EB50D" w14:textId="77777777" w:rsidTr="00897DC4">
        <w:trPr>
          <w:trHeight w:val="46"/>
        </w:trPr>
        <w:tc>
          <w:tcPr>
            <w:tcW w:w="1292" w:type="dxa"/>
            <w:tcBorders>
              <w:top w:val="nil"/>
              <w:left w:val="single" w:sz="8" w:space="0" w:color="auto"/>
              <w:bottom w:val="single" w:sz="8" w:space="0" w:color="auto"/>
              <w:right w:val="single" w:sz="4" w:space="0" w:color="auto"/>
            </w:tcBorders>
            <w:shd w:val="clear" w:color="000000" w:fill="9BC2E6"/>
            <w:vAlign w:val="center"/>
            <w:hideMark/>
          </w:tcPr>
          <w:p w14:paraId="0E0F3A85"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91-100</w:t>
            </w:r>
          </w:p>
        </w:tc>
        <w:tc>
          <w:tcPr>
            <w:tcW w:w="1041" w:type="dxa"/>
            <w:tcBorders>
              <w:top w:val="nil"/>
              <w:left w:val="nil"/>
              <w:bottom w:val="single" w:sz="8" w:space="0" w:color="auto"/>
              <w:right w:val="single" w:sz="4" w:space="0" w:color="auto"/>
            </w:tcBorders>
            <w:shd w:val="clear" w:color="000000" w:fill="9BC2E6"/>
            <w:noWrap/>
            <w:vAlign w:val="center"/>
            <w:hideMark/>
          </w:tcPr>
          <w:p w14:paraId="7944A780"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3</w:t>
            </w:r>
          </w:p>
        </w:tc>
        <w:tc>
          <w:tcPr>
            <w:tcW w:w="1691" w:type="dxa"/>
            <w:tcBorders>
              <w:top w:val="nil"/>
              <w:left w:val="nil"/>
              <w:bottom w:val="single" w:sz="8" w:space="0" w:color="auto"/>
              <w:right w:val="single" w:sz="4" w:space="0" w:color="auto"/>
            </w:tcBorders>
            <w:shd w:val="clear" w:color="000000" w:fill="9BC2E6"/>
            <w:noWrap/>
            <w:vAlign w:val="center"/>
            <w:hideMark/>
          </w:tcPr>
          <w:p w14:paraId="59DAD9A0"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0</w:t>
            </w:r>
          </w:p>
        </w:tc>
        <w:tc>
          <w:tcPr>
            <w:tcW w:w="1561" w:type="dxa"/>
            <w:tcBorders>
              <w:top w:val="nil"/>
              <w:left w:val="nil"/>
              <w:bottom w:val="single" w:sz="8" w:space="0" w:color="auto"/>
              <w:right w:val="single" w:sz="8" w:space="0" w:color="auto"/>
            </w:tcBorders>
            <w:shd w:val="clear" w:color="000000" w:fill="9BC2E6"/>
            <w:noWrap/>
            <w:vAlign w:val="center"/>
            <w:hideMark/>
          </w:tcPr>
          <w:p w14:paraId="3BDBC058"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0.00</w:t>
            </w:r>
          </w:p>
        </w:tc>
      </w:tr>
    </w:tbl>
    <w:p w14:paraId="117DDDA8" w14:textId="6CD68A1A" w:rsidR="00004036" w:rsidRPr="00283E01" w:rsidRDefault="00004036" w:rsidP="00283E01">
      <w:pPr>
        <w:spacing w:after="0" w:line="360" w:lineRule="auto"/>
        <w:rPr>
          <w:rFonts w:ascii="Times New Roman" w:hAnsi="Times New Roman" w:cs="Times New Roman"/>
          <w:b/>
          <w:bCs/>
          <w:sz w:val="20"/>
        </w:rPr>
      </w:pPr>
      <w:r w:rsidRPr="00283E01">
        <w:rPr>
          <w:rFonts w:ascii="Times New Roman" w:hAnsi="Times New Roman" w:cs="Times New Roman"/>
          <w:b/>
          <w:bCs/>
          <w:sz w:val="20"/>
        </w:rPr>
        <w:t>Secondary bacterial wound infection vs degree of burns</w:t>
      </w:r>
      <w:r w:rsidR="002C2B6F" w:rsidRPr="00283E01">
        <w:rPr>
          <w:rFonts w:ascii="Times New Roman" w:hAnsi="Times New Roman" w:cs="Times New Roman"/>
          <w:b/>
          <w:bCs/>
          <w:sz w:val="20"/>
        </w:rPr>
        <w:t xml:space="preserve"> : </w:t>
      </w:r>
      <w:r w:rsidRPr="00283E01">
        <w:rPr>
          <w:rFonts w:ascii="Times New Roman" w:hAnsi="Times New Roman" w:cs="Times New Roman"/>
          <w:sz w:val="20"/>
        </w:rPr>
        <w:t>Maximum number of patients were observed with mixed type of burn injuries with all degrees of burn injuries and those patients showed maximum percentage (62.16%) of secondary bacterial wound infections.</w:t>
      </w:r>
    </w:p>
    <w:p w14:paraId="24AD30DA" w14:textId="77516331" w:rsidR="00004036" w:rsidRPr="00283E01" w:rsidRDefault="00004036" w:rsidP="00283E01">
      <w:pPr>
        <w:spacing w:after="0" w:line="360" w:lineRule="auto"/>
        <w:rPr>
          <w:rFonts w:ascii="Times New Roman" w:hAnsi="Times New Roman" w:cs="Times New Roman"/>
          <w:b/>
          <w:bCs/>
          <w:sz w:val="20"/>
        </w:rPr>
      </w:pPr>
      <w:r w:rsidRPr="00283E01">
        <w:rPr>
          <w:rFonts w:ascii="Times New Roman" w:hAnsi="Times New Roman" w:cs="Times New Roman"/>
          <w:sz w:val="20"/>
        </w:rPr>
        <w:t>Table</w:t>
      </w:r>
      <w:r w:rsidR="00283E01">
        <w:rPr>
          <w:rFonts w:ascii="Times New Roman" w:hAnsi="Times New Roman" w:cs="Times New Roman"/>
          <w:sz w:val="20"/>
        </w:rPr>
        <w:t xml:space="preserve"> 4</w:t>
      </w:r>
      <w:r w:rsidRPr="00283E01">
        <w:rPr>
          <w:rFonts w:ascii="Times New Roman" w:hAnsi="Times New Roman" w:cs="Times New Roman"/>
          <w:sz w:val="20"/>
        </w:rPr>
        <w:t xml:space="preserve"> : </w:t>
      </w:r>
      <w:r w:rsidRPr="00283E01">
        <w:rPr>
          <w:rFonts w:ascii="Times New Roman" w:hAnsi="Times New Roman" w:cs="Times New Roman"/>
          <w:b/>
          <w:bCs/>
          <w:sz w:val="20"/>
        </w:rPr>
        <w:t>Secondary bacterial wound infection vs degree of burns</w:t>
      </w:r>
    </w:p>
    <w:tbl>
      <w:tblPr>
        <w:tblW w:w="5521" w:type="dxa"/>
        <w:tblLook w:val="04A0" w:firstRow="1" w:lastRow="0" w:firstColumn="1" w:lastColumn="0" w:noHBand="0" w:noVBand="1"/>
      </w:tblPr>
      <w:tblGrid>
        <w:gridCol w:w="1440"/>
        <w:gridCol w:w="1053"/>
        <w:gridCol w:w="1580"/>
        <w:gridCol w:w="1448"/>
      </w:tblGrid>
      <w:tr w:rsidR="00004036" w:rsidRPr="00283E01" w14:paraId="6BA8772F" w14:textId="77777777" w:rsidTr="00897DC4">
        <w:trPr>
          <w:trHeight w:val="1174"/>
        </w:trPr>
        <w:tc>
          <w:tcPr>
            <w:tcW w:w="1440"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2337E53A"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Degree of Burns</w:t>
            </w:r>
          </w:p>
        </w:tc>
        <w:tc>
          <w:tcPr>
            <w:tcW w:w="1053" w:type="dxa"/>
            <w:tcBorders>
              <w:top w:val="single" w:sz="8" w:space="0" w:color="auto"/>
              <w:left w:val="nil"/>
              <w:bottom w:val="single" w:sz="8" w:space="0" w:color="auto"/>
              <w:right w:val="single" w:sz="4" w:space="0" w:color="auto"/>
            </w:tcBorders>
            <w:shd w:val="clear" w:color="000000" w:fill="9BC2E6"/>
            <w:vAlign w:val="center"/>
            <w:hideMark/>
          </w:tcPr>
          <w:p w14:paraId="3261A73B"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Number of patients</w:t>
            </w:r>
          </w:p>
        </w:tc>
        <w:tc>
          <w:tcPr>
            <w:tcW w:w="1580" w:type="dxa"/>
            <w:tcBorders>
              <w:top w:val="single" w:sz="8" w:space="0" w:color="auto"/>
              <w:left w:val="nil"/>
              <w:bottom w:val="single" w:sz="8" w:space="0" w:color="auto"/>
              <w:right w:val="single" w:sz="4" w:space="0" w:color="auto"/>
            </w:tcBorders>
            <w:shd w:val="clear" w:color="000000" w:fill="9BC2E6"/>
            <w:vAlign w:val="center"/>
            <w:hideMark/>
          </w:tcPr>
          <w:p w14:paraId="67594F02" w14:textId="081277D3"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 xml:space="preserve">Number of patients with Secondary </w:t>
            </w:r>
            <w:r w:rsidR="00FC18B1" w:rsidRPr="00283E01">
              <w:rPr>
                <w:rFonts w:ascii="Times New Roman" w:eastAsia="Times New Roman" w:hAnsi="Times New Roman" w:cs="Times New Roman"/>
                <w:b/>
                <w:bCs/>
                <w:color w:val="000000"/>
                <w:sz w:val="20"/>
                <w:lang w:eastAsia="en-IN"/>
              </w:rPr>
              <w:t xml:space="preserve">bacterial </w:t>
            </w:r>
            <w:r w:rsidRPr="00283E01">
              <w:rPr>
                <w:rFonts w:ascii="Times New Roman" w:eastAsia="Times New Roman" w:hAnsi="Times New Roman" w:cs="Times New Roman"/>
                <w:b/>
                <w:bCs/>
                <w:color w:val="000000"/>
                <w:sz w:val="20"/>
                <w:lang w:eastAsia="en-IN"/>
              </w:rPr>
              <w:t>wound infection</w:t>
            </w:r>
          </w:p>
        </w:tc>
        <w:tc>
          <w:tcPr>
            <w:tcW w:w="1448" w:type="dxa"/>
            <w:tcBorders>
              <w:top w:val="single" w:sz="8" w:space="0" w:color="auto"/>
              <w:left w:val="nil"/>
              <w:bottom w:val="single" w:sz="8" w:space="0" w:color="auto"/>
              <w:right w:val="single" w:sz="8" w:space="0" w:color="auto"/>
            </w:tcBorders>
            <w:shd w:val="clear" w:color="000000" w:fill="9BC2E6"/>
            <w:vAlign w:val="center"/>
            <w:hideMark/>
          </w:tcPr>
          <w:p w14:paraId="6838F1FD"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Percentage of secondary bacterial wound infection</w:t>
            </w:r>
          </w:p>
        </w:tc>
      </w:tr>
      <w:tr w:rsidR="00004036" w:rsidRPr="00283E01" w14:paraId="5E3419F6" w14:textId="77777777" w:rsidTr="00897DC4">
        <w:trPr>
          <w:trHeight w:val="291"/>
        </w:trPr>
        <w:tc>
          <w:tcPr>
            <w:tcW w:w="1440" w:type="dxa"/>
            <w:tcBorders>
              <w:top w:val="nil"/>
              <w:left w:val="single" w:sz="8" w:space="0" w:color="auto"/>
              <w:bottom w:val="single" w:sz="4" w:space="0" w:color="auto"/>
              <w:right w:val="single" w:sz="8" w:space="0" w:color="auto"/>
            </w:tcBorders>
            <w:shd w:val="clear" w:color="000000" w:fill="9BC2E6"/>
            <w:vAlign w:val="center"/>
            <w:hideMark/>
          </w:tcPr>
          <w:p w14:paraId="38F14514"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Superficial</w:t>
            </w:r>
          </w:p>
        </w:tc>
        <w:tc>
          <w:tcPr>
            <w:tcW w:w="1053" w:type="dxa"/>
            <w:tcBorders>
              <w:top w:val="nil"/>
              <w:left w:val="nil"/>
              <w:bottom w:val="single" w:sz="4" w:space="0" w:color="auto"/>
              <w:right w:val="single" w:sz="4" w:space="0" w:color="auto"/>
            </w:tcBorders>
            <w:shd w:val="clear" w:color="000000" w:fill="9BC2E6"/>
            <w:vAlign w:val="center"/>
            <w:hideMark/>
          </w:tcPr>
          <w:p w14:paraId="1AF3E59D"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28</w:t>
            </w:r>
          </w:p>
        </w:tc>
        <w:tc>
          <w:tcPr>
            <w:tcW w:w="1580" w:type="dxa"/>
            <w:tcBorders>
              <w:top w:val="nil"/>
              <w:left w:val="nil"/>
              <w:bottom w:val="single" w:sz="4" w:space="0" w:color="auto"/>
              <w:right w:val="single" w:sz="4" w:space="0" w:color="auto"/>
            </w:tcBorders>
            <w:shd w:val="clear" w:color="000000" w:fill="9BC2E6"/>
            <w:vAlign w:val="center"/>
            <w:hideMark/>
          </w:tcPr>
          <w:p w14:paraId="19BC673E"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w:t>
            </w:r>
          </w:p>
        </w:tc>
        <w:tc>
          <w:tcPr>
            <w:tcW w:w="1448" w:type="dxa"/>
            <w:tcBorders>
              <w:top w:val="nil"/>
              <w:left w:val="nil"/>
              <w:bottom w:val="single" w:sz="4" w:space="0" w:color="auto"/>
              <w:right w:val="single" w:sz="8" w:space="0" w:color="auto"/>
            </w:tcBorders>
            <w:shd w:val="clear" w:color="000000" w:fill="9BC2E6"/>
            <w:vAlign w:val="center"/>
            <w:hideMark/>
          </w:tcPr>
          <w:p w14:paraId="6BD179A2"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7.14</w:t>
            </w:r>
          </w:p>
        </w:tc>
      </w:tr>
      <w:tr w:rsidR="00004036" w:rsidRPr="00283E01" w14:paraId="2197CB68" w14:textId="77777777" w:rsidTr="00897DC4">
        <w:trPr>
          <w:trHeight w:val="582"/>
        </w:trPr>
        <w:tc>
          <w:tcPr>
            <w:tcW w:w="1440" w:type="dxa"/>
            <w:tcBorders>
              <w:top w:val="nil"/>
              <w:left w:val="single" w:sz="8" w:space="0" w:color="auto"/>
              <w:bottom w:val="single" w:sz="4" w:space="0" w:color="auto"/>
              <w:right w:val="single" w:sz="8" w:space="0" w:color="auto"/>
            </w:tcBorders>
            <w:shd w:val="clear" w:color="000000" w:fill="9BC2E6"/>
            <w:vAlign w:val="center"/>
            <w:hideMark/>
          </w:tcPr>
          <w:p w14:paraId="0FD4D19B"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Partial thickness</w:t>
            </w:r>
          </w:p>
        </w:tc>
        <w:tc>
          <w:tcPr>
            <w:tcW w:w="1053" w:type="dxa"/>
            <w:tcBorders>
              <w:top w:val="nil"/>
              <w:left w:val="nil"/>
              <w:bottom w:val="single" w:sz="4" w:space="0" w:color="auto"/>
              <w:right w:val="single" w:sz="4" w:space="0" w:color="auto"/>
            </w:tcBorders>
            <w:shd w:val="clear" w:color="000000" w:fill="9BC2E6"/>
            <w:vAlign w:val="center"/>
            <w:hideMark/>
          </w:tcPr>
          <w:p w14:paraId="7279D59D"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25</w:t>
            </w:r>
          </w:p>
        </w:tc>
        <w:tc>
          <w:tcPr>
            <w:tcW w:w="1580" w:type="dxa"/>
            <w:tcBorders>
              <w:top w:val="nil"/>
              <w:left w:val="nil"/>
              <w:bottom w:val="single" w:sz="4" w:space="0" w:color="auto"/>
              <w:right w:val="single" w:sz="4" w:space="0" w:color="auto"/>
            </w:tcBorders>
            <w:shd w:val="clear" w:color="000000" w:fill="9BC2E6"/>
            <w:vAlign w:val="center"/>
            <w:hideMark/>
          </w:tcPr>
          <w:p w14:paraId="4704CB9D"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11</w:t>
            </w:r>
          </w:p>
        </w:tc>
        <w:tc>
          <w:tcPr>
            <w:tcW w:w="1448" w:type="dxa"/>
            <w:tcBorders>
              <w:top w:val="nil"/>
              <w:left w:val="nil"/>
              <w:bottom w:val="single" w:sz="4" w:space="0" w:color="auto"/>
              <w:right w:val="single" w:sz="8" w:space="0" w:color="auto"/>
            </w:tcBorders>
            <w:shd w:val="clear" w:color="000000" w:fill="9BC2E6"/>
            <w:vAlign w:val="center"/>
            <w:hideMark/>
          </w:tcPr>
          <w:p w14:paraId="1E042F50"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44.00</w:t>
            </w:r>
          </w:p>
        </w:tc>
      </w:tr>
      <w:tr w:rsidR="00004036" w:rsidRPr="00283E01" w14:paraId="0E32C4F1" w14:textId="77777777" w:rsidTr="00897DC4">
        <w:trPr>
          <w:trHeight w:val="291"/>
        </w:trPr>
        <w:tc>
          <w:tcPr>
            <w:tcW w:w="1440" w:type="dxa"/>
            <w:tcBorders>
              <w:top w:val="nil"/>
              <w:left w:val="single" w:sz="8" w:space="0" w:color="auto"/>
              <w:bottom w:val="single" w:sz="4" w:space="0" w:color="auto"/>
              <w:right w:val="single" w:sz="8" w:space="0" w:color="auto"/>
            </w:tcBorders>
            <w:shd w:val="clear" w:color="000000" w:fill="9BC2E6"/>
            <w:vAlign w:val="center"/>
            <w:hideMark/>
          </w:tcPr>
          <w:p w14:paraId="57632939"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Deep</w:t>
            </w:r>
          </w:p>
        </w:tc>
        <w:tc>
          <w:tcPr>
            <w:tcW w:w="1053" w:type="dxa"/>
            <w:tcBorders>
              <w:top w:val="nil"/>
              <w:left w:val="nil"/>
              <w:bottom w:val="single" w:sz="4" w:space="0" w:color="auto"/>
              <w:right w:val="single" w:sz="4" w:space="0" w:color="auto"/>
            </w:tcBorders>
            <w:shd w:val="clear" w:color="000000" w:fill="9BC2E6"/>
            <w:vAlign w:val="center"/>
            <w:hideMark/>
          </w:tcPr>
          <w:p w14:paraId="123164C0"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17</w:t>
            </w:r>
          </w:p>
        </w:tc>
        <w:tc>
          <w:tcPr>
            <w:tcW w:w="1580" w:type="dxa"/>
            <w:tcBorders>
              <w:top w:val="nil"/>
              <w:left w:val="nil"/>
              <w:bottom w:val="single" w:sz="4" w:space="0" w:color="auto"/>
              <w:right w:val="single" w:sz="4" w:space="0" w:color="auto"/>
            </w:tcBorders>
            <w:shd w:val="clear" w:color="000000" w:fill="9BC2E6"/>
            <w:vAlign w:val="center"/>
            <w:hideMark/>
          </w:tcPr>
          <w:p w14:paraId="0BF2C297"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9</w:t>
            </w:r>
          </w:p>
        </w:tc>
        <w:tc>
          <w:tcPr>
            <w:tcW w:w="1448" w:type="dxa"/>
            <w:tcBorders>
              <w:top w:val="nil"/>
              <w:left w:val="nil"/>
              <w:bottom w:val="single" w:sz="4" w:space="0" w:color="auto"/>
              <w:right w:val="single" w:sz="8" w:space="0" w:color="auto"/>
            </w:tcBorders>
            <w:shd w:val="clear" w:color="000000" w:fill="9BC2E6"/>
            <w:vAlign w:val="center"/>
            <w:hideMark/>
          </w:tcPr>
          <w:p w14:paraId="7B1FCE1A"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52.94</w:t>
            </w:r>
          </w:p>
        </w:tc>
      </w:tr>
      <w:tr w:rsidR="00004036" w:rsidRPr="00283E01" w14:paraId="0D1ED575" w14:textId="77777777" w:rsidTr="00897DC4">
        <w:trPr>
          <w:trHeight w:val="291"/>
        </w:trPr>
        <w:tc>
          <w:tcPr>
            <w:tcW w:w="1440" w:type="dxa"/>
            <w:tcBorders>
              <w:top w:val="nil"/>
              <w:left w:val="single" w:sz="8" w:space="0" w:color="auto"/>
              <w:bottom w:val="single" w:sz="4" w:space="0" w:color="auto"/>
              <w:right w:val="single" w:sz="8" w:space="0" w:color="auto"/>
            </w:tcBorders>
            <w:shd w:val="clear" w:color="000000" w:fill="9BC2E6"/>
            <w:vAlign w:val="center"/>
            <w:hideMark/>
          </w:tcPr>
          <w:p w14:paraId="4CBA1104"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Full thickness</w:t>
            </w:r>
          </w:p>
        </w:tc>
        <w:tc>
          <w:tcPr>
            <w:tcW w:w="1053" w:type="dxa"/>
            <w:tcBorders>
              <w:top w:val="nil"/>
              <w:left w:val="nil"/>
              <w:bottom w:val="single" w:sz="4" w:space="0" w:color="auto"/>
              <w:right w:val="single" w:sz="4" w:space="0" w:color="auto"/>
            </w:tcBorders>
            <w:shd w:val="clear" w:color="000000" w:fill="9BC2E6"/>
            <w:vAlign w:val="center"/>
            <w:hideMark/>
          </w:tcPr>
          <w:p w14:paraId="192B9A86"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22</w:t>
            </w:r>
          </w:p>
        </w:tc>
        <w:tc>
          <w:tcPr>
            <w:tcW w:w="1580" w:type="dxa"/>
            <w:tcBorders>
              <w:top w:val="nil"/>
              <w:left w:val="nil"/>
              <w:bottom w:val="single" w:sz="4" w:space="0" w:color="auto"/>
              <w:right w:val="single" w:sz="4" w:space="0" w:color="auto"/>
            </w:tcBorders>
            <w:shd w:val="clear" w:color="000000" w:fill="9BC2E6"/>
            <w:vAlign w:val="center"/>
            <w:hideMark/>
          </w:tcPr>
          <w:p w14:paraId="38D3D8E0"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4</w:t>
            </w:r>
          </w:p>
        </w:tc>
        <w:tc>
          <w:tcPr>
            <w:tcW w:w="1448" w:type="dxa"/>
            <w:tcBorders>
              <w:top w:val="nil"/>
              <w:left w:val="nil"/>
              <w:bottom w:val="single" w:sz="4" w:space="0" w:color="auto"/>
              <w:right w:val="single" w:sz="8" w:space="0" w:color="auto"/>
            </w:tcBorders>
            <w:shd w:val="clear" w:color="000000" w:fill="9BC2E6"/>
            <w:vAlign w:val="center"/>
            <w:hideMark/>
          </w:tcPr>
          <w:p w14:paraId="3233ED2E"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18.18</w:t>
            </w:r>
          </w:p>
        </w:tc>
      </w:tr>
      <w:tr w:rsidR="00004036" w:rsidRPr="00283E01" w14:paraId="7B2506EB" w14:textId="77777777" w:rsidTr="00897DC4">
        <w:trPr>
          <w:trHeight w:val="300"/>
        </w:trPr>
        <w:tc>
          <w:tcPr>
            <w:tcW w:w="1440" w:type="dxa"/>
            <w:tcBorders>
              <w:top w:val="nil"/>
              <w:left w:val="single" w:sz="8" w:space="0" w:color="auto"/>
              <w:bottom w:val="single" w:sz="8" w:space="0" w:color="auto"/>
              <w:right w:val="single" w:sz="8" w:space="0" w:color="auto"/>
            </w:tcBorders>
            <w:shd w:val="clear" w:color="000000" w:fill="9BC2E6"/>
            <w:vAlign w:val="center"/>
            <w:hideMark/>
          </w:tcPr>
          <w:p w14:paraId="72EF9183"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Mixed</w:t>
            </w:r>
          </w:p>
        </w:tc>
        <w:tc>
          <w:tcPr>
            <w:tcW w:w="1053" w:type="dxa"/>
            <w:tcBorders>
              <w:top w:val="nil"/>
              <w:left w:val="nil"/>
              <w:bottom w:val="single" w:sz="8" w:space="0" w:color="auto"/>
              <w:right w:val="single" w:sz="4" w:space="0" w:color="auto"/>
            </w:tcBorders>
            <w:shd w:val="clear" w:color="000000" w:fill="9BC2E6"/>
            <w:vAlign w:val="center"/>
            <w:hideMark/>
          </w:tcPr>
          <w:p w14:paraId="6BAE4EA4"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37</w:t>
            </w:r>
          </w:p>
        </w:tc>
        <w:tc>
          <w:tcPr>
            <w:tcW w:w="1580" w:type="dxa"/>
            <w:tcBorders>
              <w:top w:val="nil"/>
              <w:left w:val="nil"/>
              <w:bottom w:val="single" w:sz="8" w:space="0" w:color="auto"/>
              <w:right w:val="single" w:sz="4" w:space="0" w:color="auto"/>
            </w:tcBorders>
            <w:shd w:val="clear" w:color="000000" w:fill="9BC2E6"/>
            <w:vAlign w:val="center"/>
            <w:hideMark/>
          </w:tcPr>
          <w:p w14:paraId="190BD3C1"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23</w:t>
            </w:r>
          </w:p>
        </w:tc>
        <w:tc>
          <w:tcPr>
            <w:tcW w:w="1448" w:type="dxa"/>
            <w:tcBorders>
              <w:top w:val="nil"/>
              <w:left w:val="nil"/>
              <w:bottom w:val="single" w:sz="8" w:space="0" w:color="auto"/>
              <w:right w:val="single" w:sz="8" w:space="0" w:color="auto"/>
            </w:tcBorders>
            <w:shd w:val="clear" w:color="000000" w:fill="9BC2E6"/>
            <w:vAlign w:val="center"/>
            <w:hideMark/>
          </w:tcPr>
          <w:p w14:paraId="75C7556C"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62.16</w:t>
            </w:r>
          </w:p>
        </w:tc>
      </w:tr>
    </w:tbl>
    <w:p w14:paraId="56875AC8" w14:textId="77777777" w:rsidR="00004036" w:rsidRPr="00283E01" w:rsidRDefault="00004036" w:rsidP="00283E01">
      <w:pPr>
        <w:spacing w:after="0" w:line="360" w:lineRule="auto"/>
        <w:jc w:val="center"/>
        <w:rPr>
          <w:rFonts w:ascii="Times New Roman" w:hAnsi="Times New Roman" w:cs="Times New Roman"/>
          <w:sz w:val="20"/>
        </w:rPr>
      </w:pPr>
    </w:p>
    <w:p w14:paraId="45DAFB99" w14:textId="77777777" w:rsidR="00D6417D" w:rsidRDefault="00D6417D" w:rsidP="00283E01">
      <w:pPr>
        <w:spacing w:after="0" w:line="360" w:lineRule="auto"/>
        <w:rPr>
          <w:rFonts w:ascii="Times New Roman" w:hAnsi="Times New Roman" w:cs="Times New Roman"/>
          <w:b/>
          <w:bCs/>
          <w:sz w:val="20"/>
        </w:rPr>
      </w:pPr>
    </w:p>
    <w:p w14:paraId="7CF2E602" w14:textId="77777777" w:rsidR="00D6417D" w:rsidRDefault="00D6417D" w:rsidP="00283E01">
      <w:pPr>
        <w:spacing w:after="0" w:line="360" w:lineRule="auto"/>
        <w:rPr>
          <w:rFonts w:ascii="Times New Roman" w:hAnsi="Times New Roman" w:cs="Times New Roman"/>
          <w:b/>
          <w:bCs/>
          <w:sz w:val="20"/>
        </w:rPr>
      </w:pPr>
    </w:p>
    <w:p w14:paraId="17AC9045" w14:textId="32BCECF8" w:rsidR="00004036" w:rsidRPr="00283E01" w:rsidRDefault="00004036" w:rsidP="00283E01">
      <w:pPr>
        <w:spacing w:after="0" w:line="360" w:lineRule="auto"/>
        <w:rPr>
          <w:rFonts w:ascii="Times New Roman" w:hAnsi="Times New Roman" w:cs="Times New Roman"/>
          <w:b/>
          <w:bCs/>
          <w:sz w:val="20"/>
        </w:rPr>
      </w:pPr>
      <w:r w:rsidRPr="00283E01">
        <w:rPr>
          <w:rFonts w:ascii="Times New Roman" w:hAnsi="Times New Roman" w:cs="Times New Roman"/>
          <w:b/>
          <w:bCs/>
          <w:sz w:val="20"/>
        </w:rPr>
        <w:t>Culture sensitivity reports of swabs of burn wounds</w:t>
      </w:r>
      <w:r w:rsidR="00433430" w:rsidRPr="00283E01">
        <w:rPr>
          <w:rFonts w:ascii="Times New Roman" w:hAnsi="Times New Roman" w:cs="Times New Roman"/>
          <w:b/>
          <w:bCs/>
          <w:sz w:val="20"/>
        </w:rPr>
        <w:t xml:space="preserve"> : </w:t>
      </w:r>
      <w:r w:rsidRPr="00283E01">
        <w:rPr>
          <w:rFonts w:ascii="Times New Roman" w:hAnsi="Times New Roman" w:cs="Times New Roman"/>
          <w:sz w:val="20"/>
        </w:rPr>
        <w:t>Culture sensitivity reports of various patients showed antibiotic sensitivity and resistance to different antibiotics as follows :</w:t>
      </w:r>
    </w:p>
    <w:p w14:paraId="52275AB1" w14:textId="477A6D9C" w:rsidR="00004036" w:rsidRPr="00283E01" w:rsidRDefault="00283E01" w:rsidP="00283E01">
      <w:pPr>
        <w:spacing w:after="0" w:line="360" w:lineRule="auto"/>
        <w:rPr>
          <w:rFonts w:ascii="Times New Roman" w:hAnsi="Times New Roman" w:cs="Times New Roman"/>
          <w:b/>
          <w:bCs/>
          <w:sz w:val="20"/>
        </w:rPr>
      </w:pPr>
      <w:r>
        <w:rPr>
          <w:rFonts w:ascii="Times New Roman" w:hAnsi="Times New Roman" w:cs="Times New Roman"/>
          <w:sz w:val="20"/>
        </w:rPr>
        <w:t>Table 5</w:t>
      </w:r>
      <w:r w:rsidR="00004036" w:rsidRPr="00283E01">
        <w:rPr>
          <w:rFonts w:ascii="Times New Roman" w:hAnsi="Times New Roman" w:cs="Times New Roman"/>
          <w:sz w:val="20"/>
        </w:rPr>
        <w:t xml:space="preserve"> : </w:t>
      </w:r>
      <w:r w:rsidR="00004036" w:rsidRPr="00283E01">
        <w:rPr>
          <w:rFonts w:ascii="Times New Roman" w:hAnsi="Times New Roman" w:cs="Times New Roman"/>
          <w:b/>
          <w:bCs/>
          <w:sz w:val="20"/>
        </w:rPr>
        <w:t>Culture sensitivity reports of swabs of burn wounds</w:t>
      </w:r>
    </w:p>
    <w:tbl>
      <w:tblPr>
        <w:tblW w:w="9428" w:type="dxa"/>
        <w:tblInd w:w="-5" w:type="dxa"/>
        <w:tblLayout w:type="fixed"/>
        <w:tblLook w:val="04A0" w:firstRow="1" w:lastRow="0" w:firstColumn="1" w:lastColumn="0" w:noHBand="0" w:noVBand="1"/>
      </w:tblPr>
      <w:tblGrid>
        <w:gridCol w:w="2856"/>
        <w:gridCol w:w="2827"/>
        <w:gridCol w:w="3483"/>
        <w:gridCol w:w="262"/>
      </w:tblGrid>
      <w:tr w:rsidR="00004036" w:rsidRPr="00283E01" w14:paraId="3404D5EB" w14:textId="77777777" w:rsidTr="0071143C">
        <w:trPr>
          <w:gridAfter w:val="1"/>
          <w:wAfter w:w="262" w:type="dxa"/>
          <w:trHeight w:val="406"/>
        </w:trPr>
        <w:tc>
          <w:tcPr>
            <w:tcW w:w="2856" w:type="dxa"/>
            <w:vMerge w:val="restart"/>
            <w:tcBorders>
              <w:top w:val="single" w:sz="8" w:space="0" w:color="auto"/>
              <w:left w:val="single" w:sz="4" w:space="0" w:color="auto"/>
              <w:bottom w:val="single" w:sz="4" w:space="0" w:color="auto"/>
              <w:right w:val="single" w:sz="4" w:space="0" w:color="auto"/>
            </w:tcBorders>
            <w:shd w:val="clear" w:color="000000" w:fill="9BC2E6"/>
            <w:vAlign w:val="center"/>
            <w:hideMark/>
          </w:tcPr>
          <w:p w14:paraId="4ACF17E9"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Organism on Pus C/S or Wound swab</w:t>
            </w:r>
          </w:p>
        </w:tc>
        <w:tc>
          <w:tcPr>
            <w:tcW w:w="2827" w:type="dxa"/>
            <w:vMerge w:val="restart"/>
            <w:tcBorders>
              <w:top w:val="single" w:sz="8" w:space="0" w:color="auto"/>
              <w:left w:val="single" w:sz="4" w:space="0" w:color="auto"/>
              <w:bottom w:val="single" w:sz="4" w:space="0" w:color="auto"/>
              <w:right w:val="single" w:sz="4" w:space="0" w:color="auto"/>
            </w:tcBorders>
            <w:shd w:val="clear" w:color="000000" w:fill="9BC2E6"/>
            <w:vAlign w:val="center"/>
            <w:hideMark/>
          </w:tcPr>
          <w:p w14:paraId="05D516CC"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Antibiotic sensitivity</w:t>
            </w:r>
          </w:p>
        </w:tc>
        <w:tc>
          <w:tcPr>
            <w:tcW w:w="3483" w:type="dxa"/>
            <w:vMerge w:val="restart"/>
            <w:tcBorders>
              <w:top w:val="single" w:sz="8" w:space="0" w:color="auto"/>
              <w:left w:val="single" w:sz="4" w:space="0" w:color="auto"/>
              <w:bottom w:val="single" w:sz="4" w:space="0" w:color="auto"/>
              <w:right w:val="single" w:sz="4" w:space="0" w:color="auto"/>
            </w:tcBorders>
            <w:shd w:val="clear" w:color="000000" w:fill="9BC2E6"/>
            <w:vAlign w:val="center"/>
            <w:hideMark/>
          </w:tcPr>
          <w:p w14:paraId="5AD838B8"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Resistant to</w:t>
            </w:r>
          </w:p>
        </w:tc>
      </w:tr>
      <w:tr w:rsidR="00004036" w:rsidRPr="00283E01" w14:paraId="300E6B3E" w14:textId="77777777" w:rsidTr="0071143C">
        <w:trPr>
          <w:trHeight w:val="87"/>
        </w:trPr>
        <w:tc>
          <w:tcPr>
            <w:tcW w:w="2856" w:type="dxa"/>
            <w:vMerge/>
            <w:tcBorders>
              <w:top w:val="single" w:sz="8" w:space="0" w:color="auto"/>
              <w:left w:val="single" w:sz="4" w:space="0" w:color="auto"/>
              <w:bottom w:val="single" w:sz="4" w:space="0" w:color="auto"/>
              <w:right w:val="single" w:sz="4" w:space="0" w:color="auto"/>
            </w:tcBorders>
            <w:vAlign w:val="center"/>
            <w:hideMark/>
          </w:tcPr>
          <w:p w14:paraId="388F6180" w14:textId="77777777" w:rsidR="00004036" w:rsidRPr="00283E01" w:rsidRDefault="00004036" w:rsidP="00283E01">
            <w:pPr>
              <w:spacing w:after="0" w:line="360" w:lineRule="auto"/>
              <w:rPr>
                <w:rFonts w:ascii="Times New Roman" w:eastAsia="Times New Roman" w:hAnsi="Times New Roman" w:cs="Times New Roman"/>
                <w:b/>
                <w:bCs/>
                <w:color w:val="000000"/>
                <w:sz w:val="20"/>
                <w:lang w:eastAsia="en-IN"/>
              </w:rPr>
            </w:pPr>
          </w:p>
        </w:tc>
        <w:tc>
          <w:tcPr>
            <w:tcW w:w="2827" w:type="dxa"/>
            <w:vMerge/>
            <w:tcBorders>
              <w:top w:val="single" w:sz="8" w:space="0" w:color="auto"/>
              <w:left w:val="single" w:sz="4" w:space="0" w:color="auto"/>
              <w:bottom w:val="single" w:sz="4" w:space="0" w:color="auto"/>
              <w:right w:val="single" w:sz="4" w:space="0" w:color="auto"/>
            </w:tcBorders>
            <w:vAlign w:val="center"/>
            <w:hideMark/>
          </w:tcPr>
          <w:p w14:paraId="6F9C5020" w14:textId="77777777" w:rsidR="00004036" w:rsidRPr="00283E01" w:rsidRDefault="00004036" w:rsidP="00283E01">
            <w:pPr>
              <w:spacing w:after="0" w:line="360" w:lineRule="auto"/>
              <w:rPr>
                <w:rFonts w:ascii="Times New Roman" w:eastAsia="Times New Roman" w:hAnsi="Times New Roman" w:cs="Times New Roman"/>
                <w:b/>
                <w:bCs/>
                <w:color w:val="000000"/>
                <w:sz w:val="20"/>
                <w:lang w:eastAsia="en-IN"/>
              </w:rPr>
            </w:pPr>
          </w:p>
        </w:tc>
        <w:tc>
          <w:tcPr>
            <w:tcW w:w="3483" w:type="dxa"/>
            <w:vMerge/>
            <w:tcBorders>
              <w:top w:val="single" w:sz="8" w:space="0" w:color="auto"/>
              <w:left w:val="single" w:sz="4" w:space="0" w:color="auto"/>
              <w:bottom w:val="single" w:sz="4" w:space="0" w:color="auto"/>
              <w:right w:val="single" w:sz="4" w:space="0" w:color="auto"/>
            </w:tcBorders>
            <w:vAlign w:val="center"/>
            <w:hideMark/>
          </w:tcPr>
          <w:p w14:paraId="5ABAD9A7" w14:textId="77777777" w:rsidR="00004036" w:rsidRPr="00283E01" w:rsidRDefault="00004036" w:rsidP="00283E01">
            <w:pPr>
              <w:spacing w:after="0" w:line="360" w:lineRule="auto"/>
              <w:rPr>
                <w:rFonts w:ascii="Times New Roman" w:eastAsia="Times New Roman" w:hAnsi="Times New Roman" w:cs="Times New Roman"/>
                <w:b/>
                <w:bCs/>
                <w:color w:val="000000"/>
                <w:sz w:val="20"/>
                <w:lang w:eastAsia="en-IN"/>
              </w:rPr>
            </w:pPr>
          </w:p>
        </w:tc>
        <w:tc>
          <w:tcPr>
            <w:tcW w:w="262" w:type="dxa"/>
            <w:tcBorders>
              <w:top w:val="nil"/>
              <w:left w:val="nil"/>
              <w:bottom w:val="nil"/>
              <w:right w:val="nil"/>
            </w:tcBorders>
            <w:shd w:val="clear" w:color="auto" w:fill="auto"/>
            <w:noWrap/>
            <w:vAlign w:val="bottom"/>
            <w:hideMark/>
          </w:tcPr>
          <w:p w14:paraId="4D3CC996"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p>
        </w:tc>
      </w:tr>
      <w:tr w:rsidR="00004036" w:rsidRPr="00283E01" w14:paraId="48806B35" w14:textId="77777777" w:rsidTr="0071143C">
        <w:trPr>
          <w:trHeight w:val="174"/>
        </w:trPr>
        <w:tc>
          <w:tcPr>
            <w:tcW w:w="2856" w:type="dxa"/>
            <w:tcBorders>
              <w:top w:val="nil"/>
              <w:left w:val="single" w:sz="4" w:space="0" w:color="auto"/>
              <w:bottom w:val="single" w:sz="4" w:space="0" w:color="auto"/>
              <w:right w:val="single" w:sz="4" w:space="0" w:color="auto"/>
            </w:tcBorders>
            <w:shd w:val="clear" w:color="000000" w:fill="BDD7EE"/>
            <w:vAlign w:val="center"/>
            <w:hideMark/>
          </w:tcPr>
          <w:p w14:paraId="3434E4A5"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Citrobacter Diversus</w:t>
            </w:r>
          </w:p>
        </w:tc>
        <w:tc>
          <w:tcPr>
            <w:tcW w:w="2827" w:type="dxa"/>
            <w:tcBorders>
              <w:top w:val="nil"/>
              <w:left w:val="nil"/>
              <w:bottom w:val="single" w:sz="4" w:space="0" w:color="auto"/>
              <w:right w:val="single" w:sz="4" w:space="0" w:color="auto"/>
            </w:tcBorders>
            <w:shd w:val="clear" w:color="000000" w:fill="BDD7EE"/>
            <w:vAlign w:val="center"/>
            <w:hideMark/>
          </w:tcPr>
          <w:p w14:paraId="6C344D7A" w14:textId="407D8B44"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imipenem, piperacillin-tazobactam, amikacin, cotrimoxazole</w:t>
            </w:r>
          </w:p>
        </w:tc>
        <w:tc>
          <w:tcPr>
            <w:tcW w:w="3483" w:type="dxa"/>
            <w:tcBorders>
              <w:top w:val="nil"/>
              <w:left w:val="nil"/>
              <w:bottom w:val="single" w:sz="4" w:space="0" w:color="auto"/>
              <w:right w:val="single" w:sz="4" w:space="0" w:color="auto"/>
            </w:tcBorders>
            <w:shd w:val="clear" w:color="000000" w:fill="BDD7EE"/>
            <w:vAlign w:val="center"/>
            <w:hideMark/>
          </w:tcPr>
          <w:p w14:paraId="2D8D42B9" w14:textId="035B6CF4"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ampicillin, cefepime, cefoxitine</w:t>
            </w:r>
          </w:p>
        </w:tc>
        <w:tc>
          <w:tcPr>
            <w:tcW w:w="262" w:type="dxa"/>
            <w:vAlign w:val="center"/>
            <w:hideMark/>
          </w:tcPr>
          <w:p w14:paraId="1F45815C" w14:textId="77777777" w:rsidR="00004036" w:rsidRPr="00283E01" w:rsidRDefault="00004036" w:rsidP="00283E01">
            <w:pPr>
              <w:spacing w:after="0" w:line="360" w:lineRule="auto"/>
              <w:rPr>
                <w:rFonts w:ascii="Times New Roman" w:eastAsia="Times New Roman" w:hAnsi="Times New Roman" w:cs="Times New Roman"/>
                <w:sz w:val="20"/>
                <w:lang w:eastAsia="en-IN"/>
              </w:rPr>
            </w:pPr>
          </w:p>
        </w:tc>
      </w:tr>
      <w:tr w:rsidR="00004036" w:rsidRPr="00283E01" w14:paraId="1487B270" w14:textId="77777777" w:rsidTr="0071143C">
        <w:trPr>
          <w:trHeight w:val="261"/>
        </w:trPr>
        <w:tc>
          <w:tcPr>
            <w:tcW w:w="2856" w:type="dxa"/>
            <w:tcBorders>
              <w:top w:val="nil"/>
              <w:left w:val="single" w:sz="4" w:space="0" w:color="auto"/>
              <w:bottom w:val="single" w:sz="4" w:space="0" w:color="auto"/>
              <w:right w:val="single" w:sz="4" w:space="0" w:color="auto"/>
            </w:tcBorders>
            <w:shd w:val="clear" w:color="000000" w:fill="BDD7EE"/>
            <w:vAlign w:val="center"/>
            <w:hideMark/>
          </w:tcPr>
          <w:p w14:paraId="019DA05B"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Citrobacter Freundii</w:t>
            </w:r>
          </w:p>
        </w:tc>
        <w:tc>
          <w:tcPr>
            <w:tcW w:w="2827" w:type="dxa"/>
            <w:tcBorders>
              <w:top w:val="nil"/>
              <w:left w:val="nil"/>
              <w:bottom w:val="single" w:sz="4" w:space="0" w:color="auto"/>
              <w:right w:val="single" w:sz="4" w:space="0" w:color="auto"/>
            </w:tcBorders>
            <w:shd w:val="clear" w:color="000000" w:fill="BDD7EE"/>
            <w:vAlign w:val="center"/>
            <w:hideMark/>
          </w:tcPr>
          <w:p w14:paraId="171D7D35" w14:textId="00849CBB"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imipenem</w:t>
            </w:r>
          </w:p>
        </w:tc>
        <w:tc>
          <w:tcPr>
            <w:tcW w:w="3483" w:type="dxa"/>
            <w:tcBorders>
              <w:top w:val="nil"/>
              <w:left w:val="nil"/>
              <w:bottom w:val="single" w:sz="4" w:space="0" w:color="auto"/>
              <w:right w:val="single" w:sz="4" w:space="0" w:color="auto"/>
            </w:tcBorders>
            <w:shd w:val="clear" w:color="000000" w:fill="BDD7EE"/>
            <w:vAlign w:val="center"/>
            <w:hideMark/>
          </w:tcPr>
          <w:p w14:paraId="61590BEE" w14:textId="13C02601"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piperacillin-tazobactam, amikacin, clindamycin, cotrimoxazole, gentamycin</w:t>
            </w:r>
          </w:p>
        </w:tc>
        <w:tc>
          <w:tcPr>
            <w:tcW w:w="262" w:type="dxa"/>
            <w:vAlign w:val="center"/>
            <w:hideMark/>
          </w:tcPr>
          <w:p w14:paraId="302B9F36" w14:textId="77777777" w:rsidR="00004036" w:rsidRPr="00283E01" w:rsidRDefault="00004036" w:rsidP="00283E01">
            <w:pPr>
              <w:spacing w:after="0" w:line="360" w:lineRule="auto"/>
              <w:rPr>
                <w:rFonts w:ascii="Times New Roman" w:eastAsia="Times New Roman" w:hAnsi="Times New Roman" w:cs="Times New Roman"/>
                <w:sz w:val="20"/>
                <w:lang w:eastAsia="en-IN"/>
              </w:rPr>
            </w:pPr>
          </w:p>
        </w:tc>
      </w:tr>
      <w:tr w:rsidR="00004036" w:rsidRPr="00283E01" w14:paraId="4143C2B8" w14:textId="77777777" w:rsidTr="0071143C">
        <w:trPr>
          <w:trHeight w:val="261"/>
        </w:trPr>
        <w:tc>
          <w:tcPr>
            <w:tcW w:w="2856" w:type="dxa"/>
            <w:tcBorders>
              <w:top w:val="nil"/>
              <w:left w:val="single" w:sz="4" w:space="0" w:color="auto"/>
              <w:bottom w:val="single" w:sz="4" w:space="0" w:color="auto"/>
              <w:right w:val="single" w:sz="4" w:space="0" w:color="auto"/>
            </w:tcBorders>
            <w:shd w:val="clear" w:color="000000" w:fill="BDD7EE"/>
            <w:vAlign w:val="center"/>
            <w:hideMark/>
          </w:tcPr>
          <w:p w14:paraId="34D521AB"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hAnsi="Times New Roman" w:cs="Times New Roman"/>
                <w:sz w:val="20"/>
              </w:rPr>
              <w:t>Coagulase negative staphylococcus</w:t>
            </w:r>
          </w:p>
        </w:tc>
        <w:tc>
          <w:tcPr>
            <w:tcW w:w="2827" w:type="dxa"/>
            <w:tcBorders>
              <w:top w:val="nil"/>
              <w:left w:val="nil"/>
              <w:bottom w:val="single" w:sz="4" w:space="0" w:color="auto"/>
              <w:right w:val="single" w:sz="4" w:space="0" w:color="auto"/>
            </w:tcBorders>
            <w:shd w:val="clear" w:color="000000" w:fill="BDD7EE"/>
            <w:vAlign w:val="center"/>
            <w:hideMark/>
          </w:tcPr>
          <w:p w14:paraId="6F7972B0" w14:textId="66008DAB"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tobramycin, teicoplanin, gentamycin, cotrimoxazole, ciprofloxacin</w:t>
            </w:r>
          </w:p>
        </w:tc>
        <w:tc>
          <w:tcPr>
            <w:tcW w:w="3483" w:type="dxa"/>
            <w:tcBorders>
              <w:top w:val="nil"/>
              <w:left w:val="nil"/>
              <w:bottom w:val="single" w:sz="4" w:space="0" w:color="auto"/>
              <w:right w:val="single" w:sz="4" w:space="0" w:color="auto"/>
            </w:tcBorders>
            <w:shd w:val="clear" w:color="000000" w:fill="BDD7EE"/>
            <w:vAlign w:val="center"/>
            <w:hideMark/>
          </w:tcPr>
          <w:p w14:paraId="2131B46A" w14:textId="3F4ED7BD"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cefoxitin, penicillin, clindamycin, eeythromycin</w:t>
            </w:r>
          </w:p>
        </w:tc>
        <w:tc>
          <w:tcPr>
            <w:tcW w:w="262" w:type="dxa"/>
            <w:vAlign w:val="center"/>
            <w:hideMark/>
          </w:tcPr>
          <w:p w14:paraId="0AE2FE55" w14:textId="77777777" w:rsidR="00004036" w:rsidRPr="00283E01" w:rsidRDefault="00004036" w:rsidP="00283E01">
            <w:pPr>
              <w:spacing w:after="0" w:line="360" w:lineRule="auto"/>
              <w:rPr>
                <w:rFonts w:ascii="Times New Roman" w:eastAsia="Times New Roman" w:hAnsi="Times New Roman" w:cs="Times New Roman"/>
                <w:sz w:val="20"/>
                <w:lang w:eastAsia="en-IN"/>
              </w:rPr>
            </w:pPr>
          </w:p>
        </w:tc>
      </w:tr>
      <w:tr w:rsidR="00004036" w:rsidRPr="00283E01" w14:paraId="39BC9AAF" w14:textId="77777777" w:rsidTr="0071143C">
        <w:trPr>
          <w:trHeight w:val="438"/>
        </w:trPr>
        <w:tc>
          <w:tcPr>
            <w:tcW w:w="2856" w:type="dxa"/>
            <w:tcBorders>
              <w:top w:val="nil"/>
              <w:left w:val="single" w:sz="4" w:space="0" w:color="auto"/>
              <w:bottom w:val="single" w:sz="4" w:space="0" w:color="auto"/>
              <w:right w:val="single" w:sz="4" w:space="0" w:color="auto"/>
            </w:tcBorders>
            <w:shd w:val="clear" w:color="000000" w:fill="BDD7EE"/>
            <w:vAlign w:val="center"/>
            <w:hideMark/>
          </w:tcPr>
          <w:p w14:paraId="5F91DD64"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Escherichia Coli</w:t>
            </w:r>
          </w:p>
        </w:tc>
        <w:tc>
          <w:tcPr>
            <w:tcW w:w="2827" w:type="dxa"/>
            <w:tcBorders>
              <w:top w:val="nil"/>
              <w:left w:val="nil"/>
              <w:bottom w:val="single" w:sz="4" w:space="0" w:color="auto"/>
              <w:right w:val="single" w:sz="4" w:space="0" w:color="auto"/>
            </w:tcBorders>
            <w:shd w:val="clear" w:color="000000" w:fill="BDD7EE"/>
            <w:vAlign w:val="center"/>
            <w:hideMark/>
          </w:tcPr>
          <w:p w14:paraId="79E72947" w14:textId="02B2D279"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imipenem, amikacin, gentamycin</w:t>
            </w:r>
          </w:p>
        </w:tc>
        <w:tc>
          <w:tcPr>
            <w:tcW w:w="3483" w:type="dxa"/>
            <w:tcBorders>
              <w:top w:val="nil"/>
              <w:left w:val="nil"/>
              <w:bottom w:val="single" w:sz="4" w:space="0" w:color="auto"/>
              <w:right w:val="single" w:sz="4" w:space="0" w:color="auto"/>
            </w:tcBorders>
            <w:shd w:val="clear" w:color="000000" w:fill="BDD7EE"/>
            <w:vAlign w:val="center"/>
            <w:hideMark/>
          </w:tcPr>
          <w:p w14:paraId="342794D6" w14:textId="50E42305"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piperacillin-tazobactam, cefuroxime, cefepime, cotrimoxazole, ampicillin, ceftriaxone</w:t>
            </w:r>
          </w:p>
        </w:tc>
        <w:tc>
          <w:tcPr>
            <w:tcW w:w="262" w:type="dxa"/>
            <w:vAlign w:val="center"/>
            <w:hideMark/>
          </w:tcPr>
          <w:p w14:paraId="6D859BF3" w14:textId="77777777" w:rsidR="00004036" w:rsidRPr="00283E01" w:rsidRDefault="00004036" w:rsidP="00283E01">
            <w:pPr>
              <w:spacing w:after="0" w:line="360" w:lineRule="auto"/>
              <w:rPr>
                <w:rFonts w:ascii="Times New Roman" w:eastAsia="Times New Roman" w:hAnsi="Times New Roman" w:cs="Times New Roman"/>
                <w:sz w:val="20"/>
                <w:lang w:eastAsia="en-IN"/>
              </w:rPr>
            </w:pPr>
          </w:p>
        </w:tc>
      </w:tr>
      <w:tr w:rsidR="00004036" w:rsidRPr="00283E01" w14:paraId="79B69553" w14:textId="77777777" w:rsidTr="0071143C">
        <w:trPr>
          <w:trHeight w:val="261"/>
        </w:trPr>
        <w:tc>
          <w:tcPr>
            <w:tcW w:w="2856" w:type="dxa"/>
            <w:tcBorders>
              <w:top w:val="nil"/>
              <w:left w:val="single" w:sz="4" w:space="0" w:color="auto"/>
              <w:bottom w:val="single" w:sz="4" w:space="0" w:color="auto"/>
              <w:right w:val="single" w:sz="4" w:space="0" w:color="auto"/>
            </w:tcBorders>
            <w:shd w:val="clear" w:color="000000" w:fill="BDD7EE"/>
            <w:vAlign w:val="center"/>
            <w:hideMark/>
          </w:tcPr>
          <w:p w14:paraId="13870A83"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Klebsiella</w:t>
            </w:r>
          </w:p>
        </w:tc>
        <w:tc>
          <w:tcPr>
            <w:tcW w:w="2827" w:type="dxa"/>
            <w:tcBorders>
              <w:top w:val="nil"/>
              <w:left w:val="nil"/>
              <w:bottom w:val="single" w:sz="4" w:space="0" w:color="auto"/>
              <w:right w:val="single" w:sz="4" w:space="0" w:color="auto"/>
            </w:tcBorders>
            <w:shd w:val="clear" w:color="000000" w:fill="BDD7EE"/>
            <w:vAlign w:val="center"/>
            <w:hideMark/>
          </w:tcPr>
          <w:p w14:paraId="3EAAFC63" w14:textId="726540DE"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imipenem, piperacillin-tazobactam, cotrimoxazole, cpm, amikacin</w:t>
            </w:r>
          </w:p>
        </w:tc>
        <w:tc>
          <w:tcPr>
            <w:tcW w:w="3483" w:type="dxa"/>
            <w:tcBorders>
              <w:top w:val="nil"/>
              <w:left w:val="nil"/>
              <w:bottom w:val="single" w:sz="4" w:space="0" w:color="auto"/>
              <w:right w:val="single" w:sz="4" w:space="0" w:color="auto"/>
            </w:tcBorders>
            <w:shd w:val="clear" w:color="000000" w:fill="BDD7EE"/>
            <w:vAlign w:val="center"/>
            <w:hideMark/>
          </w:tcPr>
          <w:p w14:paraId="40A12FAA" w14:textId="00926D25"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ampicillin, cefuroxime, cefoxitine</w:t>
            </w:r>
          </w:p>
        </w:tc>
        <w:tc>
          <w:tcPr>
            <w:tcW w:w="262" w:type="dxa"/>
            <w:vAlign w:val="center"/>
            <w:hideMark/>
          </w:tcPr>
          <w:p w14:paraId="02AE7476" w14:textId="77777777" w:rsidR="00004036" w:rsidRPr="00283E01" w:rsidRDefault="00004036" w:rsidP="00283E01">
            <w:pPr>
              <w:spacing w:after="0" w:line="360" w:lineRule="auto"/>
              <w:rPr>
                <w:rFonts w:ascii="Times New Roman" w:eastAsia="Times New Roman" w:hAnsi="Times New Roman" w:cs="Times New Roman"/>
                <w:sz w:val="20"/>
                <w:lang w:eastAsia="en-IN"/>
              </w:rPr>
            </w:pPr>
          </w:p>
        </w:tc>
      </w:tr>
      <w:tr w:rsidR="00004036" w:rsidRPr="00283E01" w14:paraId="33CA221B" w14:textId="77777777" w:rsidTr="0071143C">
        <w:trPr>
          <w:trHeight w:val="174"/>
        </w:trPr>
        <w:tc>
          <w:tcPr>
            <w:tcW w:w="2856" w:type="dxa"/>
            <w:tcBorders>
              <w:top w:val="nil"/>
              <w:left w:val="single" w:sz="4" w:space="0" w:color="auto"/>
              <w:bottom w:val="single" w:sz="4" w:space="0" w:color="auto"/>
              <w:right w:val="single" w:sz="4" w:space="0" w:color="auto"/>
            </w:tcBorders>
            <w:shd w:val="clear" w:color="000000" w:fill="BDD7EE"/>
            <w:vAlign w:val="center"/>
            <w:hideMark/>
          </w:tcPr>
          <w:p w14:paraId="6C8B95C6"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Proteus Mirabilis</w:t>
            </w:r>
          </w:p>
        </w:tc>
        <w:tc>
          <w:tcPr>
            <w:tcW w:w="2827" w:type="dxa"/>
            <w:tcBorders>
              <w:top w:val="nil"/>
              <w:left w:val="nil"/>
              <w:bottom w:val="single" w:sz="4" w:space="0" w:color="auto"/>
              <w:right w:val="single" w:sz="4" w:space="0" w:color="auto"/>
            </w:tcBorders>
            <w:shd w:val="clear" w:color="000000" w:fill="BDD7EE"/>
            <w:vAlign w:val="center"/>
            <w:hideMark/>
          </w:tcPr>
          <w:p w14:paraId="41FDD12E" w14:textId="03068D5D"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imipenem, piperacillin-tazobactam</w:t>
            </w:r>
          </w:p>
        </w:tc>
        <w:tc>
          <w:tcPr>
            <w:tcW w:w="3483" w:type="dxa"/>
            <w:tcBorders>
              <w:top w:val="nil"/>
              <w:left w:val="nil"/>
              <w:bottom w:val="single" w:sz="4" w:space="0" w:color="auto"/>
              <w:right w:val="single" w:sz="4" w:space="0" w:color="auto"/>
            </w:tcBorders>
            <w:shd w:val="clear" w:color="000000" w:fill="BDD7EE"/>
            <w:vAlign w:val="center"/>
            <w:hideMark/>
          </w:tcPr>
          <w:p w14:paraId="414E9C1D" w14:textId="6CC42391"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teicoplanin, linezolid, erythromycin</w:t>
            </w:r>
          </w:p>
        </w:tc>
        <w:tc>
          <w:tcPr>
            <w:tcW w:w="262" w:type="dxa"/>
            <w:vAlign w:val="center"/>
            <w:hideMark/>
          </w:tcPr>
          <w:p w14:paraId="7FC7EC88" w14:textId="77777777" w:rsidR="00004036" w:rsidRPr="00283E01" w:rsidRDefault="00004036" w:rsidP="00283E01">
            <w:pPr>
              <w:spacing w:after="0" w:line="360" w:lineRule="auto"/>
              <w:rPr>
                <w:rFonts w:ascii="Times New Roman" w:eastAsia="Times New Roman" w:hAnsi="Times New Roman" w:cs="Times New Roman"/>
                <w:sz w:val="20"/>
                <w:lang w:eastAsia="en-IN"/>
              </w:rPr>
            </w:pPr>
          </w:p>
        </w:tc>
      </w:tr>
      <w:tr w:rsidR="00004036" w:rsidRPr="00283E01" w14:paraId="546547F6" w14:textId="77777777" w:rsidTr="0071143C">
        <w:trPr>
          <w:trHeight w:val="266"/>
        </w:trPr>
        <w:tc>
          <w:tcPr>
            <w:tcW w:w="2856" w:type="dxa"/>
            <w:tcBorders>
              <w:top w:val="nil"/>
              <w:left w:val="single" w:sz="4" w:space="0" w:color="auto"/>
              <w:bottom w:val="single" w:sz="4" w:space="0" w:color="auto"/>
              <w:right w:val="single" w:sz="4" w:space="0" w:color="auto"/>
            </w:tcBorders>
            <w:shd w:val="clear" w:color="000000" w:fill="BDD7EE"/>
            <w:vAlign w:val="center"/>
            <w:hideMark/>
          </w:tcPr>
          <w:p w14:paraId="6C8B33A8"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Proteus Vulgaris</w:t>
            </w:r>
          </w:p>
        </w:tc>
        <w:tc>
          <w:tcPr>
            <w:tcW w:w="2827" w:type="dxa"/>
            <w:tcBorders>
              <w:top w:val="nil"/>
              <w:left w:val="nil"/>
              <w:bottom w:val="single" w:sz="4" w:space="0" w:color="auto"/>
              <w:right w:val="single" w:sz="4" w:space="0" w:color="auto"/>
            </w:tcBorders>
            <w:shd w:val="clear" w:color="000000" w:fill="BDD7EE"/>
            <w:vAlign w:val="center"/>
            <w:hideMark/>
          </w:tcPr>
          <w:p w14:paraId="3349A9AB" w14:textId="66C309D0"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imipenem, piperacillin-tazobactam, amikacin</w:t>
            </w:r>
          </w:p>
        </w:tc>
        <w:tc>
          <w:tcPr>
            <w:tcW w:w="3483" w:type="dxa"/>
            <w:tcBorders>
              <w:top w:val="nil"/>
              <w:left w:val="nil"/>
              <w:bottom w:val="single" w:sz="4" w:space="0" w:color="auto"/>
              <w:right w:val="single" w:sz="4" w:space="0" w:color="auto"/>
            </w:tcBorders>
            <w:shd w:val="clear" w:color="000000" w:fill="BDD7EE"/>
            <w:vAlign w:val="center"/>
            <w:hideMark/>
          </w:tcPr>
          <w:p w14:paraId="2BFEE5DB" w14:textId="48E0FAAA"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cefoxitine, cefuroxime, cefepime, ceftriaxone, ciprofloxacin</w:t>
            </w:r>
          </w:p>
        </w:tc>
        <w:tc>
          <w:tcPr>
            <w:tcW w:w="262" w:type="dxa"/>
            <w:vAlign w:val="center"/>
            <w:hideMark/>
          </w:tcPr>
          <w:p w14:paraId="6CC4C923" w14:textId="77777777" w:rsidR="00004036" w:rsidRPr="00283E01" w:rsidRDefault="00004036" w:rsidP="00283E01">
            <w:pPr>
              <w:spacing w:after="0" w:line="360" w:lineRule="auto"/>
              <w:rPr>
                <w:rFonts w:ascii="Times New Roman" w:eastAsia="Times New Roman" w:hAnsi="Times New Roman" w:cs="Times New Roman"/>
                <w:sz w:val="20"/>
                <w:lang w:eastAsia="en-IN"/>
              </w:rPr>
            </w:pPr>
          </w:p>
        </w:tc>
      </w:tr>
      <w:tr w:rsidR="00004036" w:rsidRPr="00283E01" w14:paraId="7DE95DE0" w14:textId="77777777" w:rsidTr="0071143C">
        <w:trPr>
          <w:trHeight w:val="261"/>
        </w:trPr>
        <w:tc>
          <w:tcPr>
            <w:tcW w:w="2856" w:type="dxa"/>
            <w:tcBorders>
              <w:top w:val="nil"/>
              <w:left w:val="single" w:sz="4" w:space="0" w:color="auto"/>
              <w:bottom w:val="single" w:sz="4" w:space="0" w:color="auto"/>
              <w:right w:val="single" w:sz="4" w:space="0" w:color="auto"/>
            </w:tcBorders>
            <w:shd w:val="clear" w:color="000000" w:fill="BDD7EE"/>
            <w:vAlign w:val="center"/>
            <w:hideMark/>
          </w:tcPr>
          <w:p w14:paraId="4C869922"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Pseudomonas</w:t>
            </w:r>
          </w:p>
        </w:tc>
        <w:tc>
          <w:tcPr>
            <w:tcW w:w="2827" w:type="dxa"/>
            <w:tcBorders>
              <w:top w:val="nil"/>
              <w:left w:val="nil"/>
              <w:bottom w:val="single" w:sz="4" w:space="0" w:color="auto"/>
              <w:right w:val="single" w:sz="4" w:space="0" w:color="auto"/>
            </w:tcBorders>
            <w:shd w:val="clear" w:color="000000" w:fill="BDD7EE"/>
            <w:vAlign w:val="center"/>
            <w:hideMark/>
          </w:tcPr>
          <w:p w14:paraId="62AD955A" w14:textId="6647DD36"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cefepime, imipenem, piperacillin-tazobactam, gentamycin</w:t>
            </w:r>
          </w:p>
        </w:tc>
        <w:tc>
          <w:tcPr>
            <w:tcW w:w="3483" w:type="dxa"/>
            <w:tcBorders>
              <w:top w:val="nil"/>
              <w:left w:val="nil"/>
              <w:bottom w:val="single" w:sz="4" w:space="0" w:color="auto"/>
              <w:right w:val="single" w:sz="4" w:space="0" w:color="auto"/>
            </w:tcBorders>
            <w:shd w:val="clear" w:color="000000" w:fill="BDD7EE"/>
            <w:vAlign w:val="center"/>
            <w:hideMark/>
          </w:tcPr>
          <w:p w14:paraId="38477C08" w14:textId="5D9E027E"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ampicillin, erythromycin, cefoxitin</w:t>
            </w:r>
          </w:p>
        </w:tc>
        <w:tc>
          <w:tcPr>
            <w:tcW w:w="262" w:type="dxa"/>
            <w:vAlign w:val="center"/>
            <w:hideMark/>
          </w:tcPr>
          <w:p w14:paraId="296E0CAF" w14:textId="77777777" w:rsidR="00004036" w:rsidRPr="00283E01" w:rsidRDefault="00004036" w:rsidP="00283E01">
            <w:pPr>
              <w:spacing w:after="0" w:line="360" w:lineRule="auto"/>
              <w:rPr>
                <w:rFonts w:ascii="Times New Roman" w:eastAsia="Times New Roman" w:hAnsi="Times New Roman" w:cs="Times New Roman"/>
                <w:sz w:val="20"/>
                <w:lang w:eastAsia="en-IN"/>
              </w:rPr>
            </w:pPr>
          </w:p>
        </w:tc>
      </w:tr>
      <w:tr w:rsidR="00004036" w:rsidRPr="00283E01" w14:paraId="412613DE" w14:textId="77777777" w:rsidTr="0071143C">
        <w:trPr>
          <w:trHeight w:val="174"/>
        </w:trPr>
        <w:tc>
          <w:tcPr>
            <w:tcW w:w="2856" w:type="dxa"/>
            <w:tcBorders>
              <w:top w:val="nil"/>
              <w:left w:val="single" w:sz="4" w:space="0" w:color="auto"/>
              <w:bottom w:val="single" w:sz="4" w:space="0" w:color="auto"/>
              <w:right w:val="single" w:sz="4" w:space="0" w:color="auto"/>
            </w:tcBorders>
            <w:shd w:val="clear" w:color="000000" w:fill="BDD7EE"/>
            <w:vAlign w:val="center"/>
            <w:hideMark/>
          </w:tcPr>
          <w:p w14:paraId="7CC36570"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Staphylococcus Aureus</w:t>
            </w:r>
          </w:p>
        </w:tc>
        <w:tc>
          <w:tcPr>
            <w:tcW w:w="2827" w:type="dxa"/>
            <w:tcBorders>
              <w:top w:val="nil"/>
              <w:left w:val="nil"/>
              <w:bottom w:val="single" w:sz="4" w:space="0" w:color="auto"/>
              <w:right w:val="single" w:sz="4" w:space="0" w:color="auto"/>
            </w:tcBorders>
            <w:shd w:val="clear" w:color="000000" w:fill="BDD7EE"/>
            <w:vAlign w:val="center"/>
            <w:hideMark/>
          </w:tcPr>
          <w:p w14:paraId="6F177EAF" w14:textId="1F43E5AE"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teicoplanin, gentamycin, cotrimoxazole, cefoxitin</w:t>
            </w:r>
          </w:p>
        </w:tc>
        <w:tc>
          <w:tcPr>
            <w:tcW w:w="3483" w:type="dxa"/>
            <w:tcBorders>
              <w:top w:val="nil"/>
              <w:left w:val="nil"/>
              <w:bottom w:val="single" w:sz="4" w:space="0" w:color="auto"/>
              <w:right w:val="single" w:sz="4" w:space="0" w:color="auto"/>
            </w:tcBorders>
            <w:shd w:val="clear" w:color="000000" w:fill="BDD7EE"/>
            <w:vAlign w:val="center"/>
            <w:hideMark/>
          </w:tcPr>
          <w:p w14:paraId="7363E94C" w14:textId="26C6FAFE" w:rsidR="00004036" w:rsidRPr="00283E01" w:rsidRDefault="003E7E63"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ampicillin, erythromycin</w:t>
            </w:r>
          </w:p>
        </w:tc>
        <w:tc>
          <w:tcPr>
            <w:tcW w:w="262" w:type="dxa"/>
            <w:vAlign w:val="center"/>
            <w:hideMark/>
          </w:tcPr>
          <w:p w14:paraId="5AF9EDD6" w14:textId="77777777" w:rsidR="00004036" w:rsidRPr="00283E01" w:rsidRDefault="00004036" w:rsidP="00283E01">
            <w:pPr>
              <w:spacing w:after="0" w:line="360" w:lineRule="auto"/>
              <w:rPr>
                <w:rFonts w:ascii="Times New Roman" w:eastAsia="Times New Roman" w:hAnsi="Times New Roman" w:cs="Times New Roman"/>
                <w:sz w:val="20"/>
                <w:lang w:eastAsia="en-IN"/>
              </w:rPr>
            </w:pPr>
          </w:p>
        </w:tc>
      </w:tr>
    </w:tbl>
    <w:p w14:paraId="6F073520" w14:textId="77777777" w:rsidR="00004036" w:rsidRPr="00283E01" w:rsidRDefault="00004036" w:rsidP="00283E01">
      <w:pPr>
        <w:spacing w:after="0" w:line="360" w:lineRule="auto"/>
        <w:rPr>
          <w:rFonts w:ascii="Times New Roman" w:hAnsi="Times New Roman" w:cs="Times New Roman"/>
          <w:sz w:val="20"/>
        </w:rPr>
      </w:pPr>
    </w:p>
    <w:p w14:paraId="1A05A703" w14:textId="6C18C8C8" w:rsidR="00004036" w:rsidRPr="00283E01" w:rsidRDefault="00004036" w:rsidP="00283E01">
      <w:pPr>
        <w:spacing w:after="0" w:line="360" w:lineRule="auto"/>
        <w:rPr>
          <w:rFonts w:ascii="Times New Roman" w:hAnsi="Times New Roman" w:cs="Times New Roman"/>
          <w:b/>
          <w:bCs/>
          <w:sz w:val="20"/>
          <w:lang w:val="en-US"/>
        </w:rPr>
      </w:pPr>
      <w:r w:rsidRPr="00283E01">
        <w:rPr>
          <w:rFonts w:ascii="Times New Roman" w:hAnsi="Times New Roman" w:cs="Times New Roman"/>
          <w:b/>
          <w:bCs/>
          <w:sz w:val="20"/>
          <w:lang w:val="en-US"/>
        </w:rPr>
        <w:t>Mortality associated with Percentage of TBSA burn</w:t>
      </w:r>
      <w:r w:rsidR="00BD4A5D" w:rsidRPr="00283E01">
        <w:rPr>
          <w:rFonts w:ascii="Times New Roman" w:hAnsi="Times New Roman" w:cs="Times New Roman"/>
          <w:b/>
          <w:bCs/>
          <w:sz w:val="20"/>
          <w:lang w:val="en-US"/>
        </w:rPr>
        <w:t xml:space="preserve"> : </w:t>
      </w:r>
      <w:r w:rsidRPr="00283E01">
        <w:rPr>
          <w:rFonts w:ascii="Times New Roman" w:hAnsi="Times New Roman" w:cs="Times New Roman"/>
          <w:sz w:val="20"/>
        </w:rPr>
        <w:t>The study shows that as the percentage of total body surface area burn increases the mortality increases with 100% mortality above 60% of TBSA burn.</w:t>
      </w:r>
    </w:p>
    <w:p w14:paraId="3B90401B" w14:textId="43521F72" w:rsidR="00004036" w:rsidRPr="00283E01" w:rsidRDefault="00004036" w:rsidP="00283E01">
      <w:pPr>
        <w:tabs>
          <w:tab w:val="left" w:pos="6600"/>
        </w:tabs>
        <w:spacing w:after="0" w:line="360" w:lineRule="auto"/>
        <w:rPr>
          <w:rFonts w:ascii="Times New Roman" w:hAnsi="Times New Roman" w:cs="Times New Roman"/>
          <w:b/>
          <w:bCs/>
          <w:sz w:val="20"/>
          <w:lang w:val="en-US"/>
        </w:rPr>
      </w:pPr>
      <w:r w:rsidRPr="00283E01">
        <w:rPr>
          <w:rFonts w:ascii="Times New Roman" w:hAnsi="Times New Roman" w:cs="Times New Roman"/>
          <w:sz w:val="20"/>
        </w:rPr>
        <w:t xml:space="preserve">Fig. 23 : </w:t>
      </w:r>
      <w:r w:rsidRPr="00283E01">
        <w:rPr>
          <w:rFonts w:ascii="Times New Roman" w:hAnsi="Times New Roman" w:cs="Times New Roman"/>
          <w:b/>
          <w:bCs/>
          <w:sz w:val="20"/>
          <w:lang w:val="en-US"/>
        </w:rPr>
        <w:t>Mortality associated with percentage of TBSA burn</w:t>
      </w:r>
      <w:r w:rsidRPr="00283E01">
        <w:rPr>
          <w:rFonts w:ascii="Times New Roman" w:hAnsi="Times New Roman" w:cs="Times New Roman"/>
          <w:noProof/>
          <w:sz w:val="20"/>
          <w:lang w:eastAsia="en-IN" w:bidi="ar-SA"/>
        </w:rPr>
        <w:drawing>
          <wp:inline distT="0" distB="0" distL="0" distR="0" wp14:anchorId="15BEF633" wp14:editId="65AD89E3">
            <wp:extent cx="3460750" cy="2470150"/>
            <wp:effectExtent l="0" t="0" r="6350" b="6350"/>
            <wp:docPr id="36" name="Chart 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3557B1C-F020-2FD9-C852-4BC777911F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BE796B" w14:textId="07285BA9" w:rsidR="00004036" w:rsidRPr="00283E01" w:rsidRDefault="00283E01" w:rsidP="00283E01">
      <w:pPr>
        <w:spacing w:after="0" w:line="360" w:lineRule="auto"/>
        <w:rPr>
          <w:rFonts w:ascii="Times New Roman" w:hAnsi="Times New Roman" w:cs="Times New Roman"/>
          <w:sz w:val="20"/>
          <w:lang w:val="en-US"/>
        </w:rPr>
      </w:pPr>
      <w:r>
        <w:rPr>
          <w:rFonts w:ascii="Times New Roman" w:hAnsi="Times New Roman" w:cs="Times New Roman"/>
          <w:sz w:val="20"/>
          <w:lang w:val="en-US"/>
        </w:rPr>
        <w:t>Table 6</w:t>
      </w:r>
      <w:r w:rsidR="00004036" w:rsidRPr="00283E01">
        <w:rPr>
          <w:rFonts w:ascii="Times New Roman" w:hAnsi="Times New Roman" w:cs="Times New Roman"/>
          <w:sz w:val="20"/>
          <w:lang w:val="en-US"/>
        </w:rPr>
        <w:t xml:space="preserve"> : </w:t>
      </w:r>
      <w:r w:rsidR="00004036" w:rsidRPr="00283E01">
        <w:rPr>
          <w:rFonts w:ascii="Times New Roman" w:hAnsi="Times New Roman" w:cs="Times New Roman"/>
          <w:b/>
          <w:bCs/>
          <w:sz w:val="20"/>
          <w:lang w:val="en-US"/>
        </w:rPr>
        <w:t>Different treatment modalities and dressing methods used</w:t>
      </w:r>
    </w:p>
    <w:tbl>
      <w:tblPr>
        <w:tblW w:w="4668" w:type="dxa"/>
        <w:tblLook w:val="04A0" w:firstRow="1" w:lastRow="0" w:firstColumn="1" w:lastColumn="0" w:noHBand="0" w:noVBand="1"/>
      </w:tblPr>
      <w:tblGrid>
        <w:gridCol w:w="2117"/>
        <w:gridCol w:w="1275"/>
        <w:gridCol w:w="1276"/>
      </w:tblGrid>
      <w:tr w:rsidR="00004036" w:rsidRPr="00283E01" w14:paraId="3C1633ED" w14:textId="77777777" w:rsidTr="00A56057">
        <w:trPr>
          <w:trHeight w:val="805"/>
        </w:trPr>
        <w:tc>
          <w:tcPr>
            <w:tcW w:w="2117" w:type="dxa"/>
            <w:tcBorders>
              <w:top w:val="single" w:sz="8" w:space="0" w:color="auto"/>
              <w:left w:val="single" w:sz="8" w:space="0" w:color="auto"/>
              <w:bottom w:val="single" w:sz="8" w:space="0" w:color="auto"/>
              <w:right w:val="single" w:sz="4" w:space="0" w:color="auto"/>
            </w:tcBorders>
            <w:shd w:val="clear" w:color="000000" w:fill="9BC2E6"/>
            <w:vAlign w:val="center"/>
            <w:hideMark/>
          </w:tcPr>
          <w:p w14:paraId="2544C6A1"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Treatment/Dressing modality</w:t>
            </w:r>
          </w:p>
        </w:tc>
        <w:tc>
          <w:tcPr>
            <w:tcW w:w="1275" w:type="dxa"/>
            <w:tcBorders>
              <w:top w:val="single" w:sz="8" w:space="0" w:color="auto"/>
              <w:left w:val="nil"/>
              <w:bottom w:val="single" w:sz="8" w:space="0" w:color="auto"/>
              <w:right w:val="single" w:sz="4" w:space="0" w:color="auto"/>
            </w:tcBorders>
            <w:shd w:val="clear" w:color="000000" w:fill="9BC2E6"/>
            <w:vAlign w:val="center"/>
            <w:hideMark/>
          </w:tcPr>
          <w:p w14:paraId="5A84D046"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Number of patients</w:t>
            </w:r>
          </w:p>
        </w:tc>
        <w:tc>
          <w:tcPr>
            <w:tcW w:w="1276" w:type="dxa"/>
            <w:tcBorders>
              <w:top w:val="single" w:sz="8" w:space="0" w:color="auto"/>
              <w:left w:val="nil"/>
              <w:bottom w:val="single" w:sz="8" w:space="0" w:color="auto"/>
              <w:right w:val="single" w:sz="8" w:space="0" w:color="auto"/>
            </w:tcBorders>
            <w:shd w:val="clear" w:color="000000" w:fill="9BC2E6"/>
            <w:vAlign w:val="center"/>
            <w:hideMark/>
          </w:tcPr>
          <w:p w14:paraId="3436F9B4" w14:textId="77777777" w:rsidR="00004036" w:rsidRPr="00283E01" w:rsidRDefault="00004036" w:rsidP="00283E01">
            <w:pPr>
              <w:spacing w:after="0" w:line="360" w:lineRule="auto"/>
              <w:jc w:val="center"/>
              <w:rPr>
                <w:rFonts w:ascii="Times New Roman" w:eastAsia="Times New Roman" w:hAnsi="Times New Roman" w:cs="Times New Roman"/>
                <w:b/>
                <w:bCs/>
                <w:color w:val="000000"/>
                <w:sz w:val="20"/>
                <w:lang w:eastAsia="en-IN"/>
              </w:rPr>
            </w:pPr>
            <w:r w:rsidRPr="00283E01">
              <w:rPr>
                <w:rFonts w:ascii="Times New Roman" w:eastAsia="Times New Roman" w:hAnsi="Times New Roman" w:cs="Times New Roman"/>
                <w:b/>
                <w:bCs/>
                <w:color w:val="000000"/>
                <w:sz w:val="20"/>
                <w:lang w:eastAsia="en-IN"/>
              </w:rPr>
              <w:t>Percentage</w:t>
            </w:r>
          </w:p>
        </w:tc>
      </w:tr>
      <w:tr w:rsidR="00004036" w:rsidRPr="00283E01" w14:paraId="4E3106DE" w14:textId="77777777" w:rsidTr="00A56057">
        <w:trPr>
          <w:trHeight w:val="265"/>
        </w:trPr>
        <w:tc>
          <w:tcPr>
            <w:tcW w:w="2117" w:type="dxa"/>
            <w:tcBorders>
              <w:top w:val="nil"/>
              <w:left w:val="single" w:sz="8" w:space="0" w:color="auto"/>
              <w:bottom w:val="single" w:sz="4" w:space="0" w:color="auto"/>
              <w:right w:val="single" w:sz="4" w:space="0" w:color="auto"/>
            </w:tcBorders>
            <w:shd w:val="clear" w:color="000000" w:fill="9BC2E6"/>
            <w:vAlign w:val="center"/>
            <w:hideMark/>
          </w:tcPr>
          <w:p w14:paraId="3AD2D427"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Debridement</w:t>
            </w:r>
          </w:p>
        </w:tc>
        <w:tc>
          <w:tcPr>
            <w:tcW w:w="1275" w:type="dxa"/>
            <w:tcBorders>
              <w:top w:val="nil"/>
              <w:left w:val="nil"/>
              <w:bottom w:val="single" w:sz="4" w:space="0" w:color="auto"/>
              <w:right w:val="single" w:sz="4" w:space="0" w:color="auto"/>
            </w:tcBorders>
            <w:shd w:val="clear" w:color="000000" w:fill="9BC2E6"/>
            <w:vAlign w:val="center"/>
            <w:hideMark/>
          </w:tcPr>
          <w:p w14:paraId="4521B9D4"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24</w:t>
            </w:r>
          </w:p>
        </w:tc>
        <w:tc>
          <w:tcPr>
            <w:tcW w:w="1276" w:type="dxa"/>
            <w:tcBorders>
              <w:top w:val="nil"/>
              <w:left w:val="nil"/>
              <w:bottom w:val="single" w:sz="4" w:space="0" w:color="auto"/>
              <w:right w:val="single" w:sz="8" w:space="0" w:color="auto"/>
            </w:tcBorders>
            <w:shd w:val="clear" w:color="000000" w:fill="9BC2E6"/>
            <w:vAlign w:val="center"/>
            <w:hideMark/>
          </w:tcPr>
          <w:p w14:paraId="39E2D5CE"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18.60</w:t>
            </w:r>
          </w:p>
        </w:tc>
      </w:tr>
      <w:tr w:rsidR="00004036" w:rsidRPr="00283E01" w14:paraId="7C2BB651" w14:textId="77777777" w:rsidTr="00A56057">
        <w:trPr>
          <w:trHeight w:val="796"/>
        </w:trPr>
        <w:tc>
          <w:tcPr>
            <w:tcW w:w="2117" w:type="dxa"/>
            <w:tcBorders>
              <w:top w:val="nil"/>
              <w:left w:val="single" w:sz="8" w:space="0" w:color="auto"/>
              <w:bottom w:val="single" w:sz="4" w:space="0" w:color="auto"/>
              <w:right w:val="single" w:sz="4" w:space="0" w:color="auto"/>
            </w:tcBorders>
            <w:shd w:val="clear" w:color="000000" w:fill="9BC2E6"/>
            <w:vAlign w:val="center"/>
            <w:hideMark/>
          </w:tcPr>
          <w:p w14:paraId="49E153FB"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Dressing with topical antibiotics and steroids</w:t>
            </w:r>
          </w:p>
        </w:tc>
        <w:tc>
          <w:tcPr>
            <w:tcW w:w="1275" w:type="dxa"/>
            <w:tcBorders>
              <w:top w:val="nil"/>
              <w:left w:val="nil"/>
              <w:bottom w:val="single" w:sz="4" w:space="0" w:color="auto"/>
              <w:right w:val="single" w:sz="4" w:space="0" w:color="auto"/>
            </w:tcBorders>
            <w:shd w:val="clear" w:color="000000" w:fill="9BC2E6"/>
            <w:vAlign w:val="center"/>
            <w:hideMark/>
          </w:tcPr>
          <w:p w14:paraId="645F9C26"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12</w:t>
            </w:r>
          </w:p>
        </w:tc>
        <w:tc>
          <w:tcPr>
            <w:tcW w:w="1276" w:type="dxa"/>
            <w:tcBorders>
              <w:top w:val="nil"/>
              <w:left w:val="nil"/>
              <w:bottom w:val="single" w:sz="4" w:space="0" w:color="auto"/>
              <w:right w:val="single" w:sz="8" w:space="0" w:color="auto"/>
            </w:tcBorders>
            <w:shd w:val="clear" w:color="000000" w:fill="9BC2E6"/>
            <w:vAlign w:val="center"/>
            <w:hideMark/>
          </w:tcPr>
          <w:p w14:paraId="42F64116"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9.30</w:t>
            </w:r>
          </w:p>
        </w:tc>
      </w:tr>
      <w:tr w:rsidR="00004036" w:rsidRPr="00283E01" w14:paraId="73EBFCDC" w14:textId="77777777" w:rsidTr="00A56057">
        <w:trPr>
          <w:trHeight w:val="531"/>
        </w:trPr>
        <w:tc>
          <w:tcPr>
            <w:tcW w:w="2117" w:type="dxa"/>
            <w:tcBorders>
              <w:top w:val="nil"/>
              <w:left w:val="single" w:sz="8" w:space="0" w:color="auto"/>
              <w:bottom w:val="single" w:sz="4" w:space="0" w:color="auto"/>
              <w:right w:val="single" w:sz="4" w:space="0" w:color="auto"/>
            </w:tcBorders>
            <w:shd w:val="clear" w:color="000000" w:fill="9BC2E6"/>
            <w:vAlign w:val="center"/>
            <w:hideMark/>
          </w:tcPr>
          <w:p w14:paraId="33FE2CA6"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 xml:space="preserve">Hydrocolloid dressings </w:t>
            </w:r>
          </w:p>
        </w:tc>
        <w:tc>
          <w:tcPr>
            <w:tcW w:w="1275" w:type="dxa"/>
            <w:tcBorders>
              <w:top w:val="nil"/>
              <w:left w:val="nil"/>
              <w:bottom w:val="single" w:sz="4" w:space="0" w:color="auto"/>
              <w:right w:val="single" w:sz="4" w:space="0" w:color="auto"/>
            </w:tcBorders>
            <w:shd w:val="clear" w:color="000000" w:fill="9BC2E6"/>
            <w:vAlign w:val="center"/>
            <w:hideMark/>
          </w:tcPr>
          <w:p w14:paraId="3903B372"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13</w:t>
            </w:r>
          </w:p>
        </w:tc>
        <w:tc>
          <w:tcPr>
            <w:tcW w:w="1276" w:type="dxa"/>
            <w:tcBorders>
              <w:top w:val="nil"/>
              <w:left w:val="nil"/>
              <w:bottom w:val="single" w:sz="4" w:space="0" w:color="auto"/>
              <w:right w:val="single" w:sz="8" w:space="0" w:color="auto"/>
            </w:tcBorders>
            <w:shd w:val="clear" w:color="000000" w:fill="9BC2E6"/>
            <w:vAlign w:val="center"/>
            <w:hideMark/>
          </w:tcPr>
          <w:p w14:paraId="5E07FFC4"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10.08</w:t>
            </w:r>
          </w:p>
        </w:tc>
      </w:tr>
      <w:tr w:rsidR="00004036" w:rsidRPr="00283E01" w14:paraId="0F7BDC4D" w14:textId="77777777" w:rsidTr="00A56057">
        <w:trPr>
          <w:trHeight w:val="265"/>
        </w:trPr>
        <w:tc>
          <w:tcPr>
            <w:tcW w:w="2117" w:type="dxa"/>
            <w:tcBorders>
              <w:top w:val="nil"/>
              <w:left w:val="single" w:sz="8" w:space="0" w:color="auto"/>
              <w:bottom w:val="single" w:sz="4" w:space="0" w:color="auto"/>
              <w:right w:val="single" w:sz="4" w:space="0" w:color="auto"/>
            </w:tcBorders>
            <w:shd w:val="clear" w:color="000000" w:fill="9BC2E6"/>
            <w:vAlign w:val="center"/>
            <w:hideMark/>
          </w:tcPr>
          <w:p w14:paraId="3F506B06"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Escharotomy</w:t>
            </w:r>
          </w:p>
        </w:tc>
        <w:tc>
          <w:tcPr>
            <w:tcW w:w="1275" w:type="dxa"/>
            <w:tcBorders>
              <w:top w:val="nil"/>
              <w:left w:val="nil"/>
              <w:bottom w:val="single" w:sz="4" w:space="0" w:color="auto"/>
              <w:right w:val="single" w:sz="4" w:space="0" w:color="auto"/>
            </w:tcBorders>
            <w:shd w:val="clear" w:color="000000" w:fill="9BC2E6"/>
            <w:vAlign w:val="center"/>
            <w:hideMark/>
          </w:tcPr>
          <w:p w14:paraId="0B269CA0"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21</w:t>
            </w:r>
          </w:p>
        </w:tc>
        <w:tc>
          <w:tcPr>
            <w:tcW w:w="1276" w:type="dxa"/>
            <w:tcBorders>
              <w:top w:val="nil"/>
              <w:left w:val="nil"/>
              <w:bottom w:val="single" w:sz="4" w:space="0" w:color="auto"/>
              <w:right w:val="single" w:sz="8" w:space="0" w:color="auto"/>
            </w:tcBorders>
            <w:shd w:val="clear" w:color="000000" w:fill="9BC2E6"/>
            <w:vAlign w:val="center"/>
            <w:hideMark/>
          </w:tcPr>
          <w:p w14:paraId="635358A0"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16.28</w:t>
            </w:r>
          </w:p>
        </w:tc>
      </w:tr>
      <w:tr w:rsidR="00004036" w:rsidRPr="00283E01" w14:paraId="5ACD9ACA" w14:textId="77777777" w:rsidTr="00A56057">
        <w:trPr>
          <w:trHeight w:val="540"/>
        </w:trPr>
        <w:tc>
          <w:tcPr>
            <w:tcW w:w="2117" w:type="dxa"/>
            <w:tcBorders>
              <w:top w:val="nil"/>
              <w:left w:val="single" w:sz="8" w:space="0" w:color="auto"/>
              <w:bottom w:val="single" w:sz="8" w:space="0" w:color="auto"/>
              <w:right w:val="single" w:sz="4" w:space="0" w:color="auto"/>
            </w:tcBorders>
            <w:shd w:val="clear" w:color="000000" w:fill="9BC2E6"/>
            <w:vAlign w:val="center"/>
            <w:hideMark/>
          </w:tcPr>
          <w:p w14:paraId="1DBF3836"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Early excision and STSG</w:t>
            </w:r>
          </w:p>
        </w:tc>
        <w:tc>
          <w:tcPr>
            <w:tcW w:w="1275" w:type="dxa"/>
            <w:tcBorders>
              <w:top w:val="nil"/>
              <w:left w:val="nil"/>
              <w:bottom w:val="single" w:sz="8" w:space="0" w:color="auto"/>
              <w:right w:val="single" w:sz="4" w:space="0" w:color="auto"/>
            </w:tcBorders>
            <w:shd w:val="clear" w:color="000000" w:fill="9BC2E6"/>
            <w:vAlign w:val="center"/>
            <w:hideMark/>
          </w:tcPr>
          <w:p w14:paraId="4BDC38F9"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6</w:t>
            </w:r>
          </w:p>
        </w:tc>
        <w:tc>
          <w:tcPr>
            <w:tcW w:w="1276" w:type="dxa"/>
            <w:tcBorders>
              <w:top w:val="nil"/>
              <w:left w:val="nil"/>
              <w:bottom w:val="single" w:sz="8" w:space="0" w:color="auto"/>
              <w:right w:val="single" w:sz="8" w:space="0" w:color="auto"/>
            </w:tcBorders>
            <w:shd w:val="clear" w:color="000000" w:fill="9BC2E6"/>
            <w:vAlign w:val="center"/>
            <w:hideMark/>
          </w:tcPr>
          <w:p w14:paraId="5A827BA0" w14:textId="77777777" w:rsidR="00004036" w:rsidRPr="00283E01" w:rsidRDefault="00004036" w:rsidP="00283E01">
            <w:pPr>
              <w:spacing w:after="0" w:line="360" w:lineRule="auto"/>
              <w:jc w:val="center"/>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4.66</w:t>
            </w:r>
          </w:p>
        </w:tc>
      </w:tr>
    </w:tbl>
    <w:p w14:paraId="48E262E7" w14:textId="4B213F81" w:rsidR="00004036" w:rsidRPr="00283E01" w:rsidRDefault="00004036" w:rsidP="00283E01">
      <w:pPr>
        <w:spacing w:after="0" w:line="360" w:lineRule="auto"/>
        <w:rPr>
          <w:rFonts w:ascii="Times New Roman" w:hAnsi="Times New Roman" w:cs="Times New Roman"/>
          <w:sz w:val="20"/>
        </w:rPr>
      </w:pPr>
      <w:r w:rsidRPr="00283E01">
        <w:rPr>
          <w:rFonts w:ascii="Times New Roman" w:hAnsi="Times New Roman" w:cs="Times New Roman"/>
          <w:sz w:val="20"/>
        </w:rPr>
        <w:t xml:space="preserve">Debridement with cleaning and dressing of wounds with betadine and eusol are used for all burn wounds. </w:t>
      </w:r>
    </w:p>
    <w:p w14:paraId="2FF922B1" w14:textId="77777777" w:rsidR="00004036" w:rsidRPr="00283E01" w:rsidRDefault="00004036" w:rsidP="00283E01">
      <w:pPr>
        <w:pStyle w:val="ListParagraph"/>
        <w:numPr>
          <w:ilvl w:val="0"/>
          <w:numId w:val="21"/>
        </w:numPr>
        <w:spacing w:after="0" w:line="360" w:lineRule="auto"/>
        <w:rPr>
          <w:rFonts w:ascii="Times New Roman" w:hAnsi="Times New Roman" w:cs="Times New Roman"/>
          <w:sz w:val="20"/>
        </w:rPr>
      </w:pPr>
      <w:r w:rsidRPr="00283E01">
        <w:rPr>
          <w:rFonts w:ascii="Times New Roman" w:hAnsi="Times New Roman" w:cs="Times New Roman"/>
          <w:sz w:val="20"/>
        </w:rPr>
        <w:t xml:space="preserve">Out of 66 patients with 0-50% TBSA burns 19 patients had wound contractures (28.78%). </w:t>
      </w:r>
      <w:r w:rsidRPr="00283E01">
        <w:rPr>
          <w:rFonts w:ascii="Times New Roman" w:eastAsia="Times New Roman" w:hAnsi="Times New Roman" w:cs="Times New Roman"/>
          <w:color w:val="000000"/>
          <w:sz w:val="20"/>
          <w:lang w:eastAsia="en-IN"/>
        </w:rPr>
        <w:t xml:space="preserve">Dressing with topical antibiotics and steroids for partial thickness second degree burns used in 12 patients prevented development of fibrosis and wound contractures of the scars. </w:t>
      </w:r>
    </w:p>
    <w:p w14:paraId="03B4B3ED" w14:textId="77777777" w:rsidR="00004036" w:rsidRPr="00283E01" w:rsidRDefault="00004036" w:rsidP="00283E01">
      <w:pPr>
        <w:pStyle w:val="ListParagraph"/>
        <w:numPr>
          <w:ilvl w:val="0"/>
          <w:numId w:val="21"/>
        </w:numPr>
        <w:spacing w:after="0" w:line="360" w:lineRule="auto"/>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Patients with 0-15% TBSA burns has average duration of hospital stay of 16.6 days. Hydrocolloid dressings used for 0-15% TBSA burns patients for superficial first and second degree burns showed decrease in average duration of hospital stay (13.38 days).</w:t>
      </w:r>
    </w:p>
    <w:p w14:paraId="4667337C" w14:textId="77777777" w:rsidR="00004036" w:rsidRPr="00283E01" w:rsidRDefault="00004036" w:rsidP="00283E01">
      <w:pPr>
        <w:pStyle w:val="ListParagraph"/>
        <w:numPr>
          <w:ilvl w:val="0"/>
          <w:numId w:val="21"/>
        </w:numPr>
        <w:spacing w:after="0" w:line="360" w:lineRule="auto"/>
        <w:rPr>
          <w:rFonts w:ascii="Times New Roman" w:eastAsia="Times New Roman" w:hAnsi="Times New Roman" w:cs="Times New Roman"/>
          <w:color w:val="000000"/>
          <w:sz w:val="20"/>
          <w:lang w:eastAsia="en-IN"/>
        </w:rPr>
      </w:pPr>
      <w:r w:rsidRPr="00283E01">
        <w:rPr>
          <w:rFonts w:ascii="Times New Roman" w:eastAsia="Times New Roman" w:hAnsi="Times New Roman" w:cs="Times New Roman"/>
          <w:color w:val="000000"/>
          <w:sz w:val="20"/>
          <w:lang w:eastAsia="en-IN"/>
        </w:rPr>
        <w:t>Early excision followed by split thickness skin grafting of the burn wounds showed decrease in the hospital stay of the patients.</w:t>
      </w:r>
    </w:p>
    <w:p w14:paraId="002EF238" w14:textId="77777777" w:rsidR="00004036" w:rsidRPr="00283E01" w:rsidRDefault="00004036" w:rsidP="00283E01">
      <w:pPr>
        <w:pStyle w:val="ListParagraph"/>
        <w:numPr>
          <w:ilvl w:val="0"/>
          <w:numId w:val="22"/>
        </w:numPr>
        <w:spacing w:after="0" w:line="360" w:lineRule="auto"/>
        <w:rPr>
          <w:rFonts w:ascii="Times New Roman" w:hAnsi="Times New Roman" w:cs="Times New Roman"/>
          <w:sz w:val="20"/>
        </w:rPr>
      </w:pPr>
      <w:r w:rsidRPr="00283E01">
        <w:rPr>
          <w:rFonts w:ascii="Times New Roman" w:hAnsi="Times New Roman" w:cs="Times New Roman"/>
          <w:sz w:val="20"/>
        </w:rPr>
        <w:t>Patients with 15-20% TBSA burn has average duration of hospital stay of 25.37 days. Two patients managed with early excision and STSG had average duration of hospital stay of 22.5 days.</w:t>
      </w:r>
    </w:p>
    <w:p w14:paraId="240EFD7A" w14:textId="77777777" w:rsidR="00004036" w:rsidRPr="00283E01" w:rsidRDefault="00004036" w:rsidP="00283E01">
      <w:pPr>
        <w:pStyle w:val="ListParagraph"/>
        <w:numPr>
          <w:ilvl w:val="0"/>
          <w:numId w:val="22"/>
        </w:numPr>
        <w:spacing w:after="0" w:line="360" w:lineRule="auto"/>
        <w:rPr>
          <w:rFonts w:ascii="Times New Roman" w:hAnsi="Times New Roman" w:cs="Times New Roman"/>
          <w:sz w:val="20"/>
        </w:rPr>
      </w:pPr>
      <w:r w:rsidRPr="00283E01">
        <w:rPr>
          <w:rFonts w:ascii="Times New Roman" w:hAnsi="Times New Roman" w:cs="Times New Roman"/>
          <w:sz w:val="20"/>
        </w:rPr>
        <w:t>Patients with 21-30% TBSA burn has average duration of hospital stay of 35.8 days. One patient managed with early excision and STSG had average duration of hospital stay of 20 days.</w:t>
      </w:r>
    </w:p>
    <w:p w14:paraId="6E1EEE76" w14:textId="77777777" w:rsidR="00004036" w:rsidRPr="00283E01" w:rsidRDefault="00004036" w:rsidP="00283E01">
      <w:pPr>
        <w:pStyle w:val="ListParagraph"/>
        <w:numPr>
          <w:ilvl w:val="0"/>
          <w:numId w:val="22"/>
        </w:numPr>
        <w:spacing w:after="0" w:line="360" w:lineRule="auto"/>
        <w:rPr>
          <w:rFonts w:ascii="Times New Roman" w:hAnsi="Times New Roman" w:cs="Times New Roman"/>
          <w:sz w:val="20"/>
        </w:rPr>
      </w:pPr>
      <w:r w:rsidRPr="00283E01">
        <w:rPr>
          <w:rFonts w:ascii="Times New Roman" w:hAnsi="Times New Roman" w:cs="Times New Roman"/>
          <w:sz w:val="20"/>
        </w:rPr>
        <w:t>Patients with 31-45% TBSA burn has average duration of hospital stay of 47 days. Two patients managed with early excision and STSG had average duration of hospital stay of 31 days.</w:t>
      </w:r>
    </w:p>
    <w:p w14:paraId="69DA20CB" w14:textId="3C696510" w:rsidR="00004036" w:rsidRPr="00283E01" w:rsidRDefault="00004036" w:rsidP="00283E01">
      <w:pPr>
        <w:pStyle w:val="ListParagraph"/>
        <w:numPr>
          <w:ilvl w:val="0"/>
          <w:numId w:val="22"/>
        </w:numPr>
        <w:spacing w:after="0" w:line="360" w:lineRule="auto"/>
        <w:rPr>
          <w:rFonts w:ascii="Times New Roman" w:hAnsi="Times New Roman" w:cs="Times New Roman"/>
          <w:sz w:val="20"/>
        </w:rPr>
      </w:pPr>
      <w:r w:rsidRPr="00283E01">
        <w:rPr>
          <w:rFonts w:ascii="Times New Roman" w:hAnsi="Times New Roman" w:cs="Times New Roman"/>
          <w:sz w:val="20"/>
        </w:rPr>
        <w:t>One patient with 60% TBSA burn managed with early excision and STSG had 40 days of duration of hospital stay while other patient with 60% TBSA burn had 50 days of duration of hospital stay</w:t>
      </w:r>
      <w:r w:rsidR="00CB1B66" w:rsidRPr="00283E01">
        <w:rPr>
          <w:rFonts w:ascii="Times New Roman" w:hAnsi="Times New Roman" w:cs="Times New Roman"/>
          <w:sz w:val="20"/>
        </w:rPr>
        <w:t>.</w:t>
      </w:r>
    </w:p>
    <w:p w14:paraId="3D629DE0" w14:textId="77777777" w:rsidR="00004036" w:rsidRPr="00283E01" w:rsidRDefault="00004036" w:rsidP="00283E01">
      <w:pPr>
        <w:spacing w:after="0" w:line="360" w:lineRule="auto"/>
        <w:rPr>
          <w:rFonts w:ascii="Times New Roman" w:hAnsi="Times New Roman" w:cs="Times New Roman"/>
          <w:sz w:val="20"/>
          <w:lang w:val="en-US"/>
        </w:rPr>
      </w:pPr>
      <w:r w:rsidRPr="00283E01">
        <w:rPr>
          <w:rFonts w:ascii="Times New Roman" w:hAnsi="Times New Roman" w:cs="Times New Roman"/>
          <w:sz w:val="20"/>
        </w:rPr>
        <w:t xml:space="preserve">Fig. 24 : </w:t>
      </w:r>
      <w:r w:rsidRPr="00283E01">
        <w:rPr>
          <w:rFonts w:ascii="Times New Roman" w:hAnsi="Times New Roman" w:cs="Times New Roman"/>
          <w:sz w:val="20"/>
          <w:lang w:val="en-US"/>
        </w:rPr>
        <w:t>Duration of hospital stay vs Percentage of TBSA burns</w:t>
      </w:r>
    </w:p>
    <w:p w14:paraId="0B4F6455" w14:textId="77777777" w:rsidR="00004036" w:rsidRPr="00283E01" w:rsidRDefault="00004036" w:rsidP="00283E01">
      <w:pPr>
        <w:spacing w:after="0" w:line="360" w:lineRule="auto"/>
        <w:rPr>
          <w:rFonts w:ascii="Times New Roman" w:hAnsi="Times New Roman" w:cs="Times New Roman"/>
          <w:sz w:val="20"/>
          <w:lang w:val="en-US"/>
        </w:rPr>
      </w:pPr>
      <w:r w:rsidRPr="00283E01">
        <w:rPr>
          <w:rFonts w:ascii="Times New Roman" w:hAnsi="Times New Roman" w:cs="Times New Roman"/>
          <w:noProof/>
          <w:sz w:val="20"/>
          <w:lang w:eastAsia="en-IN" w:bidi="ar-SA"/>
        </w:rPr>
        <w:drawing>
          <wp:inline distT="0" distB="0" distL="0" distR="0" wp14:anchorId="1207D3C4" wp14:editId="5C5FB2E4">
            <wp:extent cx="3225800" cy="2857500"/>
            <wp:effectExtent l="0" t="0" r="12700" b="0"/>
            <wp:docPr id="50" name="Chart 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B32A8A3-4DBD-5FDB-E927-2A59B929B6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BCB63C" w14:textId="2E148396" w:rsidR="00004036" w:rsidRPr="00283E01" w:rsidRDefault="00004036" w:rsidP="00283E01">
      <w:pPr>
        <w:spacing w:after="0" w:line="360" w:lineRule="auto"/>
        <w:rPr>
          <w:rFonts w:ascii="Times New Roman" w:hAnsi="Times New Roman" w:cs="Times New Roman"/>
          <w:sz w:val="20"/>
        </w:rPr>
      </w:pPr>
      <w:r w:rsidRPr="00283E01">
        <w:rPr>
          <w:rFonts w:ascii="Times New Roman" w:hAnsi="Times New Roman" w:cs="Times New Roman"/>
          <w:sz w:val="20"/>
        </w:rPr>
        <w:t>The mean average duration of hospital stay of the patients being 18.93 days. The maximum average duration of hospital stay (34.75 days) was seen in patients with 31 to 40 % TBSA burn. It decreases after 60% TBSA burn due to higher and early mortality of patients.</w:t>
      </w:r>
    </w:p>
    <w:p w14:paraId="6B060616" w14:textId="77777777" w:rsidR="00283E01" w:rsidRDefault="0085659E" w:rsidP="00283E01">
      <w:pPr>
        <w:spacing w:after="0" w:line="360" w:lineRule="auto"/>
        <w:rPr>
          <w:rFonts w:ascii="Times New Roman" w:hAnsi="Times New Roman" w:cs="Times New Roman"/>
          <w:b/>
          <w:bCs/>
          <w:sz w:val="20"/>
        </w:rPr>
      </w:pPr>
      <w:r w:rsidRPr="00283E01">
        <w:rPr>
          <w:rFonts w:ascii="Times New Roman" w:hAnsi="Times New Roman" w:cs="Times New Roman"/>
          <w:b/>
          <w:bCs/>
          <w:sz w:val="20"/>
        </w:rPr>
        <w:t>DISCUSSION</w:t>
      </w:r>
    </w:p>
    <w:p w14:paraId="4289BA59" w14:textId="38DD33C6" w:rsidR="0085659E" w:rsidRPr="00283E01" w:rsidRDefault="0085659E" w:rsidP="00D6417D">
      <w:pPr>
        <w:spacing w:after="0" w:line="360" w:lineRule="auto"/>
        <w:jc w:val="both"/>
        <w:rPr>
          <w:rFonts w:ascii="Times New Roman" w:hAnsi="Times New Roman" w:cs="Times New Roman"/>
          <w:b/>
          <w:bCs/>
          <w:sz w:val="20"/>
        </w:rPr>
      </w:pPr>
      <w:r w:rsidRPr="00283E01">
        <w:rPr>
          <w:rFonts w:ascii="Times New Roman" w:hAnsi="Times New Roman" w:cs="Times New Roman"/>
          <w:sz w:val="20"/>
        </w:rPr>
        <w:t>In this study, 129 patients were included during period of January 2021 to June 2022 admitted in our tertiary care hospital. Age group considered for the study was 18 to 80 years. Patients from all age groups were observed coming to hospital with accidental and suicidal burns. Majority of the patients were from 21-30 age group. The average age of patients presenting with burn injury in this study was 40.13 years.</w:t>
      </w:r>
      <w:r w:rsidR="00283E01">
        <w:rPr>
          <w:rFonts w:ascii="Times New Roman" w:hAnsi="Times New Roman" w:cs="Times New Roman"/>
          <w:b/>
          <w:bCs/>
          <w:sz w:val="20"/>
        </w:rPr>
        <w:t xml:space="preserve"> </w:t>
      </w:r>
      <w:r w:rsidRPr="00283E01">
        <w:rPr>
          <w:rFonts w:ascii="Times New Roman" w:hAnsi="Times New Roman" w:cs="Times New Roman"/>
          <w:sz w:val="20"/>
        </w:rPr>
        <w:t xml:space="preserve">In this study, the total number of patients with burns presenting to the hospital was 129. A study was conducted by </w:t>
      </w:r>
      <w:r w:rsidRPr="00283E01">
        <w:rPr>
          <w:rFonts w:ascii="Times New Roman" w:eastAsia="Times New Roman" w:hAnsi="Times New Roman" w:cs="Times New Roman"/>
          <w:color w:val="000000"/>
          <w:sz w:val="20"/>
          <w:lang w:eastAsia="en-IN"/>
        </w:rPr>
        <w:t>El Hamzaoui et al</w:t>
      </w:r>
      <w:r w:rsidR="006B3B76" w:rsidRPr="00283E01">
        <w:rPr>
          <w:rFonts w:ascii="Times New Roman" w:eastAsia="Times New Roman" w:hAnsi="Times New Roman" w:cs="Times New Roman"/>
          <w:color w:val="000000"/>
          <w:sz w:val="20"/>
          <w:vertAlign w:val="superscript"/>
          <w:lang w:eastAsia="en-IN"/>
        </w:rPr>
        <w:t>8</w:t>
      </w:r>
      <w:r w:rsidRPr="00283E01">
        <w:rPr>
          <w:rFonts w:ascii="Times New Roman" w:hAnsi="Times New Roman" w:cs="Times New Roman"/>
          <w:sz w:val="20"/>
        </w:rPr>
        <w:t xml:space="preserve"> in Morocco and he observed the total number of patients observed were 126. The total number of patients with burns in different studies done by </w:t>
      </w:r>
      <w:r w:rsidRPr="00283E01">
        <w:rPr>
          <w:rFonts w:ascii="Times New Roman" w:eastAsia="Times New Roman" w:hAnsi="Times New Roman" w:cs="Times New Roman"/>
          <w:color w:val="000000"/>
          <w:sz w:val="20"/>
          <w:lang w:eastAsia="en-IN"/>
        </w:rPr>
        <w:t>Sharma L et al</w:t>
      </w:r>
      <w:r w:rsidR="006B3B76" w:rsidRPr="00283E01">
        <w:rPr>
          <w:rFonts w:ascii="Times New Roman" w:eastAsia="Times New Roman" w:hAnsi="Times New Roman" w:cs="Times New Roman"/>
          <w:color w:val="000000"/>
          <w:sz w:val="20"/>
          <w:vertAlign w:val="superscript"/>
          <w:lang w:eastAsia="en-IN"/>
        </w:rPr>
        <w:t>9</w:t>
      </w:r>
      <w:r w:rsidRPr="00283E01">
        <w:rPr>
          <w:rFonts w:ascii="Times New Roman" w:hAnsi="Times New Roman" w:cs="Times New Roman"/>
          <w:sz w:val="20"/>
        </w:rPr>
        <w:t xml:space="preserve">, </w:t>
      </w:r>
      <w:r w:rsidRPr="00283E01">
        <w:rPr>
          <w:rFonts w:ascii="Times New Roman" w:eastAsia="Times New Roman" w:hAnsi="Times New Roman" w:cs="Times New Roman"/>
          <w:color w:val="000000"/>
          <w:sz w:val="20"/>
          <w:lang w:eastAsia="en-IN"/>
        </w:rPr>
        <w:t>Pujji et al</w:t>
      </w:r>
      <w:r w:rsidR="006B3B76" w:rsidRPr="00283E01">
        <w:rPr>
          <w:rFonts w:ascii="Times New Roman" w:eastAsia="Times New Roman" w:hAnsi="Times New Roman" w:cs="Times New Roman"/>
          <w:color w:val="000000"/>
          <w:sz w:val="20"/>
          <w:vertAlign w:val="superscript"/>
          <w:lang w:eastAsia="en-IN"/>
        </w:rPr>
        <w:t>10</w:t>
      </w:r>
      <w:r w:rsidRPr="00283E01">
        <w:rPr>
          <w:rFonts w:ascii="Times New Roman" w:hAnsi="Times New Roman" w:cs="Times New Roman"/>
          <w:sz w:val="20"/>
        </w:rPr>
        <w:t xml:space="preserve"> was 50 and 76 respectively.</w:t>
      </w:r>
      <w:r w:rsidRPr="00283E01">
        <w:rPr>
          <w:rFonts w:ascii="Times New Roman" w:hAnsi="Times New Roman" w:cs="Times New Roman"/>
          <w:b/>
          <w:bCs/>
          <w:sz w:val="20"/>
        </w:rPr>
        <w:t xml:space="preserve"> </w:t>
      </w:r>
    </w:p>
    <w:p w14:paraId="2EC395D9" w14:textId="48B87FA9" w:rsidR="0085659E" w:rsidRPr="00283E01" w:rsidRDefault="0085659E" w:rsidP="00D6417D">
      <w:pPr>
        <w:spacing w:after="0" w:line="360" w:lineRule="auto"/>
        <w:ind w:firstLine="360"/>
        <w:jc w:val="both"/>
        <w:rPr>
          <w:rFonts w:ascii="Times New Roman" w:eastAsia="Times New Roman" w:hAnsi="Times New Roman" w:cs="Times New Roman"/>
          <w:color w:val="000000"/>
          <w:sz w:val="20"/>
          <w:lang w:eastAsia="en-IN"/>
        </w:rPr>
      </w:pPr>
      <w:r w:rsidRPr="00283E01">
        <w:rPr>
          <w:rFonts w:ascii="Times New Roman" w:hAnsi="Times New Roman" w:cs="Times New Roman"/>
          <w:sz w:val="20"/>
        </w:rPr>
        <w:t xml:space="preserve">Similar study was done by </w:t>
      </w:r>
      <w:r w:rsidRPr="00283E01">
        <w:rPr>
          <w:rFonts w:ascii="Times New Roman" w:eastAsia="Times New Roman" w:hAnsi="Times New Roman" w:cs="Times New Roman"/>
          <w:color w:val="000000"/>
          <w:sz w:val="20"/>
          <w:lang w:eastAsia="en-IN"/>
        </w:rPr>
        <w:t>El Hamzaoui et al.</w:t>
      </w:r>
      <w:r w:rsidRPr="00283E01">
        <w:rPr>
          <w:rFonts w:ascii="Times New Roman" w:eastAsia="Times New Roman" w:hAnsi="Times New Roman" w:cs="Times New Roman"/>
          <w:color w:val="000000"/>
          <w:sz w:val="20"/>
          <w:vertAlign w:val="superscript"/>
          <w:lang w:eastAsia="en-IN"/>
        </w:rPr>
        <w:t xml:space="preserve"> </w:t>
      </w:r>
      <w:r w:rsidR="006B3B76" w:rsidRPr="00283E01">
        <w:rPr>
          <w:rFonts w:ascii="Times New Roman" w:eastAsia="Times New Roman" w:hAnsi="Times New Roman" w:cs="Times New Roman"/>
          <w:color w:val="000000"/>
          <w:sz w:val="20"/>
          <w:vertAlign w:val="superscript"/>
          <w:lang w:eastAsia="en-IN"/>
        </w:rPr>
        <w:t>8</w:t>
      </w:r>
      <w:r w:rsidRPr="00283E01">
        <w:rPr>
          <w:rFonts w:ascii="Times New Roman" w:hAnsi="Times New Roman" w:cs="Times New Roman"/>
          <w:sz w:val="20"/>
        </w:rPr>
        <w:t xml:space="preserve"> in 126 patients in morocco and found there were 50.8% males and 49.20% female patients. A study was done by </w:t>
      </w:r>
      <w:r w:rsidRPr="00283E01">
        <w:rPr>
          <w:rFonts w:ascii="Times New Roman" w:eastAsia="Times New Roman" w:hAnsi="Times New Roman" w:cs="Times New Roman"/>
          <w:color w:val="000000"/>
          <w:sz w:val="20"/>
          <w:lang w:eastAsia="en-IN"/>
        </w:rPr>
        <w:t>Sharma L et al.</w:t>
      </w:r>
      <w:r w:rsidRPr="00283E01">
        <w:rPr>
          <w:rFonts w:ascii="Times New Roman" w:eastAsia="Times New Roman" w:hAnsi="Times New Roman" w:cs="Times New Roman"/>
          <w:color w:val="000000"/>
          <w:sz w:val="20"/>
          <w:vertAlign w:val="superscript"/>
          <w:lang w:eastAsia="en-IN"/>
        </w:rPr>
        <w:t xml:space="preserve"> </w:t>
      </w:r>
      <w:r w:rsidR="006B3B76" w:rsidRPr="00283E01">
        <w:rPr>
          <w:rFonts w:ascii="Times New Roman" w:eastAsia="Times New Roman" w:hAnsi="Times New Roman" w:cs="Times New Roman"/>
          <w:color w:val="000000"/>
          <w:sz w:val="20"/>
          <w:vertAlign w:val="superscript"/>
          <w:lang w:eastAsia="en-IN"/>
        </w:rPr>
        <w:t>9</w:t>
      </w:r>
      <w:r w:rsidRPr="00283E01">
        <w:rPr>
          <w:rFonts w:ascii="Times New Roman" w:hAnsi="Times New Roman" w:cs="Times New Roman"/>
          <w:sz w:val="20"/>
        </w:rPr>
        <w:t xml:space="preserve"> in India in 50 patients and observed 44% males and 5</w:t>
      </w:r>
      <w:r w:rsidR="00283E01">
        <w:rPr>
          <w:rFonts w:ascii="Times New Roman" w:hAnsi="Times New Roman" w:cs="Times New Roman"/>
          <w:sz w:val="20"/>
        </w:rPr>
        <w:t xml:space="preserve">6% females </w:t>
      </w:r>
      <w:r w:rsidRPr="00283E01">
        <w:rPr>
          <w:rFonts w:ascii="Times New Roman" w:hAnsi="Times New Roman" w:cs="Times New Roman"/>
          <w:sz w:val="20"/>
        </w:rPr>
        <w:t xml:space="preserve">presenting with burns and had secondary bacterial wound infection. </w:t>
      </w:r>
      <w:r w:rsidRPr="00283E01">
        <w:rPr>
          <w:rFonts w:ascii="Times New Roman" w:eastAsia="Times New Roman" w:hAnsi="Times New Roman" w:cs="Times New Roman"/>
          <w:color w:val="000000"/>
          <w:sz w:val="20"/>
          <w:lang w:eastAsia="en-IN"/>
        </w:rPr>
        <w:t>Pujji et al.</w:t>
      </w:r>
      <w:r w:rsidRPr="00283E01">
        <w:rPr>
          <w:rFonts w:ascii="Times New Roman" w:eastAsia="Times New Roman" w:hAnsi="Times New Roman" w:cs="Times New Roman"/>
          <w:color w:val="000000"/>
          <w:sz w:val="20"/>
          <w:vertAlign w:val="superscript"/>
          <w:lang w:eastAsia="en-IN"/>
        </w:rPr>
        <w:t xml:space="preserve"> </w:t>
      </w:r>
      <w:r w:rsidR="006B3B76" w:rsidRPr="00283E01">
        <w:rPr>
          <w:rFonts w:ascii="Times New Roman" w:eastAsia="Times New Roman" w:hAnsi="Times New Roman" w:cs="Times New Roman"/>
          <w:color w:val="000000"/>
          <w:sz w:val="20"/>
          <w:vertAlign w:val="superscript"/>
          <w:lang w:eastAsia="en-IN"/>
        </w:rPr>
        <w:t>10</w:t>
      </w:r>
      <w:r w:rsidRPr="00283E01">
        <w:rPr>
          <w:rFonts w:ascii="Times New Roman" w:eastAsia="Times New Roman" w:hAnsi="Times New Roman" w:cs="Times New Roman"/>
          <w:color w:val="000000"/>
          <w:sz w:val="20"/>
          <w:lang w:eastAsia="en-IN"/>
        </w:rPr>
        <w:t xml:space="preserve"> did another study in Nepal in 76 patients found 30% males and 70% females in his study.</w:t>
      </w:r>
      <w:r w:rsidR="00283E01">
        <w:rPr>
          <w:rFonts w:ascii="Times New Roman" w:eastAsia="Times New Roman" w:hAnsi="Times New Roman" w:cs="Times New Roman"/>
          <w:color w:val="000000"/>
          <w:sz w:val="20"/>
          <w:lang w:eastAsia="en-IN"/>
        </w:rPr>
        <w:t xml:space="preserve"> </w:t>
      </w:r>
      <w:r w:rsidRPr="00283E01">
        <w:rPr>
          <w:rFonts w:ascii="Times New Roman" w:eastAsia="Times New Roman" w:hAnsi="Times New Roman" w:cs="Times New Roman"/>
          <w:color w:val="000000"/>
          <w:sz w:val="20"/>
          <w:lang w:eastAsia="en-IN"/>
        </w:rPr>
        <w:t>Present study of 129 patients showed 52.71% males and 47.28% females. Which is comparable with 2 of the above studies.</w:t>
      </w:r>
    </w:p>
    <w:p w14:paraId="285EB398" w14:textId="68F78ED1" w:rsidR="0085659E" w:rsidRPr="00283E01" w:rsidRDefault="0085659E" w:rsidP="00D6417D">
      <w:pPr>
        <w:spacing w:after="0" w:line="360" w:lineRule="auto"/>
        <w:ind w:firstLine="360"/>
        <w:jc w:val="both"/>
        <w:rPr>
          <w:rFonts w:ascii="Times New Roman" w:hAnsi="Times New Roman" w:cs="Times New Roman"/>
          <w:sz w:val="20"/>
        </w:rPr>
      </w:pPr>
      <w:r w:rsidRPr="00283E01">
        <w:rPr>
          <w:rFonts w:ascii="Times New Roman" w:hAnsi="Times New Roman" w:cs="Times New Roman"/>
          <w:sz w:val="20"/>
        </w:rPr>
        <w:t xml:space="preserve">Study done by </w:t>
      </w:r>
      <w:r w:rsidRPr="00283E01">
        <w:rPr>
          <w:rFonts w:ascii="Times New Roman" w:eastAsia="Times New Roman" w:hAnsi="Times New Roman" w:cs="Times New Roman"/>
          <w:color w:val="000000"/>
          <w:sz w:val="20"/>
          <w:lang w:eastAsia="en-IN"/>
        </w:rPr>
        <w:t>El Hamzaoui et al.</w:t>
      </w:r>
      <w:r w:rsidRPr="00283E01">
        <w:rPr>
          <w:rFonts w:ascii="Times New Roman" w:eastAsia="Times New Roman" w:hAnsi="Times New Roman" w:cs="Times New Roman"/>
          <w:color w:val="000000"/>
          <w:sz w:val="20"/>
          <w:vertAlign w:val="superscript"/>
          <w:lang w:eastAsia="en-IN"/>
        </w:rPr>
        <w:t xml:space="preserve"> </w:t>
      </w:r>
      <w:r w:rsidR="006B3B76" w:rsidRPr="00283E01">
        <w:rPr>
          <w:rFonts w:ascii="Times New Roman" w:eastAsia="Times New Roman" w:hAnsi="Times New Roman" w:cs="Times New Roman"/>
          <w:color w:val="000000"/>
          <w:sz w:val="20"/>
          <w:vertAlign w:val="superscript"/>
          <w:lang w:eastAsia="en-IN"/>
        </w:rPr>
        <w:t>8</w:t>
      </w:r>
      <w:r w:rsidRPr="00283E01">
        <w:rPr>
          <w:rFonts w:ascii="Times New Roman" w:hAnsi="Times New Roman" w:cs="Times New Roman"/>
          <w:sz w:val="20"/>
        </w:rPr>
        <w:t xml:space="preserve"> in morocco found there were 52.38% of flame burns, 38.08% of scalds and 7.93% of electrical burns. </w:t>
      </w:r>
      <w:r w:rsidRPr="00283E01">
        <w:rPr>
          <w:rFonts w:ascii="Times New Roman" w:eastAsia="Times New Roman" w:hAnsi="Times New Roman" w:cs="Times New Roman"/>
          <w:color w:val="000000"/>
          <w:sz w:val="20"/>
          <w:lang w:eastAsia="en-IN"/>
        </w:rPr>
        <w:t>Sharma L et al.</w:t>
      </w:r>
      <w:r w:rsidRPr="00283E01">
        <w:rPr>
          <w:rFonts w:ascii="Times New Roman" w:eastAsia="Times New Roman" w:hAnsi="Times New Roman" w:cs="Times New Roman"/>
          <w:color w:val="000000"/>
          <w:sz w:val="20"/>
          <w:vertAlign w:val="superscript"/>
          <w:lang w:eastAsia="en-IN"/>
        </w:rPr>
        <w:t xml:space="preserve"> </w:t>
      </w:r>
      <w:r w:rsidR="006B3B76" w:rsidRPr="00283E01">
        <w:rPr>
          <w:rFonts w:ascii="Times New Roman" w:eastAsia="Times New Roman" w:hAnsi="Times New Roman" w:cs="Times New Roman"/>
          <w:color w:val="000000"/>
          <w:sz w:val="20"/>
          <w:vertAlign w:val="superscript"/>
          <w:lang w:eastAsia="en-IN"/>
        </w:rPr>
        <w:t>9</w:t>
      </w:r>
      <w:r w:rsidRPr="00283E01">
        <w:rPr>
          <w:rFonts w:ascii="Times New Roman" w:hAnsi="Times New Roman" w:cs="Times New Roman"/>
          <w:sz w:val="20"/>
        </w:rPr>
        <w:t xml:space="preserve"> study in India observed 76% of flame burns, 14% of scalds, 6% of electrical burns and 2% of chemical burns. </w:t>
      </w:r>
      <w:r w:rsidRPr="00283E01">
        <w:rPr>
          <w:rFonts w:ascii="Times New Roman" w:eastAsia="Times New Roman" w:hAnsi="Times New Roman" w:cs="Times New Roman"/>
          <w:color w:val="000000"/>
          <w:sz w:val="20"/>
          <w:lang w:eastAsia="en-IN"/>
        </w:rPr>
        <w:t>Pujji et al.</w:t>
      </w:r>
      <w:r w:rsidRPr="00283E01">
        <w:rPr>
          <w:rFonts w:ascii="Times New Roman" w:eastAsia="Times New Roman" w:hAnsi="Times New Roman" w:cs="Times New Roman"/>
          <w:color w:val="000000"/>
          <w:sz w:val="20"/>
          <w:vertAlign w:val="superscript"/>
          <w:lang w:eastAsia="en-IN"/>
        </w:rPr>
        <w:t xml:space="preserve"> </w:t>
      </w:r>
      <w:r w:rsidR="006B3B76" w:rsidRPr="00283E01">
        <w:rPr>
          <w:rFonts w:ascii="Times New Roman" w:eastAsia="Times New Roman" w:hAnsi="Times New Roman" w:cs="Times New Roman"/>
          <w:color w:val="000000"/>
          <w:sz w:val="20"/>
          <w:vertAlign w:val="superscript"/>
          <w:lang w:eastAsia="en-IN"/>
        </w:rPr>
        <w:t>10</w:t>
      </w:r>
      <w:r w:rsidRPr="00283E01">
        <w:rPr>
          <w:rFonts w:ascii="Times New Roman" w:eastAsia="Times New Roman" w:hAnsi="Times New Roman" w:cs="Times New Roman"/>
          <w:color w:val="000000"/>
          <w:sz w:val="20"/>
          <w:lang w:eastAsia="en-IN"/>
        </w:rPr>
        <w:t xml:space="preserve"> did another study in Nepal found </w:t>
      </w:r>
      <w:r w:rsidRPr="00283E01">
        <w:rPr>
          <w:rFonts w:ascii="Times New Roman" w:hAnsi="Times New Roman" w:cs="Times New Roman"/>
          <w:sz w:val="20"/>
        </w:rPr>
        <w:t>73% of flame burns, 12% of scalds and 12% o</w:t>
      </w:r>
      <w:r w:rsidR="00283E01">
        <w:rPr>
          <w:rFonts w:ascii="Times New Roman" w:hAnsi="Times New Roman" w:cs="Times New Roman"/>
          <w:sz w:val="20"/>
        </w:rPr>
        <w:t xml:space="preserve">f electrical burns in his study. </w:t>
      </w:r>
      <w:r w:rsidRPr="00283E01">
        <w:rPr>
          <w:rFonts w:ascii="Times New Roman" w:hAnsi="Times New Roman" w:cs="Times New Roman"/>
          <w:sz w:val="20"/>
        </w:rPr>
        <w:t>Present study showed 62.01% of flame burns, 29.45% of scalds, 5.4% of electric, 2.32% of chemical burns and 0.77% of lightening burn. Study is comparable with all other studies showing maximum incidence of flame burns followed by scald burns. A single case of lightening burn was also observed in present study which is a rare incidence.</w:t>
      </w:r>
    </w:p>
    <w:p w14:paraId="0CF7E87A" w14:textId="3F101C45" w:rsidR="0085659E" w:rsidRPr="00283E01" w:rsidRDefault="0085659E" w:rsidP="00283E01">
      <w:pPr>
        <w:spacing w:after="0" w:line="360" w:lineRule="auto"/>
        <w:ind w:firstLine="360"/>
        <w:jc w:val="both"/>
        <w:rPr>
          <w:rFonts w:ascii="Times New Roman" w:hAnsi="Times New Roman" w:cs="Times New Roman"/>
          <w:sz w:val="20"/>
        </w:rPr>
      </w:pPr>
      <w:r w:rsidRPr="00283E01">
        <w:rPr>
          <w:rFonts w:ascii="Times New Roman" w:eastAsia="Times New Roman" w:hAnsi="Times New Roman" w:cs="Times New Roman"/>
          <w:color w:val="000000"/>
          <w:sz w:val="20"/>
          <w:lang w:eastAsia="en-IN"/>
        </w:rPr>
        <w:t>El Hamzaoui et al.</w:t>
      </w:r>
      <w:r w:rsidRPr="00283E01">
        <w:rPr>
          <w:rFonts w:ascii="Times New Roman" w:eastAsia="Times New Roman" w:hAnsi="Times New Roman" w:cs="Times New Roman"/>
          <w:color w:val="000000"/>
          <w:sz w:val="20"/>
          <w:vertAlign w:val="superscript"/>
          <w:lang w:eastAsia="en-IN"/>
        </w:rPr>
        <w:t xml:space="preserve"> </w:t>
      </w:r>
      <w:r w:rsidR="006B3B76" w:rsidRPr="00283E01">
        <w:rPr>
          <w:rFonts w:ascii="Times New Roman" w:eastAsia="Times New Roman" w:hAnsi="Times New Roman" w:cs="Times New Roman"/>
          <w:color w:val="000000"/>
          <w:sz w:val="20"/>
          <w:vertAlign w:val="superscript"/>
          <w:lang w:eastAsia="en-IN"/>
        </w:rPr>
        <w:t>8</w:t>
      </w:r>
      <w:r w:rsidRPr="00283E01">
        <w:rPr>
          <w:rFonts w:ascii="Times New Roman" w:eastAsia="Times New Roman" w:hAnsi="Times New Roman" w:cs="Times New Roman"/>
          <w:color w:val="000000"/>
          <w:sz w:val="20"/>
          <w:lang w:eastAsia="en-IN"/>
        </w:rPr>
        <w:t xml:space="preserve"> study showed maximum patients with TBSA involvement in the group of 0-20%. Study by Sharma L et al.</w:t>
      </w:r>
      <w:r w:rsidRPr="00283E01">
        <w:rPr>
          <w:rFonts w:ascii="Times New Roman" w:eastAsia="Times New Roman" w:hAnsi="Times New Roman" w:cs="Times New Roman"/>
          <w:color w:val="000000"/>
          <w:sz w:val="20"/>
          <w:vertAlign w:val="superscript"/>
          <w:lang w:eastAsia="en-IN"/>
        </w:rPr>
        <w:t xml:space="preserve"> </w:t>
      </w:r>
      <w:r w:rsidR="006B3B76" w:rsidRPr="00283E01">
        <w:rPr>
          <w:rFonts w:ascii="Times New Roman" w:eastAsia="Times New Roman" w:hAnsi="Times New Roman" w:cs="Times New Roman"/>
          <w:color w:val="000000"/>
          <w:sz w:val="20"/>
          <w:vertAlign w:val="superscript"/>
          <w:lang w:eastAsia="en-IN"/>
        </w:rPr>
        <w:t>9</w:t>
      </w:r>
      <w:r w:rsidRPr="00283E01">
        <w:rPr>
          <w:rFonts w:ascii="Times New Roman" w:eastAsia="Times New Roman" w:hAnsi="Times New Roman" w:cs="Times New Roman"/>
          <w:color w:val="000000"/>
          <w:sz w:val="20"/>
          <w:lang w:eastAsia="en-IN"/>
        </w:rPr>
        <w:t xml:space="preserve"> showed maximum number of patients with burn involvement in 40-60% TBSA group. Present study shows comparable maximum incidence of 39.16% patients having 0-20% TBSA burned.</w:t>
      </w:r>
      <w:r w:rsidRPr="00283E01">
        <w:rPr>
          <w:rFonts w:ascii="Times New Roman" w:hAnsi="Times New Roman" w:cs="Times New Roman"/>
          <w:sz w:val="20"/>
        </w:rPr>
        <w:t xml:space="preserve"> Study done by </w:t>
      </w:r>
      <w:r w:rsidRPr="00283E01">
        <w:rPr>
          <w:rFonts w:ascii="Times New Roman" w:eastAsia="Times New Roman" w:hAnsi="Times New Roman" w:cs="Times New Roman"/>
          <w:color w:val="000000"/>
          <w:sz w:val="20"/>
          <w:lang w:eastAsia="en-IN"/>
        </w:rPr>
        <w:t>El Hamzaoui et al.</w:t>
      </w:r>
      <w:r w:rsidRPr="00283E01">
        <w:rPr>
          <w:rFonts w:ascii="Times New Roman" w:eastAsia="Times New Roman" w:hAnsi="Times New Roman" w:cs="Times New Roman"/>
          <w:color w:val="000000"/>
          <w:sz w:val="20"/>
          <w:vertAlign w:val="superscript"/>
          <w:lang w:eastAsia="en-IN"/>
        </w:rPr>
        <w:t xml:space="preserve"> </w:t>
      </w:r>
      <w:r w:rsidR="006B3B76" w:rsidRPr="00283E01">
        <w:rPr>
          <w:rFonts w:ascii="Times New Roman" w:eastAsia="Times New Roman" w:hAnsi="Times New Roman" w:cs="Times New Roman"/>
          <w:color w:val="000000"/>
          <w:sz w:val="20"/>
          <w:vertAlign w:val="superscript"/>
          <w:lang w:eastAsia="en-IN"/>
        </w:rPr>
        <w:t>8</w:t>
      </w:r>
      <w:r w:rsidRPr="00283E01">
        <w:rPr>
          <w:rFonts w:ascii="Times New Roman" w:hAnsi="Times New Roman" w:cs="Times New Roman"/>
          <w:sz w:val="20"/>
        </w:rPr>
        <w:t xml:space="preserve"> in morocco found there were 68.25% patients had positive reports on bacterial culture of burn wound swab. </w:t>
      </w:r>
      <w:r w:rsidRPr="00283E01">
        <w:rPr>
          <w:rFonts w:ascii="Times New Roman" w:eastAsia="Times New Roman" w:hAnsi="Times New Roman" w:cs="Times New Roman"/>
          <w:color w:val="000000"/>
          <w:sz w:val="20"/>
          <w:lang w:eastAsia="en-IN"/>
        </w:rPr>
        <w:t>Sharma L et al.</w:t>
      </w:r>
      <w:r w:rsidRPr="00283E01">
        <w:rPr>
          <w:rFonts w:ascii="Times New Roman" w:eastAsia="Times New Roman" w:hAnsi="Times New Roman" w:cs="Times New Roman"/>
          <w:color w:val="000000"/>
          <w:sz w:val="20"/>
          <w:vertAlign w:val="superscript"/>
          <w:lang w:eastAsia="en-IN"/>
        </w:rPr>
        <w:t xml:space="preserve"> </w:t>
      </w:r>
      <w:r w:rsidR="006B3B76" w:rsidRPr="00283E01">
        <w:rPr>
          <w:rFonts w:ascii="Times New Roman" w:eastAsia="Times New Roman" w:hAnsi="Times New Roman" w:cs="Times New Roman"/>
          <w:color w:val="000000"/>
          <w:sz w:val="20"/>
          <w:vertAlign w:val="superscript"/>
          <w:lang w:eastAsia="en-IN"/>
        </w:rPr>
        <w:t>9</w:t>
      </w:r>
      <w:r w:rsidRPr="00283E01">
        <w:rPr>
          <w:rFonts w:ascii="Times New Roman" w:hAnsi="Times New Roman" w:cs="Times New Roman"/>
          <w:sz w:val="20"/>
        </w:rPr>
        <w:t xml:space="preserve"> study in India observed 95% positive rate for secondary bacterial wound infection. Present study differs from both these studies with secondary bacterial wound infection rate being 54.44%. </w:t>
      </w:r>
      <w:r w:rsidRPr="00283E01">
        <w:rPr>
          <w:rFonts w:ascii="Times New Roman" w:eastAsia="Times New Roman" w:hAnsi="Times New Roman" w:cs="Times New Roman"/>
          <w:color w:val="000000"/>
          <w:sz w:val="20"/>
          <w:lang w:eastAsia="en-IN"/>
        </w:rPr>
        <w:t>Study by El Hamzaoui et al.</w:t>
      </w:r>
      <w:r w:rsidRPr="00283E01">
        <w:rPr>
          <w:rFonts w:ascii="Times New Roman" w:eastAsia="Times New Roman" w:hAnsi="Times New Roman" w:cs="Times New Roman"/>
          <w:color w:val="000000"/>
          <w:sz w:val="20"/>
          <w:vertAlign w:val="superscript"/>
          <w:lang w:eastAsia="en-IN"/>
        </w:rPr>
        <w:t xml:space="preserve"> </w:t>
      </w:r>
      <w:r w:rsidR="006B3B76" w:rsidRPr="00283E01">
        <w:rPr>
          <w:rFonts w:ascii="Times New Roman" w:eastAsia="Times New Roman" w:hAnsi="Times New Roman" w:cs="Times New Roman"/>
          <w:color w:val="000000"/>
          <w:sz w:val="20"/>
          <w:vertAlign w:val="superscript"/>
          <w:lang w:eastAsia="en-IN"/>
        </w:rPr>
        <w:t>8</w:t>
      </w:r>
      <w:r w:rsidRPr="00283E01">
        <w:rPr>
          <w:rFonts w:ascii="Times New Roman" w:eastAsia="Times New Roman" w:hAnsi="Times New Roman" w:cs="Times New Roman"/>
          <w:color w:val="000000"/>
          <w:sz w:val="20"/>
          <w:lang w:eastAsia="en-IN"/>
        </w:rPr>
        <w:t xml:space="preserve"> found maximum patients with mixed burn injuries. </w:t>
      </w:r>
    </w:p>
    <w:p w14:paraId="6408E8A2" w14:textId="2B758F3A" w:rsidR="0085659E" w:rsidRPr="00283E01" w:rsidRDefault="0085659E" w:rsidP="00283E01">
      <w:pPr>
        <w:spacing w:after="0" w:line="360" w:lineRule="auto"/>
        <w:jc w:val="both"/>
        <w:rPr>
          <w:rFonts w:ascii="Times New Roman" w:hAnsi="Times New Roman" w:cs="Times New Roman"/>
          <w:sz w:val="20"/>
        </w:rPr>
      </w:pPr>
      <w:r w:rsidRPr="00283E01">
        <w:rPr>
          <w:rFonts w:ascii="Times New Roman" w:eastAsia="Times New Roman" w:hAnsi="Times New Roman" w:cs="Times New Roman"/>
          <w:color w:val="000000"/>
          <w:sz w:val="20"/>
          <w:lang w:eastAsia="en-IN"/>
        </w:rPr>
        <w:t>Present study showed maximum incidence with second degree burns and followed by mixed burns.</w:t>
      </w:r>
      <w:r w:rsidR="00283E01">
        <w:rPr>
          <w:rFonts w:ascii="Times New Roman" w:hAnsi="Times New Roman" w:cs="Times New Roman"/>
          <w:sz w:val="20"/>
        </w:rPr>
        <w:t xml:space="preserve"> </w:t>
      </w:r>
      <w:r w:rsidRPr="00283E01">
        <w:rPr>
          <w:rFonts w:ascii="Times New Roman" w:eastAsia="Times New Roman" w:hAnsi="Times New Roman" w:cs="Times New Roman"/>
          <w:color w:val="000000"/>
          <w:sz w:val="20"/>
          <w:lang w:eastAsia="en-IN"/>
        </w:rPr>
        <w:t>Mortality rate in admitted burns patients was 9.52% in El Hamzaoui et al</w:t>
      </w:r>
      <w:r w:rsidRPr="00283E01">
        <w:rPr>
          <w:rFonts w:ascii="Times New Roman" w:eastAsia="Times New Roman" w:hAnsi="Times New Roman" w:cs="Times New Roman"/>
          <w:color w:val="000000"/>
          <w:sz w:val="20"/>
          <w:vertAlign w:val="superscript"/>
          <w:lang w:eastAsia="en-IN"/>
        </w:rPr>
        <w:t xml:space="preserve"> </w:t>
      </w:r>
      <w:r w:rsidR="006B3B76" w:rsidRPr="00283E01">
        <w:rPr>
          <w:rFonts w:ascii="Times New Roman" w:eastAsia="Times New Roman" w:hAnsi="Times New Roman" w:cs="Times New Roman"/>
          <w:color w:val="000000"/>
          <w:sz w:val="20"/>
          <w:vertAlign w:val="superscript"/>
          <w:lang w:eastAsia="en-IN"/>
        </w:rPr>
        <w:t>8</w:t>
      </w:r>
      <w:r w:rsidRPr="00283E01">
        <w:rPr>
          <w:rFonts w:ascii="Times New Roman" w:eastAsia="Times New Roman" w:hAnsi="Times New Roman" w:cs="Times New Roman"/>
          <w:color w:val="000000"/>
          <w:sz w:val="20"/>
          <w:lang w:eastAsia="en-IN"/>
        </w:rPr>
        <w:t xml:space="preserve"> study. A higher mortality rate  of 23% was observed in the study done by Pujji et al.</w:t>
      </w:r>
      <w:r w:rsidRPr="00283E01">
        <w:rPr>
          <w:rFonts w:ascii="Times New Roman" w:eastAsia="Times New Roman" w:hAnsi="Times New Roman" w:cs="Times New Roman"/>
          <w:color w:val="000000"/>
          <w:sz w:val="20"/>
          <w:vertAlign w:val="superscript"/>
          <w:lang w:eastAsia="en-IN"/>
        </w:rPr>
        <w:t xml:space="preserve"> </w:t>
      </w:r>
      <w:r w:rsidR="006B3B76" w:rsidRPr="00283E01">
        <w:rPr>
          <w:rFonts w:ascii="Times New Roman" w:eastAsia="Times New Roman" w:hAnsi="Times New Roman" w:cs="Times New Roman"/>
          <w:color w:val="000000"/>
          <w:sz w:val="20"/>
          <w:vertAlign w:val="superscript"/>
          <w:lang w:eastAsia="en-IN"/>
        </w:rPr>
        <w:t>10</w:t>
      </w:r>
      <w:r w:rsidRPr="00283E01">
        <w:rPr>
          <w:rFonts w:ascii="Times New Roman" w:eastAsia="Times New Roman" w:hAnsi="Times New Roman" w:cs="Times New Roman"/>
          <w:color w:val="000000"/>
          <w:sz w:val="20"/>
          <w:vertAlign w:val="superscript"/>
          <w:lang w:eastAsia="en-IN"/>
        </w:rPr>
        <w:t xml:space="preserve"> </w:t>
      </w:r>
      <w:r w:rsidRPr="00283E01">
        <w:rPr>
          <w:rFonts w:ascii="Times New Roman" w:hAnsi="Times New Roman" w:cs="Times New Roman"/>
          <w:sz w:val="20"/>
        </w:rPr>
        <w:t>Present study showed a mortality rate of 34.1% in the admitted burns patients, majority of which were due to multiple organ dysfunction syndrome and sepsis.</w:t>
      </w:r>
    </w:p>
    <w:p w14:paraId="45C0B611" w14:textId="77777777" w:rsidR="00004036" w:rsidRPr="00283E01" w:rsidRDefault="00004036" w:rsidP="00283E01">
      <w:pPr>
        <w:spacing w:after="0" w:line="360" w:lineRule="auto"/>
        <w:rPr>
          <w:rFonts w:ascii="Times New Roman" w:hAnsi="Times New Roman" w:cs="Times New Roman"/>
          <w:b/>
          <w:sz w:val="20"/>
        </w:rPr>
      </w:pPr>
      <w:r w:rsidRPr="00283E01">
        <w:rPr>
          <w:rFonts w:ascii="Times New Roman" w:hAnsi="Times New Roman" w:cs="Times New Roman"/>
          <w:b/>
          <w:bCs/>
          <w:sz w:val="20"/>
        </w:rPr>
        <w:t>CONCLUSION</w:t>
      </w:r>
    </w:p>
    <w:p w14:paraId="3444F7BC" w14:textId="77777777" w:rsidR="00004036" w:rsidRPr="00283E01" w:rsidRDefault="00004036" w:rsidP="00283E01">
      <w:pPr>
        <w:spacing w:after="0" w:line="360" w:lineRule="auto"/>
        <w:rPr>
          <w:rFonts w:ascii="Times New Roman" w:hAnsi="Times New Roman" w:cs="Times New Roman"/>
          <w:sz w:val="20"/>
        </w:rPr>
      </w:pPr>
      <w:r w:rsidRPr="00283E01">
        <w:rPr>
          <w:rFonts w:ascii="Times New Roman" w:hAnsi="Times New Roman" w:cs="Times New Roman"/>
          <w:sz w:val="20"/>
        </w:rPr>
        <w:t>• Maximum number of patients were observed with mixed type of burn injuries with all degrees of burn injuries and those patients showed maximum percentage (62.16%) of secondary bacterial wound infections.</w:t>
      </w:r>
    </w:p>
    <w:p w14:paraId="1833A66E" w14:textId="77777777" w:rsidR="00004036" w:rsidRPr="00283E01" w:rsidRDefault="00004036" w:rsidP="00283E01">
      <w:pPr>
        <w:spacing w:after="0" w:line="360" w:lineRule="auto"/>
        <w:rPr>
          <w:rFonts w:ascii="Times New Roman" w:hAnsi="Times New Roman" w:cs="Times New Roman"/>
          <w:sz w:val="20"/>
        </w:rPr>
      </w:pPr>
      <w:r w:rsidRPr="00283E01">
        <w:rPr>
          <w:rFonts w:ascii="Times New Roman" w:hAnsi="Times New Roman" w:cs="Times New Roman"/>
          <w:sz w:val="20"/>
        </w:rPr>
        <w:t>• Mortality in this study was 34.10%, out of which highest number of deaths was in patients with age group 71 to 80 years (57.14%), followed by 41 to 50 years age (50%), lowest mortality rate (14.81%) was observed with age group 31 to 40 years.</w:t>
      </w:r>
    </w:p>
    <w:p w14:paraId="7B297CBB" w14:textId="182A01DD" w:rsidR="005E2F8A" w:rsidRPr="00283E01" w:rsidRDefault="00004036" w:rsidP="00283E01">
      <w:pPr>
        <w:spacing w:after="0" w:line="360" w:lineRule="auto"/>
        <w:rPr>
          <w:rFonts w:ascii="Times New Roman" w:hAnsi="Times New Roman" w:cs="Times New Roman"/>
          <w:sz w:val="20"/>
        </w:rPr>
        <w:sectPr w:rsidR="005E2F8A" w:rsidRPr="00283E01" w:rsidSect="000C1CCD">
          <w:type w:val="continuous"/>
          <w:pgSz w:w="11906" w:h="16838"/>
          <w:pgMar w:top="720" w:right="720" w:bottom="720" w:left="720" w:header="708" w:footer="708" w:gutter="0"/>
          <w:cols w:space="708"/>
          <w:docGrid w:linePitch="360"/>
        </w:sectPr>
      </w:pPr>
      <w:r w:rsidRPr="00283E01">
        <w:rPr>
          <w:rFonts w:ascii="Times New Roman" w:hAnsi="Times New Roman" w:cs="Times New Roman"/>
          <w:sz w:val="20"/>
        </w:rPr>
        <w:t>• The study shows that as the percentage of total body surface area burn increases the mortality increases with 100% m</w:t>
      </w:r>
      <w:r w:rsidR="00D6417D">
        <w:rPr>
          <w:rFonts w:ascii="Times New Roman" w:hAnsi="Times New Roman" w:cs="Times New Roman"/>
          <w:sz w:val="20"/>
        </w:rPr>
        <w:t>ortality above 60% of TBSA burn.</w:t>
      </w:r>
    </w:p>
    <w:p w14:paraId="15CFBFA6" w14:textId="77777777" w:rsidR="00186777" w:rsidRPr="00283E01" w:rsidRDefault="00186777" w:rsidP="00283E01">
      <w:pPr>
        <w:spacing w:after="0" w:line="360" w:lineRule="auto"/>
        <w:rPr>
          <w:rFonts w:ascii="Times New Roman" w:hAnsi="Times New Roman" w:cs="Times New Roman"/>
          <w:b/>
          <w:bCs/>
          <w:sz w:val="20"/>
        </w:rPr>
        <w:sectPr w:rsidR="00186777" w:rsidRPr="00283E01" w:rsidSect="000C1CCD">
          <w:type w:val="continuous"/>
          <w:pgSz w:w="11906" w:h="16838"/>
          <w:pgMar w:top="1440" w:right="1440" w:bottom="1440" w:left="1440" w:header="708" w:footer="708" w:gutter="0"/>
          <w:cols w:space="708"/>
          <w:docGrid w:linePitch="360"/>
        </w:sectPr>
      </w:pPr>
    </w:p>
    <w:p w14:paraId="13494A18" w14:textId="201D85AF" w:rsidR="00DF6275" w:rsidRPr="00283E01" w:rsidRDefault="00DF6275" w:rsidP="00283E01">
      <w:pPr>
        <w:spacing w:after="0" w:line="360" w:lineRule="auto"/>
        <w:rPr>
          <w:rFonts w:ascii="Times New Roman" w:hAnsi="Times New Roman" w:cs="Times New Roman"/>
          <w:b/>
          <w:bCs/>
          <w:sz w:val="20"/>
        </w:rPr>
      </w:pPr>
      <w:r w:rsidRPr="00283E01">
        <w:rPr>
          <w:rFonts w:ascii="Times New Roman" w:hAnsi="Times New Roman" w:cs="Times New Roman"/>
          <w:b/>
          <w:bCs/>
          <w:sz w:val="20"/>
        </w:rPr>
        <w:t>REFERENCES</w:t>
      </w:r>
    </w:p>
    <w:p w14:paraId="7F79CAF7" w14:textId="70E34E4A" w:rsidR="00DF6275" w:rsidRPr="00283E01" w:rsidRDefault="00DF6275" w:rsidP="00283E01">
      <w:pPr>
        <w:pStyle w:val="ListParagraph"/>
        <w:numPr>
          <w:ilvl w:val="0"/>
          <w:numId w:val="24"/>
        </w:numPr>
        <w:spacing w:after="0" w:line="360" w:lineRule="auto"/>
        <w:ind w:left="77"/>
        <w:rPr>
          <w:rFonts w:ascii="Times New Roman" w:hAnsi="Times New Roman" w:cs="Times New Roman"/>
          <w:sz w:val="18"/>
          <w:szCs w:val="18"/>
        </w:rPr>
      </w:pPr>
      <w:r w:rsidRPr="00283E01">
        <w:rPr>
          <w:rFonts w:ascii="Times New Roman" w:hAnsi="Times New Roman" w:cs="Times New Roman"/>
          <w:sz w:val="18"/>
          <w:szCs w:val="18"/>
        </w:rPr>
        <w:t>Cochran A, Morris SE, Edelman LS, Saffle JR. Systemic Candida infection in burn patients. Surg Infect Larch mt. 2002;3(4):367-74.</w:t>
      </w:r>
    </w:p>
    <w:p w14:paraId="7E6C6182" w14:textId="344B2187" w:rsidR="00DF6275" w:rsidRPr="00283E01" w:rsidRDefault="00DF6275" w:rsidP="00283E01">
      <w:pPr>
        <w:pStyle w:val="ListParagraph"/>
        <w:numPr>
          <w:ilvl w:val="0"/>
          <w:numId w:val="24"/>
        </w:numPr>
        <w:spacing w:after="0" w:line="360" w:lineRule="auto"/>
        <w:ind w:left="77"/>
        <w:rPr>
          <w:rFonts w:ascii="Times New Roman" w:hAnsi="Times New Roman" w:cs="Times New Roman"/>
          <w:sz w:val="18"/>
          <w:szCs w:val="18"/>
        </w:rPr>
      </w:pPr>
      <w:r w:rsidRPr="00283E01">
        <w:rPr>
          <w:rFonts w:ascii="Times New Roman" w:hAnsi="Times New Roman" w:cs="Times New Roman"/>
          <w:sz w:val="18"/>
          <w:szCs w:val="18"/>
        </w:rPr>
        <w:t>Pruitt BA, McManus AT, Kim SH, Goodwin CW. Burn wound infections: current status. World J Surg. 1998;22:135-45.</w:t>
      </w:r>
    </w:p>
    <w:p w14:paraId="1EE5BB21" w14:textId="21DB02B5" w:rsidR="00DF6275" w:rsidRPr="00283E01" w:rsidRDefault="00DF6275" w:rsidP="00283E01">
      <w:pPr>
        <w:pStyle w:val="ListParagraph"/>
        <w:numPr>
          <w:ilvl w:val="0"/>
          <w:numId w:val="24"/>
        </w:numPr>
        <w:spacing w:after="0" w:line="360" w:lineRule="auto"/>
        <w:ind w:left="77"/>
        <w:rPr>
          <w:rFonts w:ascii="Times New Roman" w:hAnsi="Times New Roman" w:cs="Times New Roman"/>
          <w:sz w:val="18"/>
          <w:szCs w:val="18"/>
        </w:rPr>
      </w:pPr>
      <w:r w:rsidRPr="00283E01">
        <w:rPr>
          <w:rFonts w:ascii="Times New Roman" w:hAnsi="Times New Roman" w:cs="Times New Roman"/>
          <w:sz w:val="18"/>
          <w:szCs w:val="18"/>
        </w:rPr>
        <w:t>Church. Burn wound infections. Clin Microbiol Rev. 2006;19(2):403-34.</w:t>
      </w:r>
    </w:p>
    <w:p w14:paraId="6E48A10D" w14:textId="3F03025D" w:rsidR="00DF6275" w:rsidRPr="00283E01" w:rsidRDefault="00DF6275" w:rsidP="00283E01">
      <w:pPr>
        <w:pStyle w:val="ListParagraph"/>
        <w:numPr>
          <w:ilvl w:val="0"/>
          <w:numId w:val="24"/>
        </w:numPr>
        <w:spacing w:after="0" w:line="360" w:lineRule="auto"/>
        <w:ind w:left="77"/>
        <w:rPr>
          <w:rFonts w:ascii="Times New Roman" w:hAnsi="Times New Roman" w:cs="Times New Roman"/>
          <w:sz w:val="18"/>
          <w:szCs w:val="18"/>
        </w:rPr>
      </w:pPr>
      <w:r w:rsidRPr="00283E01">
        <w:rPr>
          <w:rFonts w:ascii="Times New Roman" w:hAnsi="Times New Roman" w:cs="Times New Roman"/>
          <w:sz w:val="18"/>
          <w:szCs w:val="18"/>
        </w:rPr>
        <w:t>Revathi G, Puri J, Jain BK. Bacteriology of burns. Burns. 1998;24:347-9.</w:t>
      </w:r>
    </w:p>
    <w:p w14:paraId="7357552C" w14:textId="1F1F4DC7" w:rsidR="00DF6275" w:rsidRPr="00283E01" w:rsidRDefault="00DF6275" w:rsidP="00283E01">
      <w:pPr>
        <w:pStyle w:val="ListParagraph"/>
        <w:numPr>
          <w:ilvl w:val="0"/>
          <w:numId w:val="24"/>
        </w:numPr>
        <w:spacing w:after="0" w:line="360" w:lineRule="auto"/>
        <w:ind w:left="77"/>
        <w:rPr>
          <w:rFonts w:ascii="Times New Roman" w:hAnsi="Times New Roman" w:cs="Times New Roman"/>
          <w:sz w:val="18"/>
          <w:szCs w:val="18"/>
        </w:rPr>
      </w:pPr>
      <w:r w:rsidRPr="00283E01">
        <w:rPr>
          <w:rFonts w:ascii="Times New Roman" w:hAnsi="Times New Roman" w:cs="Times New Roman"/>
          <w:sz w:val="18"/>
          <w:szCs w:val="18"/>
        </w:rPr>
        <w:t>Lawrence JC, Lilly HA. A quantitative method for investigating the bacteriology skin: its application to burns. J Exp Pathol. 1972;50:550-9.</w:t>
      </w:r>
      <w:bookmarkStart w:id="0" w:name="_GoBack"/>
      <w:bookmarkEnd w:id="0"/>
    </w:p>
    <w:p w14:paraId="786B7716" w14:textId="1ECE88BD" w:rsidR="00DF6275" w:rsidRPr="00283E01" w:rsidRDefault="00DF6275" w:rsidP="00283E01">
      <w:pPr>
        <w:pStyle w:val="ListParagraph"/>
        <w:numPr>
          <w:ilvl w:val="0"/>
          <w:numId w:val="24"/>
        </w:numPr>
        <w:spacing w:after="0" w:line="360" w:lineRule="auto"/>
        <w:ind w:left="77"/>
        <w:rPr>
          <w:rFonts w:ascii="Times New Roman" w:hAnsi="Times New Roman" w:cs="Times New Roman"/>
          <w:sz w:val="18"/>
          <w:szCs w:val="18"/>
        </w:rPr>
      </w:pPr>
      <w:r w:rsidRPr="00283E01">
        <w:rPr>
          <w:rFonts w:ascii="Times New Roman" w:hAnsi="Times New Roman" w:cs="Times New Roman"/>
          <w:sz w:val="18"/>
          <w:szCs w:val="18"/>
        </w:rPr>
        <w:t>Li GH, Hua C, Hsing C, Wai S, Chih KT. Analysis of microbiological flora in the blood and wounds of burn patients. 1989;5:199-200.</w:t>
      </w:r>
    </w:p>
    <w:p w14:paraId="3CF7ECE7" w14:textId="77777777" w:rsidR="006B3B76" w:rsidRPr="00283E01" w:rsidRDefault="00DF6275" w:rsidP="00283E01">
      <w:pPr>
        <w:pStyle w:val="ListParagraph"/>
        <w:numPr>
          <w:ilvl w:val="0"/>
          <w:numId w:val="24"/>
        </w:numPr>
        <w:spacing w:after="0" w:line="360" w:lineRule="auto"/>
        <w:ind w:left="77"/>
        <w:rPr>
          <w:rFonts w:ascii="Times New Roman" w:hAnsi="Times New Roman" w:cs="Times New Roman"/>
          <w:sz w:val="18"/>
          <w:szCs w:val="18"/>
        </w:rPr>
      </w:pPr>
      <w:r w:rsidRPr="00283E01">
        <w:rPr>
          <w:rFonts w:ascii="Times New Roman" w:hAnsi="Times New Roman" w:cs="Times New Roman"/>
          <w:sz w:val="18"/>
          <w:szCs w:val="18"/>
        </w:rPr>
        <w:t>Smith DJ, Thomson PD. Changing flora in burn and trauma units. J Burn Care Rehabil. 1992;13:276-80.</w:t>
      </w:r>
    </w:p>
    <w:p w14:paraId="4050822D" w14:textId="77777777" w:rsidR="006B3B76" w:rsidRPr="00283E01" w:rsidRDefault="006B3B76" w:rsidP="00283E01">
      <w:pPr>
        <w:pStyle w:val="ListParagraph"/>
        <w:numPr>
          <w:ilvl w:val="0"/>
          <w:numId w:val="24"/>
        </w:numPr>
        <w:spacing w:after="0" w:line="360" w:lineRule="auto"/>
        <w:ind w:left="77"/>
        <w:rPr>
          <w:rFonts w:ascii="Times New Roman" w:hAnsi="Times New Roman" w:cs="Times New Roman"/>
          <w:sz w:val="18"/>
          <w:szCs w:val="18"/>
        </w:rPr>
      </w:pPr>
      <w:r w:rsidRPr="00283E01">
        <w:rPr>
          <w:rFonts w:ascii="Times New Roman" w:hAnsi="Times New Roman" w:cs="Times New Roman"/>
          <w:color w:val="222222"/>
          <w:sz w:val="18"/>
          <w:szCs w:val="18"/>
          <w:shd w:val="clear" w:color="auto" w:fill="FFFFFF"/>
        </w:rPr>
        <w:t>El Hamzaoui N, Barguigua A, Larouz S, Maouloua M. Epidemiology of burn wound bacterial infections at a Meknes hospital, Morocco. New Microbes and New Infections. 2020 Nov 1;38:100764.</w:t>
      </w:r>
      <w:r w:rsidRPr="00283E01">
        <w:rPr>
          <w:rFonts w:ascii="Times New Roman" w:hAnsi="Times New Roman" w:cs="Times New Roman"/>
          <w:sz w:val="18"/>
          <w:szCs w:val="18"/>
        </w:rPr>
        <w:t xml:space="preserve"> </w:t>
      </w:r>
    </w:p>
    <w:p w14:paraId="4EC2D26F" w14:textId="77777777" w:rsidR="006B3B76" w:rsidRPr="00283E01" w:rsidRDefault="006B3B76" w:rsidP="00283E01">
      <w:pPr>
        <w:pStyle w:val="ListParagraph"/>
        <w:numPr>
          <w:ilvl w:val="0"/>
          <w:numId w:val="24"/>
        </w:numPr>
        <w:spacing w:after="0" w:line="360" w:lineRule="auto"/>
        <w:ind w:left="77"/>
        <w:rPr>
          <w:rFonts w:ascii="Times New Roman" w:hAnsi="Times New Roman" w:cs="Times New Roman"/>
          <w:sz w:val="18"/>
          <w:szCs w:val="18"/>
        </w:rPr>
      </w:pPr>
      <w:r w:rsidRPr="00283E01">
        <w:rPr>
          <w:rFonts w:ascii="Times New Roman" w:hAnsi="Times New Roman" w:cs="Times New Roman"/>
          <w:color w:val="222222"/>
          <w:sz w:val="18"/>
          <w:szCs w:val="18"/>
          <w:shd w:val="clear" w:color="auto" w:fill="FFFFFF"/>
        </w:rPr>
        <w:t>Sharma L, Srivastava H, Pipal DK, Dhawan R, Purohit PM, Bhargava A. Bacteriological profile of burn patients and antimicrobial susceptibility pattern of burn wound isolates. International surgery journal. 2017 Feb 25;4(3):1019-23.</w:t>
      </w:r>
    </w:p>
    <w:p w14:paraId="5DF7FBA6" w14:textId="12652ED8" w:rsidR="006B3B76" w:rsidRPr="00283E01" w:rsidRDefault="006B3B76" w:rsidP="00283E01">
      <w:pPr>
        <w:pStyle w:val="ListParagraph"/>
        <w:numPr>
          <w:ilvl w:val="0"/>
          <w:numId w:val="24"/>
        </w:numPr>
        <w:spacing w:after="0" w:line="360" w:lineRule="auto"/>
        <w:ind w:left="77"/>
        <w:rPr>
          <w:rFonts w:ascii="Times New Roman" w:hAnsi="Times New Roman" w:cs="Times New Roman"/>
          <w:sz w:val="18"/>
          <w:szCs w:val="18"/>
        </w:rPr>
        <w:sectPr w:rsidR="006B3B76" w:rsidRPr="00283E01" w:rsidSect="000C1CCD">
          <w:type w:val="continuous"/>
          <w:pgSz w:w="11906" w:h="16838"/>
          <w:pgMar w:top="1440" w:right="1440" w:bottom="1440" w:left="1440" w:header="708" w:footer="708" w:gutter="0"/>
          <w:cols w:space="708"/>
          <w:docGrid w:linePitch="360"/>
        </w:sectPr>
      </w:pPr>
      <w:r w:rsidRPr="00283E01">
        <w:rPr>
          <w:rFonts w:ascii="Times New Roman" w:hAnsi="Times New Roman" w:cs="Times New Roman"/>
          <w:color w:val="222222"/>
          <w:sz w:val="18"/>
          <w:szCs w:val="18"/>
          <w:shd w:val="clear" w:color="auto" w:fill="FFFFFF"/>
        </w:rPr>
        <w:t>Pujji OJ, Nakarmi KK, Shrestha B, Rai SM, Jeffery SL. The bacteriological profile of burn wound infections at a tertiary burns center in Nepal. Journal of Burn Care &amp; Research. 2019 Oct 16;40(6):838-45.</w:t>
      </w:r>
    </w:p>
    <w:p w14:paraId="279E5042" w14:textId="77777777" w:rsidR="00DF6275" w:rsidRPr="004F1C00" w:rsidRDefault="00DF6275" w:rsidP="004F1C00">
      <w:pPr>
        <w:spacing w:after="0" w:line="360" w:lineRule="auto"/>
        <w:rPr>
          <w:rFonts w:ascii="Times New Roman" w:hAnsi="Times New Roman" w:cs="Times New Roman"/>
          <w:sz w:val="20"/>
        </w:rPr>
      </w:pPr>
    </w:p>
    <w:sectPr w:rsidR="00DF6275" w:rsidRPr="004F1C00" w:rsidSect="000C1CC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8B3FF" w14:textId="77777777" w:rsidR="008A7B00" w:rsidRDefault="008A7B00" w:rsidP="004F1C00">
      <w:pPr>
        <w:spacing w:after="0" w:line="240" w:lineRule="auto"/>
      </w:pPr>
      <w:r>
        <w:separator/>
      </w:r>
    </w:p>
  </w:endnote>
  <w:endnote w:type="continuationSeparator" w:id="0">
    <w:p w14:paraId="66E63184" w14:textId="77777777" w:rsidR="008A7B00" w:rsidRDefault="008A7B00" w:rsidP="004F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253451"/>
      <w:docPartObj>
        <w:docPartGallery w:val="Page Numbers (Bottom of Page)"/>
        <w:docPartUnique/>
      </w:docPartObj>
    </w:sdtPr>
    <w:sdtEndPr>
      <w:rPr>
        <w:noProof/>
      </w:rPr>
    </w:sdtEndPr>
    <w:sdtContent>
      <w:p w14:paraId="468EACB2" w14:textId="679CE6CC" w:rsidR="004F1C00" w:rsidRDefault="004F1C00">
        <w:pPr>
          <w:pStyle w:val="Footer"/>
          <w:jc w:val="right"/>
        </w:pPr>
        <w:r>
          <w:fldChar w:fldCharType="begin"/>
        </w:r>
        <w:r>
          <w:instrText xml:space="preserve"> PAGE   \* MERGEFORMAT </w:instrText>
        </w:r>
        <w:r>
          <w:fldChar w:fldCharType="separate"/>
        </w:r>
        <w:r w:rsidR="008A7B00">
          <w:rPr>
            <w:noProof/>
          </w:rPr>
          <w:t>219</w:t>
        </w:r>
        <w:r>
          <w:rPr>
            <w:noProof/>
          </w:rPr>
          <w:fldChar w:fldCharType="end"/>
        </w:r>
      </w:p>
    </w:sdtContent>
  </w:sdt>
  <w:p w14:paraId="32FE033B" w14:textId="77777777" w:rsidR="00520A8D" w:rsidRPr="00F352CC" w:rsidRDefault="00520A8D" w:rsidP="00520A8D">
    <w:pPr>
      <w:pStyle w:val="Footer"/>
      <w:rPr>
        <w:lang w:val="en-US"/>
      </w:rPr>
    </w:pPr>
    <w:r w:rsidRPr="00F352CC">
      <w:rPr>
        <w:lang w:val="en-US"/>
      </w:rPr>
      <w:t>www.ijbamr.com   P ISSN: 2250-284X, E ISSN: 2250-2858</w:t>
    </w:r>
  </w:p>
  <w:p w14:paraId="32A8A4C8" w14:textId="77777777" w:rsidR="004F1C00" w:rsidRDefault="004F1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91A2C" w14:textId="77777777" w:rsidR="008A7B00" w:rsidRDefault="008A7B00" w:rsidP="004F1C00">
      <w:pPr>
        <w:spacing w:after="0" w:line="240" w:lineRule="auto"/>
      </w:pPr>
      <w:r>
        <w:separator/>
      </w:r>
    </w:p>
  </w:footnote>
  <w:footnote w:type="continuationSeparator" w:id="0">
    <w:p w14:paraId="58451C17" w14:textId="77777777" w:rsidR="008A7B00" w:rsidRDefault="008A7B00" w:rsidP="004F1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8171" w14:textId="03C38791" w:rsidR="00520A8D" w:rsidRPr="00D6417D" w:rsidRDefault="00520A8D" w:rsidP="00D6417D">
    <w:pPr>
      <w:tabs>
        <w:tab w:val="center" w:pos="4513"/>
        <w:tab w:val="right" w:pos="9026"/>
      </w:tabs>
      <w:autoSpaceDE w:val="0"/>
      <w:autoSpaceDN w:val="0"/>
      <w:spacing w:after="0" w:line="240" w:lineRule="auto"/>
      <w:ind w:left="-113"/>
      <w:rPr>
        <w:rFonts w:ascii="Cambria" w:eastAsia="Calibri" w:hAnsi="Cambria" w:cs="Times New Roman"/>
      </w:rPr>
    </w:pPr>
    <w:r w:rsidRPr="00D6417D">
      <w:rPr>
        <w:rFonts w:ascii="Cambria" w:eastAsia="Calibri" w:hAnsi="Cambria" w:cs="Times New Roman"/>
      </w:rPr>
      <w:t xml:space="preserve">Indian Journal of Basic and Applied Medical Research; March 2023: Vol.-12, Issue- 2 , P. </w:t>
    </w:r>
    <w:r w:rsidR="00D6417D">
      <w:rPr>
        <w:rFonts w:ascii="Cambria" w:eastAsia="Calibri" w:hAnsi="Cambria" w:cs="Times New Roman"/>
      </w:rPr>
      <w:t>219 - 227</w:t>
    </w:r>
  </w:p>
  <w:p w14:paraId="2D20ADFC" w14:textId="55260A59" w:rsidR="00520A8D" w:rsidRPr="00D6417D" w:rsidRDefault="00520A8D" w:rsidP="00D6417D">
    <w:pPr>
      <w:tabs>
        <w:tab w:val="center" w:pos="4513"/>
        <w:tab w:val="right" w:pos="9026"/>
      </w:tabs>
      <w:autoSpaceDE w:val="0"/>
      <w:autoSpaceDN w:val="0"/>
      <w:spacing w:after="0" w:line="240" w:lineRule="auto"/>
      <w:ind w:left="-113"/>
      <w:rPr>
        <w:rFonts w:ascii="Cambria" w:eastAsia="Calibri" w:hAnsi="Cambria" w:cs="Times New Roman"/>
      </w:rPr>
    </w:pPr>
    <w:r w:rsidRPr="00D6417D">
      <w:rPr>
        <w:rFonts w:ascii="Cambria" w:eastAsia="Calibri" w:hAnsi="Cambria" w:cs="Times New Roman"/>
        <w:bCs/>
      </w:rPr>
      <w:t>DOI:</w:t>
    </w:r>
    <w:r w:rsidRPr="00D6417D">
      <w:rPr>
        <w:rFonts w:ascii="Cambria" w:eastAsia="Calibri" w:hAnsi="Cambria" w:cs="Times New Roman"/>
        <w:bCs/>
      </w:rPr>
      <w:t xml:space="preserve"> 10.36855/IJBAMR/2022/98215.5670</w:t>
    </w:r>
  </w:p>
  <w:p w14:paraId="637FD87D" w14:textId="5D2CC751" w:rsidR="004F1C00" w:rsidRPr="00D6417D" w:rsidRDefault="004F1C00" w:rsidP="00D6417D">
    <w:pPr>
      <w:pStyle w:val="Header"/>
      <w:ind w:left="-7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12F"/>
    <w:multiLevelType w:val="multilevel"/>
    <w:tmpl w:val="BF7ED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6F0F09"/>
    <w:multiLevelType w:val="multilevel"/>
    <w:tmpl w:val="04CC5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210543"/>
    <w:multiLevelType w:val="hybridMultilevel"/>
    <w:tmpl w:val="93A0E8D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16FE3D25"/>
    <w:multiLevelType w:val="hybridMultilevel"/>
    <w:tmpl w:val="D932F2E2"/>
    <w:lvl w:ilvl="0" w:tplc="FBBADA0E">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291E8D"/>
    <w:multiLevelType w:val="hybridMultilevel"/>
    <w:tmpl w:val="89A057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0A0153D"/>
    <w:multiLevelType w:val="hybridMultilevel"/>
    <w:tmpl w:val="16203202"/>
    <w:lvl w:ilvl="0" w:tplc="E61419C6">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3935E5B"/>
    <w:multiLevelType w:val="multilevel"/>
    <w:tmpl w:val="49AE14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7591C48"/>
    <w:multiLevelType w:val="hybridMultilevel"/>
    <w:tmpl w:val="5D564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85D7B7A"/>
    <w:multiLevelType w:val="hybridMultilevel"/>
    <w:tmpl w:val="B95EE632"/>
    <w:lvl w:ilvl="0" w:tplc="FBBADA0E">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96933CE"/>
    <w:multiLevelType w:val="hybridMultilevel"/>
    <w:tmpl w:val="4A4E16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978606C"/>
    <w:multiLevelType w:val="hybridMultilevel"/>
    <w:tmpl w:val="B34600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148388A"/>
    <w:multiLevelType w:val="multilevel"/>
    <w:tmpl w:val="8026B30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nsid w:val="477937DF"/>
    <w:multiLevelType w:val="hybridMultilevel"/>
    <w:tmpl w:val="57A6F0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98C3402"/>
    <w:multiLevelType w:val="multilevel"/>
    <w:tmpl w:val="CDFE0B94"/>
    <w:lvl w:ilvl="0">
      <w:start w:val="1"/>
      <w:numFmt w:val="bullet"/>
      <w:lvlText w:val="•"/>
      <w:lvlJc w:val="left"/>
      <w:pPr>
        <w:ind w:left="720" w:firstLine="0"/>
      </w:p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14">
    <w:nsid w:val="49D948E6"/>
    <w:multiLevelType w:val="multilevel"/>
    <w:tmpl w:val="ACA84D8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4B217038"/>
    <w:multiLevelType w:val="hybridMultilevel"/>
    <w:tmpl w:val="222A199C"/>
    <w:lvl w:ilvl="0" w:tplc="ECDEA384">
      <w:start w:val="1"/>
      <w:numFmt w:val="decimal"/>
      <w:lvlText w:val="%1."/>
      <w:lvlJc w:val="left"/>
      <w:pPr>
        <w:ind w:left="720" w:hanging="360"/>
      </w:pPr>
      <w:rPr>
        <w:b w:val="0"/>
        <w:bCs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D2249C1"/>
    <w:multiLevelType w:val="multilevel"/>
    <w:tmpl w:val="5A503B70"/>
    <w:lvl w:ilvl="0">
      <w:start w:val="1"/>
      <w:numFmt w:val="bullet"/>
      <w:lvlText w:val="•"/>
      <w:lvlJc w:val="left"/>
      <w:pPr>
        <w:ind w:left="366" w:firstLine="0"/>
      </w:pPr>
    </w:lvl>
    <w:lvl w:ilvl="1">
      <w:start w:val="1"/>
      <w:numFmt w:val="decimal"/>
      <w:lvlText w:val=""/>
      <w:lvlJc w:val="left"/>
      <w:pPr>
        <w:ind w:left="366" w:firstLine="0"/>
      </w:pPr>
    </w:lvl>
    <w:lvl w:ilvl="2">
      <w:start w:val="1"/>
      <w:numFmt w:val="decimal"/>
      <w:lvlText w:val=""/>
      <w:lvlJc w:val="left"/>
      <w:pPr>
        <w:ind w:left="366" w:firstLine="0"/>
      </w:pPr>
    </w:lvl>
    <w:lvl w:ilvl="3">
      <w:start w:val="1"/>
      <w:numFmt w:val="decimal"/>
      <w:lvlText w:val=""/>
      <w:lvlJc w:val="left"/>
      <w:pPr>
        <w:ind w:left="366" w:firstLine="0"/>
      </w:pPr>
    </w:lvl>
    <w:lvl w:ilvl="4">
      <w:start w:val="1"/>
      <w:numFmt w:val="decimal"/>
      <w:lvlText w:val=""/>
      <w:lvlJc w:val="left"/>
      <w:pPr>
        <w:ind w:left="366" w:firstLine="0"/>
      </w:pPr>
    </w:lvl>
    <w:lvl w:ilvl="5">
      <w:start w:val="1"/>
      <w:numFmt w:val="decimal"/>
      <w:lvlText w:val=""/>
      <w:lvlJc w:val="left"/>
      <w:pPr>
        <w:ind w:left="366" w:firstLine="0"/>
      </w:pPr>
    </w:lvl>
    <w:lvl w:ilvl="6">
      <w:start w:val="1"/>
      <w:numFmt w:val="decimal"/>
      <w:lvlText w:val=""/>
      <w:lvlJc w:val="left"/>
      <w:pPr>
        <w:ind w:left="366" w:firstLine="0"/>
      </w:pPr>
    </w:lvl>
    <w:lvl w:ilvl="7">
      <w:start w:val="1"/>
      <w:numFmt w:val="decimal"/>
      <w:lvlText w:val=""/>
      <w:lvlJc w:val="left"/>
      <w:pPr>
        <w:ind w:left="366" w:firstLine="0"/>
      </w:pPr>
    </w:lvl>
    <w:lvl w:ilvl="8">
      <w:start w:val="1"/>
      <w:numFmt w:val="decimal"/>
      <w:lvlText w:val=""/>
      <w:lvlJc w:val="left"/>
      <w:pPr>
        <w:ind w:left="366" w:firstLine="0"/>
      </w:pPr>
    </w:lvl>
  </w:abstractNum>
  <w:abstractNum w:abstractNumId="17">
    <w:nsid w:val="54352CBD"/>
    <w:multiLevelType w:val="multilevel"/>
    <w:tmpl w:val="FD506A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8894AAF"/>
    <w:multiLevelType w:val="hybridMultilevel"/>
    <w:tmpl w:val="037277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E371B4A"/>
    <w:multiLevelType w:val="hybridMultilevel"/>
    <w:tmpl w:val="2528EFF4"/>
    <w:lvl w:ilvl="0" w:tplc="FBBADA0E">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639A583F"/>
    <w:multiLevelType w:val="multilevel"/>
    <w:tmpl w:val="6E564748"/>
    <w:lvl w:ilvl="0">
      <w:start w:val="1"/>
      <w:numFmt w:val="bullet"/>
      <w:lvlText w:val="•"/>
      <w:lvlJc w:val="left"/>
      <w:pPr>
        <w:ind w:left="366" w:firstLine="0"/>
      </w:pPr>
    </w:lvl>
    <w:lvl w:ilvl="1">
      <w:start w:val="1"/>
      <w:numFmt w:val="decimal"/>
      <w:lvlText w:val=""/>
      <w:lvlJc w:val="left"/>
      <w:pPr>
        <w:ind w:left="366" w:firstLine="0"/>
      </w:pPr>
    </w:lvl>
    <w:lvl w:ilvl="2">
      <w:start w:val="1"/>
      <w:numFmt w:val="decimal"/>
      <w:lvlText w:val=""/>
      <w:lvlJc w:val="left"/>
      <w:pPr>
        <w:ind w:left="366" w:firstLine="0"/>
      </w:pPr>
    </w:lvl>
    <w:lvl w:ilvl="3">
      <w:start w:val="1"/>
      <w:numFmt w:val="decimal"/>
      <w:lvlText w:val=""/>
      <w:lvlJc w:val="left"/>
      <w:pPr>
        <w:ind w:left="366" w:firstLine="0"/>
      </w:pPr>
    </w:lvl>
    <w:lvl w:ilvl="4">
      <w:start w:val="1"/>
      <w:numFmt w:val="decimal"/>
      <w:lvlText w:val=""/>
      <w:lvlJc w:val="left"/>
      <w:pPr>
        <w:ind w:left="366" w:firstLine="0"/>
      </w:pPr>
    </w:lvl>
    <w:lvl w:ilvl="5">
      <w:start w:val="1"/>
      <w:numFmt w:val="decimal"/>
      <w:lvlText w:val=""/>
      <w:lvlJc w:val="left"/>
      <w:pPr>
        <w:ind w:left="366" w:firstLine="0"/>
      </w:pPr>
    </w:lvl>
    <w:lvl w:ilvl="6">
      <w:start w:val="1"/>
      <w:numFmt w:val="decimal"/>
      <w:lvlText w:val=""/>
      <w:lvlJc w:val="left"/>
      <w:pPr>
        <w:ind w:left="366" w:firstLine="0"/>
      </w:pPr>
    </w:lvl>
    <w:lvl w:ilvl="7">
      <w:start w:val="1"/>
      <w:numFmt w:val="decimal"/>
      <w:lvlText w:val=""/>
      <w:lvlJc w:val="left"/>
      <w:pPr>
        <w:ind w:left="366" w:firstLine="0"/>
      </w:pPr>
    </w:lvl>
    <w:lvl w:ilvl="8">
      <w:start w:val="1"/>
      <w:numFmt w:val="decimal"/>
      <w:lvlText w:val=""/>
      <w:lvlJc w:val="left"/>
      <w:pPr>
        <w:ind w:left="366" w:firstLine="0"/>
      </w:pPr>
    </w:lvl>
  </w:abstractNum>
  <w:abstractNum w:abstractNumId="21">
    <w:nsid w:val="6A6D2836"/>
    <w:multiLevelType w:val="hybridMultilevel"/>
    <w:tmpl w:val="BA32B8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51507F2"/>
    <w:multiLevelType w:val="hybridMultilevel"/>
    <w:tmpl w:val="4CE0C072"/>
    <w:lvl w:ilvl="0" w:tplc="FBBADA0E">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88B3A21"/>
    <w:multiLevelType w:val="multilevel"/>
    <w:tmpl w:val="6E4838A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nsid w:val="7F8D204B"/>
    <w:multiLevelType w:val="multilevel"/>
    <w:tmpl w:val="159EB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7"/>
  </w:num>
  <w:num w:numId="3">
    <w:abstractNumId w:val="2"/>
  </w:num>
  <w:num w:numId="4">
    <w:abstractNumId w:val="0"/>
  </w:num>
  <w:num w:numId="5">
    <w:abstractNumId w:val="14"/>
  </w:num>
  <w:num w:numId="6">
    <w:abstractNumId w:val="16"/>
  </w:num>
  <w:num w:numId="7">
    <w:abstractNumId w:val="20"/>
  </w:num>
  <w:num w:numId="8">
    <w:abstractNumId w:val="24"/>
  </w:num>
  <w:num w:numId="9">
    <w:abstractNumId w:val="1"/>
  </w:num>
  <w:num w:numId="10">
    <w:abstractNumId w:val="23"/>
  </w:num>
  <w:num w:numId="11">
    <w:abstractNumId w:val="13"/>
  </w:num>
  <w:num w:numId="12">
    <w:abstractNumId w:val="11"/>
  </w:num>
  <w:num w:numId="13">
    <w:abstractNumId w:val="9"/>
  </w:num>
  <w:num w:numId="14">
    <w:abstractNumId w:val="4"/>
  </w:num>
  <w:num w:numId="15">
    <w:abstractNumId w:val="7"/>
  </w:num>
  <w:num w:numId="16">
    <w:abstractNumId w:val="3"/>
  </w:num>
  <w:num w:numId="17">
    <w:abstractNumId w:val="19"/>
  </w:num>
  <w:num w:numId="18">
    <w:abstractNumId w:val="22"/>
  </w:num>
  <w:num w:numId="19">
    <w:abstractNumId w:val="8"/>
  </w:num>
  <w:num w:numId="20">
    <w:abstractNumId w:val="5"/>
  </w:num>
  <w:num w:numId="21">
    <w:abstractNumId w:val="21"/>
  </w:num>
  <w:num w:numId="22">
    <w:abstractNumId w:val="12"/>
  </w:num>
  <w:num w:numId="23">
    <w:abstractNumId w:val="15"/>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47"/>
    <w:rsid w:val="00004036"/>
    <w:rsid w:val="00036DC4"/>
    <w:rsid w:val="00052499"/>
    <w:rsid w:val="00066F94"/>
    <w:rsid w:val="000C1CCD"/>
    <w:rsid w:val="00115227"/>
    <w:rsid w:val="00152BBC"/>
    <w:rsid w:val="00165D9C"/>
    <w:rsid w:val="00186777"/>
    <w:rsid w:val="00283E01"/>
    <w:rsid w:val="002C1E48"/>
    <w:rsid w:val="002C2B6F"/>
    <w:rsid w:val="002E3880"/>
    <w:rsid w:val="003250CF"/>
    <w:rsid w:val="003315E3"/>
    <w:rsid w:val="00355B4B"/>
    <w:rsid w:val="00366910"/>
    <w:rsid w:val="003E7E63"/>
    <w:rsid w:val="00405C9A"/>
    <w:rsid w:val="0042119E"/>
    <w:rsid w:val="00433430"/>
    <w:rsid w:val="004412BA"/>
    <w:rsid w:val="0049654A"/>
    <w:rsid w:val="004C27EC"/>
    <w:rsid w:val="004F1C00"/>
    <w:rsid w:val="004F6990"/>
    <w:rsid w:val="00511ACF"/>
    <w:rsid w:val="00520A8D"/>
    <w:rsid w:val="00523D4F"/>
    <w:rsid w:val="00560172"/>
    <w:rsid w:val="00587C2D"/>
    <w:rsid w:val="00594654"/>
    <w:rsid w:val="005E2F8A"/>
    <w:rsid w:val="006129BC"/>
    <w:rsid w:val="006244FE"/>
    <w:rsid w:val="00646F6D"/>
    <w:rsid w:val="00674028"/>
    <w:rsid w:val="00695566"/>
    <w:rsid w:val="006B2440"/>
    <w:rsid w:val="006B3B76"/>
    <w:rsid w:val="006D794D"/>
    <w:rsid w:val="0071143C"/>
    <w:rsid w:val="00717EC1"/>
    <w:rsid w:val="00754BCF"/>
    <w:rsid w:val="007751AF"/>
    <w:rsid w:val="00780ED7"/>
    <w:rsid w:val="007F223A"/>
    <w:rsid w:val="007F5AA1"/>
    <w:rsid w:val="00817268"/>
    <w:rsid w:val="00842443"/>
    <w:rsid w:val="00855127"/>
    <w:rsid w:val="00855255"/>
    <w:rsid w:val="0085659E"/>
    <w:rsid w:val="00862517"/>
    <w:rsid w:val="00865371"/>
    <w:rsid w:val="00897DC4"/>
    <w:rsid w:val="008A7B00"/>
    <w:rsid w:val="008C6673"/>
    <w:rsid w:val="00902BA9"/>
    <w:rsid w:val="00935595"/>
    <w:rsid w:val="009607F1"/>
    <w:rsid w:val="009B2FBE"/>
    <w:rsid w:val="009B5FF7"/>
    <w:rsid w:val="009C5E6A"/>
    <w:rsid w:val="009D7A85"/>
    <w:rsid w:val="009F20B8"/>
    <w:rsid w:val="00A52674"/>
    <w:rsid w:val="00A56057"/>
    <w:rsid w:val="00AB04BD"/>
    <w:rsid w:val="00AE21E3"/>
    <w:rsid w:val="00B2271C"/>
    <w:rsid w:val="00B80399"/>
    <w:rsid w:val="00B87422"/>
    <w:rsid w:val="00BA0668"/>
    <w:rsid w:val="00BA210D"/>
    <w:rsid w:val="00BA6C97"/>
    <w:rsid w:val="00BB75EA"/>
    <w:rsid w:val="00BD4A5D"/>
    <w:rsid w:val="00C14E9F"/>
    <w:rsid w:val="00C35470"/>
    <w:rsid w:val="00C8309C"/>
    <w:rsid w:val="00CB14A4"/>
    <w:rsid w:val="00CB1B66"/>
    <w:rsid w:val="00CB61B4"/>
    <w:rsid w:val="00CD0EF9"/>
    <w:rsid w:val="00D02658"/>
    <w:rsid w:val="00D17E0F"/>
    <w:rsid w:val="00D2128E"/>
    <w:rsid w:val="00D5621F"/>
    <w:rsid w:val="00D6417D"/>
    <w:rsid w:val="00D7151E"/>
    <w:rsid w:val="00D92514"/>
    <w:rsid w:val="00DB3B13"/>
    <w:rsid w:val="00DB3DAF"/>
    <w:rsid w:val="00DD1A47"/>
    <w:rsid w:val="00DF6275"/>
    <w:rsid w:val="00E12204"/>
    <w:rsid w:val="00E2403B"/>
    <w:rsid w:val="00E417AF"/>
    <w:rsid w:val="00E54ED9"/>
    <w:rsid w:val="00E6201C"/>
    <w:rsid w:val="00E941EB"/>
    <w:rsid w:val="00EA0AA3"/>
    <w:rsid w:val="00EA0DD1"/>
    <w:rsid w:val="00EE39AB"/>
    <w:rsid w:val="00F03170"/>
    <w:rsid w:val="00F105D7"/>
    <w:rsid w:val="00F56DFF"/>
    <w:rsid w:val="00F86559"/>
    <w:rsid w:val="00F9531D"/>
    <w:rsid w:val="00F964FE"/>
    <w:rsid w:val="00FA40E1"/>
    <w:rsid w:val="00FB07FF"/>
    <w:rsid w:val="00FC18B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4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036"/>
    <w:pPr>
      <w:ind w:left="720"/>
      <w:contextualSpacing/>
    </w:pPr>
  </w:style>
  <w:style w:type="paragraph" w:styleId="HTMLPreformatted">
    <w:name w:val="HTML Preformatted"/>
    <w:basedOn w:val="Normal"/>
    <w:link w:val="HTMLPreformattedChar"/>
    <w:uiPriority w:val="99"/>
    <w:rsid w:val="0000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bidi="ar-SA"/>
    </w:rPr>
  </w:style>
  <w:style w:type="character" w:customStyle="1" w:styleId="HTMLPreformattedChar">
    <w:name w:val="HTML Preformatted Char"/>
    <w:basedOn w:val="DefaultParagraphFont"/>
    <w:link w:val="HTMLPreformatted"/>
    <w:uiPriority w:val="99"/>
    <w:rsid w:val="00004036"/>
    <w:rPr>
      <w:rFonts w:ascii="Courier New" w:eastAsia="Times New Roman" w:hAnsi="Courier New" w:cs="Courier New"/>
      <w:sz w:val="20"/>
      <w:lang w:eastAsia="en-IN" w:bidi="ar-SA"/>
    </w:rPr>
  </w:style>
  <w:style w:type="paragraph" w:styleId="Header">
    <w:name w:val="header"/>
    <w:basedOn w:val="Normal"/>
    <w:link w:val="HeaderChar"/>
    <w:uiPriority w:val="99"/>
    <w:unhideWhenUsed/>
    <w:rsid w:val="00004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036"/>
  </w:style>
  <w:style w:type="paragraph" w:styleId="Footer">
    <w:name w:val="footer"/>
    <w:basedOn w:val="Normal"/>
    <w:link w:val="FooterChar"/>
    <w:uiPriority w:val="99"/>
    <w:unhideWhenUsed/>
    <w:rsid w:val="00004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036"/>
  </w:style>
  <w:style w:type="paragraph" w:styleId="NormalWeb">
    <w:name w:val="Normal (Web)"/>
    <w:basedOn w:val="Normal"/>
    <w:uiPriority w:val="99"/>
    <w:semiHidden/>
    <w:unhideWhenUsed/>
    <w:rsid w:val="0000403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04036"/>
    <w:rPr>
      <w:color w:val="0563C1"/>
      <w:u w:val="single"/>
    </w:rPr>
  </w:style>
  <w:style w:type="character" w:styleId="FollowedHyperlink">
    <w:name w:val="FollowedHyperlink"/>
    <w:basedOn w:val="DefaultParagraphFont"/>
    <w:uiPriority w:val="99"/>
    <w:semiHidden/>
    <w:unhideWhenUsed/>
    <w:rsid w:val="00004036"/>
    <w:rPr>
      <w:color w:val="954F72"/>
      <w:u w:val="single"/>
    </w:rPr>
  </w:style>
  <w:style w:type="paragraph" w:customStyle="1" w:styleId="msonormal0">
    <w:name w:val="msonormal"/>
    <w:basedOn w:val="Normal"/>
    <w:rsid w:val="0000403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5">
    <w:name w:val="xl65"/>
    <w:basedOn w:val="Normal"/>
    <w:rsid w:val="0000403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N"/>
    </w:rPr>
  </w:style>
  <w:style w:type="paragraph" w:customStyle="1" w:styleId="xl66">
    <w:name w:val="xl66"/>
    <w:basedOn w:val="Normal"/>
    <w:rsid w:val="00004036"/>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67">
    <w:name w:val="xl67"/>
    <w:basedOn w:val="Normal"/>
    <w:rsid w:val="00004036"/>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68">
    <w:name w:val="xl68"/>
    <w:basedOn w:val="Normal"/>
    <w:rsid w:val="0000403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N"/>
    </w:rPr>
  </w:style>
  <w:style w:type="paragraph" w:customStyle="1" w:styleId="xl69">
    <w:name w:val="xl69"/>
    <w:basedOn w:val="Normal"/>
    <w:rsid w:val="00004036"/>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N"/>
    </w:rPr>
  </w:style>
  <w:style w:type="paragraph" w:customStyle="1" w:styleId="xl70">
    <w:name w:val="xl70"/>
    <w:basedOn w:val="Normal"/>
    <w:rsid w:val="0000403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N"/>
    </w:rPr>
  </w:style>
  <w:style w:type="paragraph" w:customStyle="1" w:styleId="xl71">
    <w:name w:val="xl71"/>
    <w:basedOn w:val="Normal"/>
    <w:rsid w:val="0000403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72">
    <w:name w:val="xl72"/>
    <w:basedOn w:val="Normal"/>
    <w:rsid w:val="0000403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IN"/>
    </w:rPr>
  </w:style>
  <w:style w:type="paragraph" w:customStyle="1" w:styleId="xl73">
    <w:name w:val="xl73"/>
    <w:basedOn w:val="Normal"/>
    <w:rsid w:val="00004036"/>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IN"/>
    </w:rPr>
  </w:style>
  <w:style w:type="paragraph" w:customStyle="1" w:styleId="xl74">
    <w:name w:val="xl74"/>
    <w:basedOn w:val="Normal"/>
    <w:rsid w:val="00004036"/>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N"/>
    </w:rPr>
  </w:style>
  <w:style w:type="paragraph" w:customStyle="1" w:styleId="xl75">
    <w:name w:val="xl75"/>
    <w:basedOn w:val="Normal"/>
    <w:rsid w:val="00004036"/>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N"/>
    </w:rPr>
  </w:style>
  <w:style w:type="paragraph" w:customStyle="1" w:styleId="xl76">
    <w:name w:val="xl76"/>
    <w:basedOn w:val="Normal"/>
    <w:rsid w:val="00004036"/>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N"/>
    </w:rPr>
  </w:style>
  <w:style w:type="paragraph" w:customStyle="1" w:styleId="xl77">
    <w:name w:val="xl77"/>
    <w:basedOn w:val="Normal"/>
    <w:rsid w:val="00004036"/>
    <w:pPr>
      <w:pBdr>
        <w:top w:val="single" w:sz="4" w:space="0" w:color="auto"/>
        <w:left w:val="single" w:sz="4"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N"/>
    </w:rPr>
  </w:style>
  <w:style w:type="paragraph" w:customStyle="1" w:styleId="xl78">
    <w:name w:val="xl78"/>
    <w:basedOn w:val="Normal"/>
    <w:rsid w:val="00004036"/>
    <w:pPr>
      <w:pBdr>
        <w:top w:val="single" w:sz="8"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79">
    <w:name w:val="xl79"/>
    <w:basedOn w:val="Normal"/>
    <w:rsid w:val="00004036"/>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80">
    <w:name w:val="xl80"/>
    <w:basedOn w:val="Normal"/>
    <w:rsid w:val="00004036"/>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81">
    <w:name w:val="xl81"/>
    <w:basedOn w:val="Normal"/>
    <w:rsid w:val="00004036"/>
    <w:pPr>
      <w:pBdr>
        <w:top w:val="single" w:sz="8"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82">
    <w:name w:val="xl82"/>
    <w:basedOn w:val="Normal"/>
    <w:rsid w:val="00004036"/>
    <w:pPr>
      <w:pBdr>
        <w:top w:val="single" w:sz="4"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83">
    <w:name w:val="xl83"/>
    <w:basedOn w:val="Normal"/>
    <w:rsid w:val="0000403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84">
    <w:name w:val="xl84"/>
    <w:basedOn w:val="Normal"/>
    <w:rsid w:val="00004036"/>
    <w:pPr>
      <w:pBdr>
        <w:top w:val="single" w:sz="4"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85">
    <w:name w:val="xl85"/>
    <w:basedOn w:val="Normal"/>
    <w:rsid w:val="00004036"/>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IN"/>
    </w:rPr>
  </w:style>
  <w:style w:type="paragraph" w:customStyle="1" w:styleId="xl86">
    <w:name w:val="xl86"/>
    <w:basedOn w:val="Normal"/>
    <w:rsid w:val="00004036"/>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IN"/>
    </w:rPr>
  </w:style>
  <w:style w:type="paragraph" w:styleId="BalloonText">
    <w:name w:val="Balloon Text"/>
    <w:basedOn w:val="Normal"/>
    <w:link w:val="BalloonTextChar"/>
    <w:uiPriority w:val="99"/>
    <w:semiHidden/>
    <w:unhideWhenUsed/>
    <w:rsid w:val="004F1C0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F1C00"/>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036"/>
    <w:pPr>
      <w:ind w:left="720"/>
      <w:contextualSpacing/>
    </w:pPr>
  </w:style>
  <w:style w:type="paragraph" w:styleId="HTMLPreformatted">
    <w:name w:val="HTML Preformatted"/>
    <w:basedOn w:val="Normal"/>
    <w:link w:val="HTMLPreformattedChar"/>
    <w:uiPriority w:val="99"/>
    <w:rsid w:val="0000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bidi="ar-SA"/>
    </w:rPr>
  </w:style>
  <w:style w:type="character" w:customStyle="1" w:styleId="HTMLPreformattedChar">
    <w:name w:val="HTML Preformatted Char"/>
    <w:basedOn w:val="DefaultParagraphFont"/>
    <w:link w:val="HTMLPreformatted"/>
    <w:uiPriority w:val="99"/>
    <w:rsid w:val="00004036"/>
    <w:rPr>
      <w:rFonts w:ascii="Courier New" w:eastAsia="Times New Roman" w:hAnsi="Courier New" w:cs="Courier New"/>
      <w:sz w:val="20"/>
      <w:lang w:eastAsia="en-IN" w:bidi="ar-SA"/>
    </w:rPr>
  </w:style>
  <w:style w:type="paragraph" w:styleId="Header">
    <w:name w:val="header"/>
    <w:basedOn w:val="Normal"/>
    <w:link w:val="HeaderChar"/>
    <w:uiPriority w:val="99"/>
    <w:unhideWhenUsed/>
    <w:rsid w:val="00004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036"/>
  </w:style>
  <w:style w:type="paragraph" w:styleId="Footer">
    <w:name w:val="footer"/>
    <w:basedOn w:val="Normal"/>
    <w:link w:val="FooterChar"/>
    <w:uiPriority w:val="99"/>
    <w:unhideWhenUsed/>
    <w:rsid w:val="00004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036"/>
  </w:style>
  <w:style w:type="paragraph" w:styleId="NormalWeb">
    <w:name w:val="Normal (Web)"/>
    <w:basedOn w:val="Normal"/>
    <w:uiPriority w:val="99"/>
    <w:semiHidden/>
    <w:unhideWhenUsed/>
    <w:rsid w:val="0000403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04036"/>
    <w:rPr>
      <w:color w:val="0563C1"/>
      <w:u w:val="single"/>
    </w:rPr>
  </w:style>
  <w:style w:type="character" w:styleId="FollowedHyperlink">
    <w:name w:val="FollowedHyperlink"/>
    <w:basedOn w:val="DefaultParagraphFont"/>
    <w:uiPriority w:val="99"/>
    <w:semiHidden/>
    <w:unhideWhenUsed/>
    <w:rsid w:val="00004036"/>
    <w:rPr>
      <w:color w:val="954F72"/>
      <w:u w:val="single"/>
    </w:rPr>
  </w:style>
  <w:style w:type="paragraph" w:customStyle="1" w:styleId="msonormal0">
    <w:name w:val="msonormal"/>
    <w:basedOn w:val="Normal"/>
    <w:rsid w:val="0000403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5">
    <w:name w:val="xl65"/>
    <w:basedOn w:val="Normal"/>
    <w:rsid w:val="0000403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N"/>
    </w:rPr>
  </w:style>
  <w:style w:type="paragraph" w:customStyle="1" w:styleId="xl66">
    <w:name w:val="xl66"/>
    <w:basedOn w:val="Normal"/>
    <w:rsid w:val="00004036"/>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67">
    <w:name w:val="xl67"/>
    <w:basedOn w:val="Normal"/>
    <w:rsid w:val="00004036"/>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68">
    <w:name w:val="xl68"/>
    <w:basedOn w:val="Normal"/>
    <w:rsid w:val="0000403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N"/>
    </w:rPr>
  </w:style>
  <w:style w:type="paragraph" w:customStyle="1" w:styleId="xl69">
    <w:name w:val="xl69"/>
    <w:basedOn w:val="Normal"/>
    <w:rsid w:val="00004036"/>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N"/>
    </w:rPr>
  </w:style>
  <w:style w:type="paragraph" w:customStyle="1" w:styleId="xl70">
    <w:name w:val="xl70"/>
    <w:basedOn w:val="Normal"/>
    <w:rsid w:val="0000403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N"/>
    </w:rPr>
  </w:style>
  <w:style w:type="paragraph" w:customStyle="1" w:styleId="xl71">
    <w:name w:val="xl71"/>
    <w:basedOn w:val="Normal"/>
    <w:rsid w:val="0000403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72">
    <w:name w:val="xl72"/>
    <w:basedOn w:val="Normal"/>
    <w:rsid w:val="0000403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IN"/>
    </w:rPr>
  </w:style>
  <w:style w:type="paragraph" w:customStyle="1" w:styleId="xl73">
    <w:name w:val="xl73"/>
    <w:basedOn w:val="Normal"/>
    <w:rsid w:val="00004036"/>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IN"/>
    </w:rPr>
  </w:style>
  <w:style w:type="paragraph" w:customStyle="1" w:styleId="xl74">
    <w:name w:val="xl74"/>
    <w:basedOn w:val="Normal"/>
    <w:rsid w:val="00004036"/>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N"/>
    </w:rPr>
  </w:style>
  <w:style w:type="paragraph" w:customStyle="1" w:styleId="xl75">
    <w:name w:val="xl75"/>
    <w:basedOn w:val="Normal"/>
    <w:rsid w:val="00004036"/>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N"/>
    </w:rPr>
  </w:style>
  <w:style w:type="paragraph" w:customStyle="1" w:styleId="xl76">
    <w:name w:val="xl76"/>
    <w:basedOn w:val="Normal"/>
    <w:rsid w:val="00004036"/>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N"/>
    </w:rPr>
  </w:style>
  <w:style w:type="paragraph" w:customStyle="1" w:styleId="xl77">
    <w:name w:val="xl77"/>
    <w:basedOn w:val="Normal"/>
    <w:rsid w:val="00004036"/>
    <w:pPr>
      <w:pBdr>
        <w:top w:val="single" w:sz="4" w:space="0" w:color="auto"/>
        <w:left w:val="single" w:sz="4"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N"/>
    </w:rPr>
  </w:style>
  <w:style w:type="paragraph" w:customStyle="1" w:styleId="xl78">
    <w:name w:val="xl78"/>
    <w:basedOn w:val="Normal"/>
    <w:rsid w:val="00004036"/>
    <w:pPr>
      <w:pBdr>
        <w:top w:val="single" w:sz="8"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79">
    <w:name w:val="xl79"/>
    <w:basedOn w:val="Normal"/>
    <w:rsid w:val="00004036"/>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80">
    <w:name w:val="xl80"/>
    <w:basedOn w:val="Normal"/>
    <w:rsid w:val="00004036"/>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81">
    <w:name w:val="xl81"/>
    <w:basedOn w:val="Normal"/>
    <w:rsid w:val="00004036"/>
    <w:pPr>
      <w:pBdr>
        <w:top w:val="single" w:sz="8"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82">
    <w:name w:val="xl82"/>
    <w:basedOn w:val="Normal"/>
    <w:rsid w:val="00004036"/>
    <w:pPr>
      <w:pBdr>
        <w:top w:val="single" w:sz="4"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83">
    <w:name w:val="xl83"/>
    <w:basedOn w:val="Normal"/>
    <w:rsid w:val="0000403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84">
    <w:name w:val="xl84"/>
    <w:basedOn w:val="Normal"/>
    <w:rsid w:val="00004036"/>
    <w:pPr>
      <w:pBdr>
        <w:top w:val="single" w:sz="4"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IN"/>
    </w:rPr>
  </w:style>
  <w:style w:type="paragraph" w:customStyle="1" w:styleId="xl85">
    <w:name w:val="xl85"/>
    <w:basedOn w:val="Normal"/>
    <w:rsid w:val="00004036"/>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IN"/>
    </w:rPr>
  </w:style>
  <w:style w:type="paragraph" w:customStyle="1" w:styleId="xl86">
    <w:name w:val="xl86"/>
    <w:basedOn w:val="Normal"/>
    <w:rsid w:val="00004036"/>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IN"/>
    </w:rPr>
  </w:style>
  <w:style w:type="paragraph" w:styleId="BalloonText">
    <w:name w:val="Balloon Text"/>
    <w:basedOn w:val="Normal"/>
    <w:link w:val="BalloonTextChar"/>
    <w:uiPriority w:val="99"/>
    <w:semiHidden/>
    <w:unhideWhenUsed/>
    <w:rsid w:val="004F1C0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F1C00"/>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BURNS\MY%20MASTER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URNS\MY%20MASTERCHA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URNS\MY%20MASTERCHA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URNS\MY%20MASTERCHA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URNS\MY%20MASTER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dk1"/>
                </a:solidFill>
                <a:latin typeface="+mn-lt"/>
                <a:ea typeface="+mn-ea"/>
                <a:cs typeface="+mn-cs"/>
              </a:defRPr>
            </a:pPr>
            <a:r>
              <a:rPr lang="en-IN" sz="1100" b="1"/>
              <a:t>Sex wise incidence of burns in different age groups</a:t>
            </a:r>
          </a:p>
        </c:rich>
      </c:tx>
      <c:layout>
        <c:manualLayout>
          <c:xMode val="edge"/>
          <c:yMode val="edge"/>
          <c:x val="0.12451678334483682"/>
          <c:y val="3.692307692307692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70864733142706"/>
          <c:y val="0.22269703210175654"/>
          <c:w val="0.84209091726503194"/>
          <c:h val="0.41377328596120611"/>
        </c:manualLayout>
      </c:layout>
      <c:bar3DChart>
        <c:barDir val="col"/>
        <c:grouping val="clustered"/>
        <c:varyColors val="0"/>
        <c:ser>
          <c:idx val="0"/>
          <c:order val="0"/>
          <c:tx>
            <c:strRef>
              <c:f>Sheet2!$M$179</c:f>
              <c:strCache>
                <c:ptCount val="1"/>
                <c:pt idx="0">
                  <c:v>MALES</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Sheet2!$L$180:$L$186</c:f>
              <c:strCache>
                <c:ptCount val="7"/>
                <c:pt idx="0">
                  <c:v>11-20.</c:v>
                </c:pt>
                <c:pt idx="1">
                  <c:v>21-30</c:v>
                </c:pt>
                <c:pt idx="2">
                  <c:v>31-40</c:v>
                </c:pt>
                <c:pt idx="3">
                  <c:v>41-50</c:v>
                </c:pt>
                <c:pt idx="4">
                  <c:v>51-60</c:v>
                </c:pt>
                <c:pt idx="5">
                  <c:v>61-70</c:v>
                </c:pt>
                <c:pt idx="6">
                  <c:v>71-80</c:v>
                </c:pt>
              </c:strCache>
            </c:strRef>
          </c:cat>
          <c:val>
            <c:numRef>
              <c:f>Sheet2!$M$180:$M$186</c:f>
              <c:numCache>
                <c:formatCode>General</c:formatCode>
                <c:ptCount val="7"/>
                <c:pt idx="0">
                  <c:v>6</c:v>
                </c:pt>
                <c:pt idx="1">
                  <c:v>19</c:v>
                </c:pt>
                <c:pt idx="2">
                  <c:v>15</c:v>
                </c:pt>
                <c:pt idx="3">
                  <c:v>13</c:v>
                </c:pt>
                <c:pt idx="4">
                  <c:v>6</c:v>
                </c:pt>
                <c:pt idx="5">
                  <c:v>4</c:v>
                </c:pt>
                <c:pt idx="6">
                  <c:v>5</c:v>
                </c:pt>
              </c:numCache>
            </c:numRef>
          </c:val>
          <c:extLst xmlns:c16r2="http://schemas.microsoft.com/office/drawing/2015/06/chart">
            <c:ext xmlns:c16="http://schemas.microsoft.com/office/drawing/2014/chart" uri="{C3380CC4-5D6E-409C-BE32-E72D297353CC}">
              <c16:uniqueId val="{00000000-6310-45BF-BFF7-BB26F6C6835C}"/>
            </c:ext>
          </c:extLst>
        </c:ser>
        <c:ser>
          <c:idx val="1"/>
          <c:order val="1"/>
          <c:tx>
            <c:strRef>
              <c:f>Sheet2!$N$179</c:f>
              <c:strCache>
                <c:ptCount val="1"/>
                <c:pt idx="0">
                  <c:v>FEMALES</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Sheet2!$L$180:$L$186</c:f>
              <c:strCache>
                <c:ptCount val="7"/>
                <c:pt idx="0">
                  <c:v>11-20.</c:v>
                </c:pt>
                <c:pt idx="1">
                  <c:v>21-30</c:v>
                </c:pt>
                <c:pt idx="2">
                  <c:v>31-40</c:v>
                </c:pt>
                <c:pt idx="3">
                  <c:v>41-50</c:v>
                </c:pt>
                <c:pt idx="4">
                  <c:v>51-60</c:v>
                </c:pt>
                <c:pt idx="5">
                  <c:v>61-70</c:v>
                </c:pt>
                <c:pt idx="6">
                  <c:v>71-80</c:v>
                </c:pt>
              </c:strCache>
            </c:strRef>
          </c:cat>
          <c:val>
            <c:numRef>
              <c:f>Sheet2!$N$180:$N$186</c:f>
              <c:numCache>
                <c:formatCode>General</c:formatCode>
                <c:ptCount val="7"/>
                <c:pt idx="0">
                  <c:v>6</c:v>
                </c:pt>
                <c:pt idx="1">
                  <c:v>18</c:v>
                </c:pt>
                <c:pt idx="2">
                  <c:v>12</c:v>
                </c:pt>
                <c:pt idx="3">
                  <c:v>7</c:v>
                </c:pt>
                <c:pt idx="4">
                  <c:v>10</c:v>
                </c:pt>
                <c:pt idx="5">
                  <c:v>6</c:v>
                </c:pt>
                <c:pt idx="6">
                  <c:v>2</c:v>
                </c:pt>
              </c:numCache>
            </c:numRef>
          </c:val>
          <c:extLst xmlns:c16r2="http://schemas.microsoft.com/office/drawing/2015/06/chart">
            <c:ext xmlns:c16="http://schemas.microsoft.com/office/drawing/2014/chart" uri="{C3380CC4-5D6E-409C-BE32-E72D297353CC}">
              <c16:uniqueId val="{00000001-6310-45BF-BFF7-BB26F6C6835C}"/>
            </c:ext>
          </c:extLst>
        </c:ser>
        <c:dLbls>
          <c:showLegendKey val="0"/>
          <c:showVal val="1"/>
          <c:showCatName val="0"/>
          <c:showSerName val="0"/>
          <c:showPercent val="0"/>
          <c:showBubbleSize val="0"/>
        </c:dLbls>
        <c:gapWidth val="150"/>
        <c:shape val="box"/>
        <c:axId val="141335936"/>
        <c:axId val="141346304"/>
        <c:axId val="0"/>
      </c:bar3DChart>
      <c:catAx>
        <c:axId val="141335936"/>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dk1"/>
                    </a:solidFill>
                    <a:latin typeface="+mn-lt"/>
                    <a:ea typeface="+mn-ea"/>
                    <a:cs typeface="+mn-cs"/>
                  </a:defRPr>
                </a:pPr>
                <a:r>
                  <a:rPr lang="en-IN" sz="1100" b="1"/>
                  <a:t>Age groups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1346304"/>
        <c:crosses val="autoZero"/>
        <c:auto val="1"/>
        <c:lblAlgn val="ctr"/>
        <c:lblOffset val="100"/>
        <c:noMultiLvlLbl val="0"/>
      </c:catAx>
      <c:valAx>
        <c:axId val="141346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dk1"/>
                    </a:solidFill>
                    <a:latin typeface="+mn-lt"/>
                    <a:ea typeface="+mn-ea"/>
                    <a:cs typeface="+mn-cs"/>
                  </a:defRPr>
                </a:pPr>
                <a:r>
                  <a:rPr lang="en-IN" sz="1100" b="1"/>
                  <a:t>Number of patients</a:t>
                </a:r>
              </a:p>
            </c:rich>
          </c:tx>
          <c:layout>
            <c:manualLayout>
              <c:xMode val="edge"/>
              <c:yMode val="edge"/>
              <c:x val="2.4670037891059683E-2"/>
              <c:y val="0.1734662628709872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1335936"/>
        <c:crosses val="autoZero"/>
        <c:crossBetween val="between"/>
      </c:valAx>
      <c:spPr>
        <a:noFill/>
        <a:ln>
          <a:noFill/>
        </a:ln>
        <a:effectLst/>
      </c:spPr>
    </c:plotArea>
    <c:legend>
      <c:legendPos val="b"/>
      <c:layout>
        <c:manualLayout>
          <c:xMode val="edge"/>
          <c:yMode val="edge"/>
          <c:x val="0.30599129491640026"/>
          <c:y val="0.8271820714718352"/>
          <c:w val="0.3808617751045878"/>
          <c:h val="0.1112794669897032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dk1"/>
                </a:solidFill>
                <a:latin typeface="+mn-lt"/>
                <a:ea typeface="+mn-ea"/>
                <a:cs typeface="+mn-cs"/>
              </a:defRPr>
            </a:pPr>
            <a:r>
              <a:rPr lang="en-US" sz="1100"/>
              <a:t>Percentage</a:t>
            </a:r>
            <a:r>
              <a:rPr lang="en-US" sz="1100" baseline="0"/>
              <a:t> of </a:t>
            </a:r>
            <a:r>
              <a:rPr lang="en-US" sz="1100"/>
              <a:t>Mortality in different age groups</a:t>
            </a:r>
          </a:p>
        </c:rich>
      </c:tx>
      <c:overlay val="0"/>
      <c:spPr>
        <a:noFill/>
        <a:ln>
          <a:noFill/>
        </a:ln>
        <a:effectLst/>
      </c:spPr>
    </c:title>
    <c:autoTitleDeleted val="0"/>
    <c:plotArea>
      <c:layout/>
      <c:barChart>
        <c:barDir val="col"/>
        <c:grouping val="clustered"/>
        <c:varyColors val="0"/>
        <c:ser>
          <c:idx val="0"/>
          <c:order val="0"/>
          <c:tx>
            <c:strRef>
              <c:f>Sheet2!$O$188</c:f>
              <c:strCache>
                <c:ptCount val="1"/>
                <c:pt idx="0">
                  <c:v>% Mortality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Sheet2!$L$189:$L$195</c:f>
              <c:strCache>
                <c:ptCount val="7"/>
                <c:pt idx="0">
                  <c:v>11-20.</c:v>
                </c:pt>
                <c:pt idx="1">
                  <c:v>21-30</c:v>
                </c:pt>
                <c:pt idx="2">
                  <c:v>31-40</c:v>
                </c:pt>
                <c:pt idx="3">
                  <c:v>41-50</c:v>
                </c:pt>
                <c:pt idx="4">
                  <c:v>51-60</c:v>
                </c:pt>
                <c:pt idx="5">
                  <c:v>61-70</c:v>
                </c:pt>
                <c:pt idx="6">
                  <c:v>71-80</c:v>
                </c:pt>
              </c:strCache>
            </c:strRef>
          </c:cat>
          <c:val>
            <c:numRef>
              <c:f>Sheet2!$O$189:$O$195</c:f>
              <c:numCache>
                <c:formatCode>General</c:formatCode>
                <c:ptCount val="7"/>
                <c:pt idx="0">
                  <c:v>41.66</c:v>
                </c:pt>
                <c:pt idx="1">
                  <c:v>37.83</c:v>
                </c:pt>
                <c:pt idx="2">
                  <c:v>14.81</c:v>
                </c:pt>
                <c:pt idx="3">
                  <c:v>50</c:v>
                </c:pt>
                <c:pt idx="4">
                  <c:v>25</c:v>
                </c:pt>
                <c:pt idx="5">
                  <c:v>30</c:v>
                </c:pt>
                <c:pt idx="6">
                  <c:v>57.14</c:v>
                </c:pt>
              </c:numCache>
            </c:numRef>
          </c:val>
          <c:extLst xmlns:c16r2="http://schemas.microsoft.com/office/drawing/2015/06/chart">
            <c:ext xmlns:c16="http://schemas.microsoft.com/office/drawing/2014/chart" uri="{C3380CC4-5D6E-409C-BE32-E72D297353CC}">
              <c16:uniqueId val="{00000000-BC4F-4C93-BED3-C4136CCB8486}"/>
            </c:ext>
          </c:extLst>
        </c:ser>
        <c:dLbls>
          <c:dLblPos val="outEnd"/>
          <c:showLegendKey val="0"/>
          <c:showVal val="1"/>
          <c:showCatName val="0"/>
          <c:showSerName val="0"/>
          <c:showPercent val="0"/>
          <c:showBubbleSize val="0"/>
        </c:dLbls>
        <c:gapWidth val="219"/>
        <c:overlap val="-27"/>
        <c:axId val="161056640"/>
        <c:axId val="172409984"/>
      </c:barChart>
      <c:catAx>
        <c:axId val="161056640"/>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dk1"/>
                    </a:solidFill>
                    <a:latin typeface="+mn-lt"/>
                    <a:ea typeface="+mn-ea"/>
                    <a:cs typeface="+mn-cs"/>
                  </a:defRPr>
                </a:pPr>
                <a:r>
                  <a:rPr lang="en-IN" sz="1100"/>
                  <a:t>Age groups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crossAx val="172409984"/>
        <c:crosses val="autoZero"/>
        <c:auto val="1"/>
        <c:lblAlgn val="ctr"/>
        <c:lblOffset val="100"/>
        <c:noMultiLvlLbl val="0"/>
      </c:catAx>
      <c:valAx>
        <c:axId val="172409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dk1"/>
                    </a:solidFill>
                    <a:latin typeface="+mn-lt"/>
                    <a:ea typeface="+mn-ea"/>
                    <a:cs typeface="+mn-cs"/>
                  </a:defRPr>
                </a:pPr>
                <a:r>
                  <a:rPr lang="en-IN" sz="1100"/>
                  <a:t>Percentage</a:t>
                </a:r>
                <a:r>
                  <a:rPr lang="en-IN" sz="1100" baseline="0"/>
                  <a:t> m</a:t>
                </a:r>
                <a:r>
                  <a:rPr lang="en-IN" sz="1100"/>
                  <a:t>ortality</a:t>
                </a:r>
              </a:p>
            </c:rich>
          </c:tx>
          <c:layout>
            <c:manualLayout>
              <c:xMode val="edge"/>
              <c:yMode val="edge"/>
              <c:x val="1.893939393939394E-2"/>
              <c:y val="0.2008963585434173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crossAx val="1610566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b="1">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Sheet2!$AA$145</c:f>
              <c:strCache>
                <c:ptCount val="1"/>
                <c:pt idx="0">
                  <c:v>Number of Patients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Sheet2!$Z$146:$Z$155</c:f>
              <c:strCache>
                <c:ptCount val="10"/>
                <c:pt idx="0">
                  <c:v>No growth</c:v>
                </c:pt>
                <c:pt idx="1">
                  <c:v>pseudomonas</c:v>
                </c:pt>
                <c:pt idx="2">
                  <c:v>S. Aureus</c:v>
                </c:pt>
                <c:pt idx="3">
                  <c:v>citrobacter diversus</c:v>
                </c:pt>
                <c:pt idx="4">
                  <c:v>Klebsiella</c:v>
                </c:pt>
                <c:pt idx="5">
                  <c:v>citrobacter freundii</c:v>
                </c:pt>
                <c:pt idx="6">
                  <c:v>proteus vulgaris</c:v>
                </c:pt>
                <c:pt idx="7">
                  <c:v>CONS</c:v>
                </c:pt>
                <c:pt idx="8">
                  <c:v>Proteus mirabilis</c:v>
                </c:pt>
                <c:pt idx="9">
                  <c:v>E. coli</c:v>
                </c:pt>
              </c:strCache>
            </c:strRef>
          </c:cat>
          <c:val>
            <c:numRef>
              <c:f>Sheet2!$AA$146:$AA$155</c:f>
              <c:numCache>
                <c:formatCode>General</c:formatCode>
                <c:ptCount val="10"/>
                <c:pt idx="0">
                  <c:v>41</c:v>
                </c:pt>
                <c:pt idx="1">
                  <c:v>10</c:v>
                </c:pt>
                <c:pt idx="2">
                  <c:v>12</c:v>
                </c:pt>
                <c:pt idx="3">
                  <c:v>2</c:v>
                </c:pt>
                <c:pt idx="4">
                  <c:v>6</c:v>
                </c:pt>
                <c:pt idx="5">
                  <c:v>2</c:v>
                </c:pt>
                <c:pt idx="6">
                  <c:v>2</c:v>
                </c:pt>
                <c:pt idx="7">
                  <c:v>6</c:v>
                </c:pt>
                <c:pt idx="8">
                  <c:v>3</c:v>
                </c:pt>
                <c:pt idx="9">
                  <c:v>6</c:v>
                </c:pt>
              </c:numCache>
            </c:numRef>
          </c:val>
          <c:extLst xmlns:c16r2="http://schemas.microsoft.com/office/drawing/2015/06/chart">
            <c:ext xmlns:c16="http://schemas.microsoft.com/office/drawing/2014/chart" uri="{C3380CC4-5D6E-409C-BE32-E72D297353CC}">
              <c16:uniqueId val="{00000000-CC5A-4C8B-B510-B0B7AE8D71ED}"/>
            </c:ext>
          </c:extLst>
        </c:ser>
        <c:dLbls>
          <c:dLblPos val="outEnd"/>
          <c:showLegendKey val="0"/>
          <c:showVal val="1"/>
          <c:showCatName val="0"/>
          <c:showSerName val="0"/>
          <c:showPercent val="0"/>
          <c:showBubbleSize val="0"/>
        </c:dLbls>
        <c:gapWidth val="182"/>
        <c:axId val="225731328"/>
        <c:axId val="225738752"/>
      </c:barChart>
      <c:catAx>
        <c:axId val="225731328"/>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IN" sz="1100" b="1" i="0" baseline="0">
                    <a:effectLst/>
                  </a:rPr>
                  <a:t>Microorganism on Culture sensitivity</a:t>
                </a:r>
              </a:p>
            </c:rich>
          </c:tx>
          <c:layout>
            <c:manualLayout>
              <c:xMode val="edge"/>
              <c:yMode val="edge"/>
              <c:x val="1.7636684303350969E-2"/>
              <c:y val="0.1258251809432911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738752"/>
        <c:crosses val="autoZero"/>
        <c:auto val="1"/>
        <c:lblAlgn val="ctr"/>
        <c:lblOffset val="100"/>
        <c:noMultiLvlLbl val="0"/>
      </c:catAx>
      <c:valAx>
        <c:axId val="225738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1" i="0" baseline="0">
                    <a:effectLst/>
                  </a:rPr>
                  <a:t>Number of Patients</a:t>
                </a:r>
                <a:endParaRPr lang="en-IN" sz="1100" b="1">
                  <a:effectLst/>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731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dk1"/>
                </a:solidFill>
                <a:latin typeface="+mn-lt"/>
                <a:ea typeface="+mn-ea"/>
                <a:cs typeface="+mn-cs"/>
              </a:defRPr>
            </a:pPr>
            <a:r>
              <a:rPr lang="en-US" sz="1100" b="1"/>
              <a:t>Mortality </a:t>
            </a:r>
            <a:r>
              <a:rPr lang="en-US" sz="1100" b="1" i="0" u="none" strike="noStrike" baseline="0">
                <a:effectLst/>
              </a:rPr>
              <a:t>associated</a:t>
            </a:r>
            <a:r>
              <a:rPr lang="en-US" sz="1100" b="1"/>
              <a:t> with % of TBSA burn</a:t>
            </a:r>
          </a:p>
        </c:rich>
      </c:tx>
      <c:overlay val="0"/>
      <c:spPr>
        <a:noFill/>
        <a:ln>
          <a:noFill/>
        </a:ln>
        <a:effectLst/>
      </c:spPr>
    </c:title>
    <c:autoTitleDeleted val="0"/>
    <c:plotArea>
      <c:layout>
        <c:manualLayout>
          <c:layoutTarget val="inner"/>
          <c:xMode val="edge"/>
          <c:yMode val="edge"/>
          <c:x val="0.1422625691206075"/>
          <c:y val="0.15957040572792364"/>
          <c:w val="0.79948500369492648"/>
          <c:h val="0.64994418657095065"/>
        </c:manualLayout>
      </c:layout>
      <c:lineChart>
        <c:grouping val="standard"/>
        <c:varyColors val="0"/>
        <c:ser>
          <c:idx val="0"/>
          <c:order val="0"/>
          <c:tx>
            <c:strRef>
              <c:f>Sheet2!$AK$150</c:f>
              <c:strCache>
                <c:ptCount val="1"/>
                <c:pt idx="0">
                  <c:v>% of Mortality</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Sheet2!$AH$151:$AH$160</c:f>
              <c:strCache>
                <c:ptCount val="10"/>
                <c:pt idx="0">
                  <c:v>0-10</c:v>
                </c:pt>
                <c:pt idx="1">
                  <c:v>11-20.</c:v>
                </c:pt>
                <c:pt idx="2">
                  <c:v>21-30</c:v>
                </c:pt>
                <c:pt idx="3">
                  <c:v>31-40</c:v>
                </c:pt>
                <c:pt idx="4">
                  <c:v>41-50</c:v>
                </c:pt>
                <c:pt idx="5">
                  <c:v>51-60</c:v>
                </c:pt>
                <c:pt idx="6">
                  <c:v>61-70</c:v>
                </c:pt>
                <c:pt idx="7">
                  <c:v>71-80</c:v>
                </c:pt>
                <c:pt idx="8">
                  <c:v>81-90</c:v>
                </c:pt>
                <c:pt idx="9">
                  <c:v>91-100</c:v>
                </c:pt>
              </c:strCache>
            </c:strRef>
          </c:cat>
          <c:val>
            <c:numRef>
              <c:f>Sheet2!$AK$151:$AK$160</c:f>
              <c:numCache>
                <c:formatCode>General</c:formatCode>
                <c:ptCount val="10"/>
                <c:pt idx="0">
                  <c:v>0</c:v>
                </c:pt>
                <c:pt idx="1">
                  <c:v>0</c:v>
                </c:pt>
                <c:pt idx="2">
                  <c:v>15.38</c:v>
                </c:pt>
                <c:pt idx="3">
                  <c:v>28.57</c:v>
                </c:pt>
                <c:pt idx="4">
                  <c:v>38.46</c:v>
                </c:pt>
                <c:pt idx="5">
                  <c:v>72.22</c:v>
                </c:pt>
                <c:pt idx="6">
                  <c:v>100</c:v>
                </c:pt>
                <c:pt idx="7">
                  <c:v>100</c:v>
                </c:pt>
                <c:pt idx="8">
                  <c:v>100</c:v>
                </c:pt>
                <c:pt idx="9">
                  <c:v>100</c:v>
                </c:pt>
              </c:numCache>
            </c:numRef>
          </c:val>
          <c:smooth val="0"/>
          <c:extLst xmlns:c16r2="http://schemas.microsoft.com/office/drawing/2015/06/chart">
            <c:ext xmlns:c16="http://schemas.microsoft.com/office/drawing/2014/chart" uri="{C3380CC4-5D6E-409C-BE32-E72D297353CC}">
              <c16:uniqueId val="{00000001-2216-429C-A2D0-9F4AF1E5DC5F}"/>
            </c:ext>
          </c:extLst>
        </c:ser>
        <c:dLbls>
          <c:dLblPos val="t"/>
          <c:showLegendKey val="0"/>
          <c:showVal val="1"/>
          <c:showCatName val="0"/>
          <c:showSerName val="0"/>
          <c:showPercent val="0"/>
          <c:showBubbleSize val="0"/>
        </c:dLbls>
        <c:marker val="1"/>
        <c:smooth val="0"/>
        <c:axId val="225768960"/>
        <c:axId val="225770880"/>
      </c:lineChart>
      <c:catAx>
        <c:axId val="225768960"/>
        <c:scaling>
          <c:orientation val="minMax"/>
        </c:scaling>
        <c:delete val="0"/>
        <c:axPos val="b"/>
        <c:title>
          <c:tx>
            <c:rich>
              <a:bodyPr rot="0" spcFirstLastPara="1" vertOverflow="ellipsis" vert="horz" wrap="square" anchor="ctr" anchorCtr="1"/>
              <a:lstStyle/>
              <a:p>
                <a:pPr algn="ctr">
                  <a:defRPr sz="1100" b="1" i="0" u="none" strike="noStrike" kern="1200" baseline="0">
                    <a:solidFill>
                      <a:schemeClr val="dk1"/>
                    </a:solidFill>
                    <a:latin typeface="+mn-lt"/>
                    <a:ea typeface="+mn-ea"/>
                    <a:cs typeface="+mn-cs"/>
                  </a:defRPr>
                </a:pPr>
                <a:r>
                  <a:rPr lang="en-IN" sz="1100" b="1"/>
                  <a:t>Percentage of TBSA burn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25770880"/>
        <c:crosses val="autoZero"/>
        <c:auto val="1"/>
        <c:lblAlgn val="ctr"/>
        <c:lblOffset val="100"/>
        <c:noMultiLvlLbl val="0"/>
      </c:catAx>
      <c:valAx>
        <c:axId val="225770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dk1"/>
                    </a:solidFill>
                    <a:latin typeface="+mn-lt"/>
                    <a:ea typeface="+mn-ea"/>
                    <a:cs typeface="+mn-cs"/>
                  </a:defRPr>
                </a:pPr>
                <a:r>
                  <a:rPr lang="en-IN" sz="1100" b="1"/>
                  <a:t>Mortality (%)</a:t>
                </a:r>
              </a:p>
            </c:rich>
          </c:tx>
          <c:layout>
            <c:manualLayout>
              <c:xMode val="edge"/>
              <c:yMode val="edge"/>
              <c:x val="1.6181229773462782E-2"/>
              <c:y val="0.3020483716385093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257689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949372995042285"/>
          <c:y val="0.16126463700234192"/>
          <c:w val="0.79013589967920672"/>
          <c:h val="0.62970366409116896"/>
        </c:manualLayout>
      </c:layout>
      <c:barChart>
        <c:barDir val="col"/>
        <c:grouping val="clustered"/>
        <c:varyColors val="0"/>
        <c:ser>
          <c:idx val="0"/>
          <c:order val="0"/>
          <c:tx>
            <c:strRef>
              <c:f>'Sheet1 (2)'!$AG$148</c:f>
              <c:strCache>
                <c:ptCount val="1"/>
                <c:pt idx="0">
                  <c:v>Average duration of hospital stay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(2)'!$AE$149:$AE$158</c:f>
              <c:strCache>
                <c:ptCount val="10"/>
                <c:pt idx="0">
                  <c:v>0-10</c:v>
                </c:pt>
                <c:pt idx="1">
                  <c:v>11-20.</c:v>
                </c:pt>
                <c:pt idx="2">
                  <c:v>21-30</c:v>
                </c:pt>
                <c:pt idx="3">
                  <c:v>31-40</c:v>
                </c:pt>
                <c:pt idx="4">
                  <c:v>41-50</c:v>
                </c:pt>
                <c:pt idx="5">
                  <c:v>51-60</c:v>
                </c:pt>
                <c:pt idx="6">
                  <c:v>61-70</c:v>
                </c:pt>
                <c:pt idx="7">
                  <c:v>71-80</c:v>
                </c:pt>
                <c:pt idx="8">
                  <c:v>81-90</c:v>
                </c:pt>
                <c:pt idx="9">
                  <c:v>91-100</c:v>
                </c:pt>
              </c:strCache>
            </c:strRef>
          </c:cat>
          <c:val>
            <c:numRef>
              <c:f>'Sheet1 (2)'!$AG$149:$AG$158</c:f>
              <c:numCache>
                <c:formatCode>General</c:formatCode>
                <c:ptCount val="10"/>
                <c:pt idx="0">
                  <c:v>13.57</c:v>
                </c:pt>
                <c:pt idx="1">
                  <c:v>20.239999999999998</c:v>
                </c:pt>
                <c:pt idx="2">
                  <c:v>29.42</c:v>
                </c:pt>
                <c:pt idx="3">
                  <c:v>34.75</c:v>
                </c:pt>
                <c:pt idx="4">
                  <c:v>29.64</c:v>
                </c:pt>
                <c:pt idx="5">
                  <c:v>16.72</c:v>
                </c:pt>
                <c:pt idx="6">
                  <c:v>5.25</c:v>
                </c:pt>
                <c:pt idx="7">
                  <c:v>7.33</c:v>
                </c:pt>
                <c:pt idx="8">
                  <c:v>3.66</c:v>
                </c:pt>
                <c:pt idx="9">
                  <c:v>3</c:v>
                </c:pt>
              </c:numCache>
            </c:numRef>
          </c:val>
          <c:extLst xmlns:c16r2="http://schemas.microsoft.com/office/drawing/2015/06/chart">
            <c:ext xmlns:c16="http://schemas.microsoft.com/office/drawing/2014/chart" uri="{C3380CC4-5D6E-409C-BE32-E72D297353CC}">
              <c16:uniqueId val="{00000000-6DBD-443B-8C78-DB2AD6CC5F81}"/>
            </c:ext>
          </c:extLst>
        </c:ser>
        <c:dLbls>
          <c:dLblPos val="outEnd"/>
          <c:showLegendKey val="0"/>
          <c:showVal val="1"/>
          <c:showCatName val="0"/>
          <c:showSerName val="0"/>
          <c:showPercent val="0"/>
          <c:showBubbleSize val="0"/>
        </c:dLbls>
        <c:gapWidth val="219"/>
        <c:overlap val="-27"/>
        <c:axId val="238497152"/>
        <c:axId val="250194560"/>
      </c:barChart>
      <c:catAx>
        <c:axId val="238497152"/>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IN" sz="1100" b="1"/>
                  <a:t>Percentage of TBSA burn groups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50194560"/>
        <c:crosses val="autoZero"/>
        <c:auto val="1"/>
        <c:lblAlgn val="ctr"/>
        <c:lblOffset val="100"/>
        <c:noMultiLvlLbl val="0"/>
      </c:catAx>
      <c:valAx>
        <c:axId val="250194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IN" sz="1050" b="1"/>
                  <a:t>Average duration of hospital stay (days)</a:t>
                </a:r>
              </a:p>
            </c:rich>
          </c:tx>
          <c:layout>
            <c:manualLayout>
              <c:xMode val="edge"/>
              <c:yMode val="edge"/>
              <c:x val="1.3440860215053764E-2"/>
              <c:y val="0.1223611111111111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384971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vaibh</dc:creator>
  <cp:lastModifiedBy>RDRL</cp:lastModifiedBy>
  <cp:revision>7</cp:revision>
  <cp:lastPrinted>2023-05-08T04:27:00Z</cp:lastPrinted>
  <dcterms:created xsi:type="dcterms:W3CDTF">2023-04-30T07:44:00Z</dcterms:created>
  <dcterms:modified xsi:type="dcterms:W3CDTF">2023-05-08T04:28:00Z</dcterms:modified>
</cp:coreProperties>
</file>