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CA20" w14:textId="77777777" w:rsidR="00BB1154" w:rsidRPr="00BB1154" w:rsidRDefault="00BB1154" w:rsidP="00BB1154">
      <w:pPr>
        <w:pStyle w:val="NormalWeb"/>
        <w:shd w:val="clear" w:color="auto" w:fill="FFFFFF"/>
        <w:spacing w:before="0" w:beforeAutospacing="0" w:after="0" w:afterAutospacing="0" w:line="360" w:lineRule="auto"/>
        <w:rPr>
          <w:rFonts w:ascii="Cambria" w:hAnsi="Cambria"/>
          <w:b/>
          <w:bCs/>
        </w:rPr>
      </w:pPr>
      <w:r w:rsidRPr="00BB1154">
        <w:rPr>
          <w:rFonts w:ascii="Cambria" w:hAnsi="Cambria"/>
          <w:b/>
          <w:bCs/>
          <w:highlight w:val="lightGray"/>
        </w:rPr>
        <w:t>Original article</w:t>
      </w:r>
    </w:p>
    <w:p w14:paraId="128DAE6E" w14:textId="3F0E6486" w:rsidR="00445CB1" w:rsidRPr="00BB1154" w:rsidRDefault="00445CB1" w:rsidP="00BB1154">
      <w:pPr>
        <w:pStyle w:val="NormalWeb"/>
        <w:shd w:val="clear" w:color="auto" w:fill="FFFFFF"/>
        <w:spacing w:before="0" w:beforeAutospacing="0" w:after="0" w:afterAutospacing="0" w:line="360" w:lineRule="auto"/>
        <w:rPr>
          <w:rFonts w:ascii="Cambria" w:hAnsi="Cambria"/>
          <w:b/>
          <w:bCs/>
          <w:color w:val="0070C0"/>
          <w:sz w:val="28"/>
          <w:szCs w:val="28"/>
        </w:rPr>
      </w:pPr>
      <w:r w:rsidRPr="00BB1154">
        <w:rPr>
          <w:rFonts w:ascii="Cambria" w:hAnsi="Cambria"/>
          <w:b/>
          <w:bCs/>
          <w:color w:val="0070C0"/>
          <w:sz w:val="28"/>
          <w:szCs w:val="28"/>
        </w:rPr>
        <w:t>S</w:t>
      </w:r>
      <w:r w:rsidR="00BB1154" w:rsidRPr="00BB1154">
        <w:rPr>
          <w:rFonts w:ascii="Cambria" w:hAnsi="Cambria"/>
          <w:b/>
          <w:bCs/>
          <w:color w:val="0070C0"/>
          <w:sz w:val="28"/>
          <w:szCs w:val="28"/>
        </w:rPr>
        <w:t>tudy of upper gastrointestinal lesions on endoscopy in patients with severe anaemia</w:t>
      </w:r>
    </w:p>
    <w:p w14:paraId="72ADFDF9" w14:textId="196D002E" w:rsidR="00BB1154" w:rsidRPr="00BB1154" w:rsidRDefault="00BB1154" w:rsidP="00BB1154">
      <w:pPr>
        <w:shd w:val="clear" w:color="auto" w:fill="FFFFFF"/>
        <w:spacing w:line="360" w:lineRule="auto"/>
        <w:rPr>
          <w:rFonts w:ascii="Cambria" w:eastAsia="Times New Roman" w:hAnsi="Cambria" w:cs="Times New Roman"/>
          <w:b/>
          <w:sz w:val="18"/>
          <w:szCs w:val="18"/>
          <w:lang w:eastAsia="en-GB"/>
        </w:rPr>
      </w:pPr>
      <w:r w:rsidRPr="00BB1154">
        <w:rPr>
          <w:rFonts w:ascii="Cambria" w:eastAsia="Times New Roman" w:hAnsi="Cambria" w:cs="Times New Roman"/>
          <w:b/>
          <w:sz w:val="18"/>
          <w:szCs w:val="18"/>
          <w:vertAlign w:val="superscript"/>
          <w:lang w:eastAsia="en-GB"/>
        </w:rPr>
        <w:t>1</w:t>
      </w:r>
      <w:r w:rsidR="00445CB1" w:rsidRPr="00BB1154">
        <w:rPr>
          <w:rFonts w:ascii="Cambria" w:eastAsia="Times New Roman" w:hAnsi="Cambria" w:cs="Times New Roman"/>
          <w:b/>
          <w:sz w:val="18"/>
          <w:szCs w:val="18"/>
          <w:lang w:eastAsia="en-GB"/>
        </w:rPr>
        <w:t xml:space="preserve">Dr. SHRIGOURI REDDY, </w:t>
      </w:r>
      <w:r w:rsidRPr="00BB1154">
        <w:rPr>
          <w:rFonts w:ascii="Cambria" w:eastAsia="Times New Roman" w:hAnsi="Cambria" w:cs="Times New Roman"/>
          <w:b/>
          <w:sz w:val="18"/>
          <w:szCs w:val="18"/>
          <w:vertAlign w:val="superscript"/>
          <w:lang w:eastAsia="en-GB"/>
        </w:rPr>
        <w:t>2</w:t>
      </w:r>
      <w:r w:rsidRPr="00BB1154">
        <w:rPr>
          <w:rFonts w:ascii="Cambria" w:eastAsia="Times New Roman" w:hAnsi="Cambria" w:cs="Times New Roman"/>
          <w:b/>
          <w:sz w:val="18"/>
          <w:szCs w:val="18"/>
          <w:lang w:eastAsia="en-GB"/>
        </w:rPr>
        <w:t xml:space="preserve">Dr. BHUMIKA VAISHNAV, </w:t>
      </w:r>
      <w:r w:rsidRPr="00BB1154">
        <w:rPr>
          <w:rFonts w:ascii="Cambria" w:eastAsia="Times New Roman" w:hAnsi="Cambria" w:cs="Times New Roman"/>
          <w:b/>
          <w:sz w:val="18"/>
          <w:szCs w:val="18"/>
          <w:vertAlign w:val="superscript"/>
          <w:lang w:eastAsia="en-GB"/>
        </w:rPr>
        <w:t>3</w:t>
      </w:r>
      <w:r w:rsidRPr="00BB1154">
        <w:rPr>
          <w:rFonts w:ascii="Cambria" w:eastAsia="Times New Roman" w:hAnsi="Cambria" w:cs="Times New Roman"/>
          <w:b/>
          <w:sz w:val="18"/>
          <w:szCs w:val="18"/>
          <w:lang w:eastAsia="en-GB"/>
        </w:rPr>
        <w:t xml:space="preserve">Dr. TUSHAR V TONDE, </w:t>
      </w:r>
      <w:r w:rsidRPr="00BB1154">
        <w:rPr>
          <w:rFonts w:ascii="Cambria" w:eastAsia="Times New Roman" w:hAnsi="Cambria" w:cs="Times New Roman"/>
          <w:b/>
          <w:sz w:val="18"/>
          <w:szCs w:val="18"/>
          <w:vertAlign w:val="superscript"/>
          <w:lang w:eastAsia="en-GB"/>
        </w:rPr>
        <w:t>4</w:t>
      </w:r>
      <w:r w:rsidRPr="00BB1154">
        <w:rPr>
          <w:rFonts w:ascii="Cambria" w:eastAsia="Times New Roman" w:hAnsi="Cambria" w:cs="Times New Roman"/>
          <w:b/>
          <w:sz w:val="18"/>
          <w:szCs w:val="18"/>
          <w:lang w:eastAsia="en-GB"/>
        </w:rPr>
        <w:t xml:space="preserve"> </w:t>
      </w:r>
      <w:proofErr w:type="spellStart"/>
      <w:r w:rsidRPr="00BB1154">
        <w:rPr>
          <w:rFonts w:ascii="Cambria" w:eastAsia="Times New Roman" w:hAnsi="Cambria" w:cs="Times New Roman"/>
          <w:b/>
          <w:sz w:val="18"/>
          <w:szCs w:val="18"/>
          <w:lang w:eastAsia="en-GB"/>
        </w:rPr>
        <w:t>Dr.</w:t>
      </w:r>
      <w:proofErr w:type="spellEnd"/>
      <w:r w:rsidRPr="00BB1154">
        <w:rPr>
          <w:rFonts w:ascii="Cambria" w:eastAsia="Times New Roman" w:hAnsi="Cambria" w:cs="Times New Roman"/>
          <w:b/>
          <w:sz w:val="18"/>
          <w:szCs w:val="18"/>
          <w:lang w:eastAsia="en-GB"/>
        </w:rPr>
        <w:t xml:space="preserve"> PRAGYA SHARMA, </w:t>
      </w:r>
      <w:r>
        <w:rPr>
          <w:rFonts w:ascii="Cambria" w:eastAsia="Times New Roman" w:hAnsi="Cambria" w:cs="Times New Roman"/>
          <w:b/>
          <w:sz w:val="18"/>
          <w:szCs w:val="18"/>
          <w:lang w:eastAsia="en-GB"/>
        </w:rPr>
        <w:t xml:space="preserve">                          </w:t>
      </w:r>
      <w:r w:rsidRPr="00BB1154">
        <w:rPr>
          <w:rFonts w:ascii="Cambria" w:eastAsia="Times New Roman" w:hAnsi="Cambria" w:cs="Times New Roman"/>
          <w:b/>
          <w:sz w:val="18"/>
          <w:szCs w:val="18"/>
          <w:vertAlign w:val="superscript"/>
          <w:lang w:eastAsia="en-GB"/>
        </w:rPr>
        <w:t>5</w:t>
      </w:r>
      <w:r w:rsidRPr="00BB1154">
        <w:rPr>
          <w:rFonts w:ascii="Cambria" w:eastAsia="Times New Roman" w:hAnsi="Cambria" w:cs="Times New Roman"/>
          <w:b/>
          <w:sz w:val="18"/>
          <w:szCs w:val="18"/>
          <w:lang w:eastAsia="en-GB"/>
        </w:rPr>
        <w:t>Dr. K. M. FARHANULLA BASHA</w:t>
      </w:r>
    </w:p>
    <w:p w14:paraId="34110CF8" w14:textId="77777777" w:rsidR="00BB1154" w:rsidRPr="00BB1154" w:rsidRDefault="00BB1154" w:rsidP="00BB1154">
      <w:pPr>
        <w:shd w:val="clear" w:color="auto" w:fill="FFFFFF"/>
        <w:spacing w:line="360" w:lineRule="auto"/>
        <w:jc w:val="both"/>
        <w:rPr>
          <w:rFonts w:ascii="Cambria" w:eastAsia="Times New Roman" w:hAnsi="Cambria" w:cs="Times New Roman"/>
          <w:sz w:val="20"/>
          <w:szCs w:val="20"/>
          <w:lang w:eastAsia="en-GB"/>
        </w:rPr>
      </w:pPr>
    </w:p>
    <w:p w14:paraId="5FCE6381" w14:textId="0D2B5D2A" w:rsidR="00445CB1" w:rsidRPr="00BB1154" w:rsidRDefault="00BB1154" w:rsidP="00483F42">
      <w:pPr>
        <w:shd w:val="clear" w:color="auto" w:fill="FFFFFF"/>
        <w:spacing w:line="360" w:lineRule="auto"/>
        <w:rPr>
          <w:rFonts w:ascii="Cambria" w:eastAsia="Times New Roman" w:hAnsi="Cambria" w:cs="Times New Roman"/>
          <w:sz w:val="18"/>
          <w:szCs w:val="18"/>
          <w:lang w:eastAsia="en-GB"/>
        </w:rPr>
      </w:pPr>
      <w:r w:rsidRPr="00BB1154">
        <w:rPr>
          <w:rFonts w:ascii="Cambria" w:eastAsia="Times New Roman" w:hAnsi="Cambria" w:cs="Times New Roman"/>
          <w:sz w:val="18"/>
          <w:szCs w:val="18"/>
          <w:vertAlign w:val="superscript"/>
          <w:lang w:eastAsia="en-GB"/>
        </w:rPr>
        <w:t>1</w:t>
      </w:r>
      <w:r w:rsidR="00445CB1" w:rsidRPr="00BB1154">
        <w:rPr>
          <w:rFonts w:ascii="Cambria" w:eastAsia="Times New Roman" w:hAnsi="Cambria" w:cs="Times New Roman"/>
          <w:sz w:val="18"/>
          <w:szCs w:val="18"/>
          <w:lang w:eastAsia="en-GB"/>
        </w:rPr>
        <w:t xml:space="preserve">JUNIOR RESIDENT, DEPARTMENT OF GENERAL MEDICINE, </w:t>
      </w:r>
      <w:proofErr w:type="spellStart"/>
      <w:r w:rsidR="00445CB1" w:rsidRPr="00BB1154">
        <w:rPr>
          <w:rFonts w:ascii="Cambria" w:eastAsia="Times New Roman" w:hAnsi="Cambria" w:cs="Times New Roman"/>
          <w:sz w:val="18"/>
          <w:szCs w:val="18"/>
          <w:lang w:eastAsia="en-GB"/>
        </w:rPr>
        <w:t>Dr.</w:t>
      </w:r>
      <w:proofErr w:type="spellEnd"/>
      <w:r w:rsidR="00445CB1" w:rsidRPr="00BB1154">
        <w:rPr>
          <w:rFonts w:ascii="Cambria" w:eastAsia="Times New Roman" w:hAnsi="Cambria" w:cs="Times New Roman"/>
          <w:sz w:val="18"/>
          <w:szCs w:val="18"/>
          <w:lang w:eastAsia="en-GB"/>
        </w:rPr>
        <w:t xml:space="preserve"> D Y PATIL MEDICAL COLLEGE, HOSPITAL AND RESEARCH CENTER, PIMPRI, PUNE. 411018 </w:t>
      </w:r>
    </w:p>
    <w:p w14:paraId="33CC052C" w14:textId="26333961" w:rsidR="00445CB1" w:rsidRPr="00BB1154" w:rsidRDefault="00BB1154" w:rsidP="00483F42">
      <w:pPr>
        <w:shd w:val="clear" w:color="auto" w:fill="FFFFFF"/>
        <w:spacing w:line="360" w:lineRule="auto"/>
        <w:rPr>
          <w:rFonts w:ascii="Cambria" w:eastAsia="Times New Roman" w:hAnsi="Cambria" w:cs="Times New Roman"/>
          <w:sz w:val="18"/>
          <w:szCs w:val="18"/>
          <w:lang w:eastAsia="en-GB"/>
        </w:rPr>
      </w:pPr>
      <w:r w:rsidRPr="00BB1154">
        <w:rPr>
          <w:rFonts w:ascii="Cambria" w:eastAsia="Times New Roman" w:hAnsi="Cambria" w:cs="Times New Roman"/>
          <w:sz w:val="18"/>
          <w:szCs w:val="18"/>
          <w:vertAlign w:val="superscript"/>
          <w:lang w:eastAsia="en-GB"/>
        </w:rPr>
        <w:t>2</w:t>
      </w:r>
      <w:r w:rsidR="00445CB1" w:rsidRPr="00BB1154">
        <w:rPr>
          <w:rFonts w:ascii="Cambria" w:eastAsia="Times New Roman" w:hAnsi="Cambria" w:cs="Times New Roman"/>
          <w:sz w:val="18"/>
          <w:szCs w:val="18"/>
          <w:lang w:eastAsia="en-GB"/>
        </w:rPr>
        <w:t xml:space="preserve">PROFESSOR, DEPARTMENT OF  GENERAL MEDICINE, </w:t>
      </w:r>
      <w:proofErr w:type="spellStart"/>
      <w:r w:rsidR="00445CB1" w:rsidRPr="00BB1154">
        <w:rPr>
          <w:rFonts w:ascii="Cambria" w:eastAsia="Times New Roman" w:hAnsi="Cambria" w:cs="Times New Roman"/>
          <w:sz w:val="18"/>
          <w:szCs w:val="18"/>
          <w:lang w:eastAsia="en-GB"/>
        </w:rPr>
        <w:t>Dr.</w:t>
      </w:r>
      <w:proofErr w:type="spellEnd"/>
      <w:r w:rsidR="00445CB1" w:rsidRPr="00BB1154">
        <w:rPr>
          <w:rFonts w:ascii="Cambria" w:eastAsia="Times New Roman" w:hAnsi="Cambria" w:cs="Times New Roman"/>
          <w:sz w:val="18"/>
          <w:szCs w:val="18"/>
          <w:lang w:eastAsia="en-GB"/>
        </w:rPr>
        <w:t xml:space="preserve"> D Y PATIL MEDICAL COLLEGE, HOSPITAL AND RESEARCH CENTER, PIMPRI, PUNE. 411018. </w:t>
      </w:r>
    </w:p>
    <w:p w14:paraId="204312D3" w14:textId="58DC81A3" w:rsidR="00445CB1" w:rsidRPr="00BB1154" w:rsidRDefault="00BB1154" w:rsidP="00483F42">
      <w:pPr>
        <w:shd w:val="clear" w:color="auto" w:fill="FFFFFF"/>
        <w:spacing w:line="360" w:lineRule="auto"/>
        <w:rPr>
          <w:rFonts w:ascii="Cambria" w:eastAsia="Times New Roman" w:hAnsi="Cambria" w:cs="Times New Roman"/>
          <w:sz w:val="18"/>
          <w:szCs w:val="18"/>
          <w:lang w:eastAsia="en-GB"/>
        </w:rPr>
      </w:pPr>
      <w:r w:rsidRPr="00BB1154">
        <w:rPr>
          <w:rFonts w:ascii="Cambria" w:eastAsia="Times New Roman" w:hAnsi="Cambria" w:cs="Times New Roman"/>
          <w:sz w:val="18"/>
          <w:szCs w:val="18"/>
          <w:vertAlign w:val="superscript"/>
          <w:lang w:eastAsia="en-GB"/>
        </w:rPr>
        <w:t>3</w:t>
      </w:r>
      <w:r w:rsidR="00445CB1" w:rsidRPr="00BB1154">
        <w:rPr>
          <w:rFonts w:ascii="Cambria" w:eastAsia="Times New Roman" w:hAnsi="Cambria" w:cs="Times New Roman"/>
          <w:sz w:val="18"/>
          <w:szCs w:val="18"/>
          <w:lang w:eastAsia="en-GB"/>
        </w:rPr>
        <w:t xml:space="preserve">FACULTY, DEPARTMENT OF GENERAL MEDICINE, </w:t>
      </w:r>
      <w:proofErr w:type="spellStart"/>
      <w:r w:rsidR="00445CB1" w:rsidRPr="00BB1154">
        <w:rPr>
          <w:rFonts w:ascii="Cambria" w:eastAsia="Times New Roman" w:hAnsi="Cambria" w:cs="Times New Roman"/>
          <w:sz w:val="18"/>
          <w:szCs w:val="18"/>
          <w:lang w:eastAsia="en-GB"/>
        </w:rPr>
        <w:t>Dr.</w:t>
      </w:r>
      <w:proofErr w:type="spellEnd"/>
      <w:r w:rsidR="00445CB1" w:rsidRPr="00BB1154">
        <w:rPr>
          <w:rFonts w:ascii="Cambria" w:eastAsia="Times New Roman" w:hAnsi="Cambria" w:cs="Times New Roman"/>
          <w:sz w:val="18"/>
          <w:szCs w:val="18"/>
          <w:lang w:eastAsia="en-GB"/>
        </w:rPr>
        <w:t xml:space="preserve"> D Y PATIL MEDICAL COLLEGE, HOSPITAL AND RESEARCH CENTER, PIMPRI, PUNE. 411018. </w:t>
      </w:r>
    </w:p>
    <w:p w14:paraId="6ADF6AF6" w14:textId="691A3B56" w:rsidR="00445CB1" w:rsidRPr="00BB1154" w:rsidRDefault="00BB1154" w:rsidP="00483F42">
      <w:pPr>
        <w:shd w:val="clear" w:color="auto" w:fill="FFFFFF"/>
        <w:spacing w:line="360" w:lineRule="auto"/>
        <w:rPr>
          <w:rFonts w:ascii="Cambria" w:eastAsia="Times New Roman" w:hAnsi="Cambria" w:cs="Times New Roman"/>
          <w:sz w:val="18"/>
          <w:szCs w:val="18"/>
          <w:lang w:eastAsia="en-GB"/>
        </w:rPr>
      </w:pPr>
      <w:r w:rsidRPr="00BB1154">
        <w:rPr>
          <w:rFonts w:ascii="Cambria" w:eastAsia="Times New Roman" w:hAnsi="Cambria" w:cs="Times New Roman"/>
          <w:sz w:val="18"/>
          <w:szCs w:val="18"/>
          <w:vertAlign w:val="superscript"/>
          <w:lang w:eastAsia="en-GB"/>
        </w:rPr>
        <w:t>4</w:t>
      </w:r>
      <w:r w:rsidR="00445CB1" w:rsidRPr="00BB1154">
        <w:rPr>
          <w:rFonts w:ascii="Cambria" w:eastAsia="Times New Roman" w:hAnsi="Cambria" w:cs="Times New Roman"/>
          <w:sz w:val="18"/>
          <w:szCs w:val="18"/>
          <w:lang w:eastAsia="en-GB"/>
        </w:rPr>
        <w:t>JUNIOR</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RESIDENT,</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DEPARTMENT</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OF</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GENERAL MEDICINE,</w:t>
      </w:r>
      <w:r w:rsidR="00460621" w:rsidRPr="00BB1154">
        <w:rPr>
          <w:rFonts w:ascii="Cambria" w:eastAsia="Times New Roman" w:hAnsi="Cambria" w:cs="Times New Roman"/>
          <w:sz w:val="18"/>
          <w:szCs w:val="18"/>
          <w:lang w:eastAsia="en-GB"/>
        </w:rPr>
        <w:t xml:space="preserve"> </w:t>
      </w:r>
      <w:proofErr w:type="spellStart"/>
      <w:r w:rsidR="00445CB1" w:rsidRPr="00BB1154">
        <w:rPr>
          <w:rFonts w:ascii="Cambria" w:eastAsia="Times New Roman" w:hAnsi="Cambria" w:cs="Times New Roman"/>
          <w:sz w:val="18"/>
          <w:szCs w:val="18"/>
          <w:lang w:eastAsia="en-GB"/>
        </w:rPr>
        <w:t>Dr.</w:t>
      </w:r>
      <w:proofErr w:type="spellEnd"/>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D</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Y</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PATIL</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MEDICAL</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COLLEGE,</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HOSPITAL</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AND</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RESEARCH</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CENTER,</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PIMPRI,</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 xml:space="preserve">PUNE. 411018. </w:t>
      </w:r>
    </w:p>
    <w:p w14:paraId="455A7FFB" w14:textId="1E663776" w:rsidR="00445CB1" w:rsidRPr="00BB1154" w:rsidRDefault="00BB1154" w:rsidP="00483F42">
      <w:pPr>
        <w:shd w:val="clear" w:color="auto" w:fill="FFFFFF"/>
        <w:spacing w:line="360" w:lineRule="auto"/>
        <w:rPr>
          <w:rFonts w:ascii="Cambria" w:eastAsia="Times New Roman" w:hAnsi="Cambria" w:cs="Times New Roman"/>
          <w:sz w:val="18"/>
          <w:szCs w:val="18"/>
          <w:lang w:eastAsia="en-GB"/>
        </w:rPr>
      </w:pPr>
      <w:r w:rsidRPr="00BB1154">
        <w:rPr>
          <w:rFonts w:ascii="Cambria" w:eastAsia="Times New Roman" w:hAnsi="Cambria" w:cs="Times New Roman"/>
          <w:sz w:val="18"/>
          <w:szCs w:val="18"/>
          <w:vertAlign w:val="superscript"/>
          <w:lang w:eastAsia="en-GB"/>
        </w:rPr>
        <w:t>5</w:t>
      </w:r>
      <w:r w:rsidR="00445CB1" w:rsidRPr="00BB1154">
        <w:rPr>
          <w:rFonts w:ascii="Cambria" w:eastAsia="Times New Roman" w:hAnsi="Cambria" w:cs="Times New Roman"/>
          <w:sz w:val="18"/>
          <w:szCs w:val="18"/>
          <w:lang w:eastAsia="en-GB"/>
        </w:rPr>
        <w:t>JUNIOR</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RESIDENT,</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DEPARTMENT</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OF</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GENERAL</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MEDICINE,</w:t>
      </w:r>
      <w:r w:rsidR="00460621" w:rsidRPr="00BB1154">
        <w:rPr>
          <w:rFonts w:ascii="Cambria" w:eastAsia="Times New Roman" w:hAnsi="Cambria" w:cs="Times New Roman"/>
          <w:sz w:val="18"/>
          <w:szCs w:val="18"/>
          <w:lang w:eastAsia="en-GB"/>
        </w:rPr>
        <w:t xml:space="preserve"> </w:t>
      </w:r>
      <w:proofErr w:type="spellStart"/>
      <w:r w:rsidR="00445CB1" w:rsidRPr="00BB1154">
        <w:rPr>
          <w:rFonts w:ascii="Cambria" w:eastAsia="Times New Roman" w:hAnsi="Cambria" w:cs="Times New Roman"/>
          <w:sz w:val="18"/>
          <w:szCs w:val="18"/>
          <w:lang w:eastAsia="en-GB"/>
        </w:rPr>
        <w:t>Dr.</w:t>
      </w:r>
      <w:proofErr w:type="spellEnd"/>
      <w:r w:rsidR="00445CB1" w:rsidRPr="00BB1154">
        <w:rPr>
          <w:rFonts w:ascii="Cambria" w:eastAsia="Times New Roman" w:hAnsi="Cambria" w:cs="Times New Roman"/>
          <w:sz w:val="18"/>
          <w:szCs w:val="18"/>
          <w:lang w:eastAsia="en-GB"/>
        </w:rPr>
        <w:t xml:space="preserve"> </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D</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Y</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PATIL</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MEDICAL</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COLLEGE,</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HOSPITAL</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AND</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RESEARCH</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CENTER,</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PIMPRI,</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PUNE.</w:t>
      </w:r>
      <w:r w:rsidR="00460621" w:rsidRPr="00BB1154">
        <w:rPr>
          <w:rFonts w:ascii="Cambria" w:eastAsia="Times New Roman" w:hAnsi="Cambria" w:cs="Times New Roman"/>
          <w:sz w:val="18"/>
          <w:szCs w:val="18"/>
          <w:lang w:eastAsia="en-GB"/>
        </w:rPr>
        <w:t xml:space="preserve"> </w:t>
      </w:r>
      <w:r w:rsidR="00445CB1" w:rsidRPr="00BB1154">
        <w:rPr>
          <w:rFonts w:ascii="Cambria" w:eastAsia="Times New Roman" w:hAnsi="Cambria" w:cs="Times New Roman"/>
          <w:sz w:val="18"/>
          <w:szCs w:val="18"/>
          <w:lang w:eastAsia="en-GB"/>
        </w:rPr>
        <w:t xml:space="preserve">411018. </w:t>
      </w:r>
    </w:p>
    <w:p w14:paraId="1BA431EC" w14:textId="773E1209" w:rsidR="00445CB1" w:rsidRPr="00BB1154" w:rsidRDefault="00BB1154" w:rsidP="00483F42">
      <w:pPr>
        <w:pStyle w:val="NormalWeb"/>
        <w:shd w:val="clear" w:color="auto" w:fill="FFFFFF"/>
        <w:spacing w:before="0" w:beforeAutospacing="0" w:after="0" w:afterAutospacing="0" w:line="360" w:lineRule="auto"/>
        <w:rPr>
          <w:rFonts w:ascii="Cambria" w:hAnsi="Cambria"/>
          <w:b/>
          <w:bCs/>
          <w:sz w:val="18"/>
          <w:szCs w:val="18"/>
        </w:rPr>
      </w:pPr>
      <w:r w:rsidRPr="00BB1154">
        <w:rPr>
          <w:rFonts w:ascii="Cambria" w:hAnsi="Cambria"/>
          <w:sz w:val="18"/>
          <w:szCs w:val="18"/>
        </w:rPr>
        <w:t xml:space="preserve">Corresponding Author: </w:t>
      </w:r>
      <w:proofErr w:type="spellStart"/>
      <w:r w:rsidRPr="00BB1154">
        <w:rPr>
          <w:rFonts w:ascii="Cambria" w:hAnsi="Cambria"/>
          <w:sz w:val="18"/>
          <w:szCs w:val="18"/>
        </w:rPr>
        <w:t>Dr.</w:t>
      </w:r>
      <w:proofErr w:type="spellEnd"/>
      <w:r w:rsidRPr="00BB1154">
        <w:rPr>
          <w:rFonts w:ascii="Cambria" w:hAnsi="Cambria"/>
          <w:sz w:val="18"/>
          <w:szCs w:val="18"/>
        </w:rPr>
        <w:t xml:space="preserve"> SHRIGOURI REDDY</w:t>
      </w:r>
    </w:p>
    <w:p w14:paraId="386FA3F7" w14:textId="77777777" w:rsidR="005002CC" w:rsidRPr="00BB1154" w:rsidRDefault="005002CC" w:rsidP="00BB1154">
      <w:pPr>
        <w:pStyle w:val="NormalWeb"/>
        <w:shd w:val="clear" w:color="auto" w:fill="FFFFFF"/>
        <w:spacing w:before="0" w:beforeAutospacing="0" w:after="0" w:afterAutospacing="0" w:line="360" w:lineRule="auto"/>
        <w:jc w:val="both"/>
        <w:rPr>
          <w:b/>
          <w:bCs/>
          <w:sz w:val="20"/>
          <w:szCs w:val="20"/>
        </w:rPr>
      </w:pPr>
    </w:p>
    <w:p w14:paraId="3B0612DE" w14:textId="77777777" w:rsidR="005002CC" w:rsidRPr="00BB1154" w:rsidRDefault="005002CC" w:rsidP="00BB1154">
      <w:pPr>
        <w:shd w:val="clear" w:color="auto" w:fill="FFFFFF"/>
        <w:spacing w:line="360" w:lineRule="auto"/>
        <w:jc w:val="both"/>
        <w:rPr>
          <w:rFonts w:ascii="Times New Roman" w:eastAsia="Times New Roman" w:hAnsi="Times New Roman" w:cs="Times New Roman"/>
          <w:b/>
          <w:bCs/>
          <w:sz w:val="20"/>
          <w:szCs w:val="20"/>
          <w:lang w:eastAsia="en-GB"/>
        </w:rPr>
      </w:pPr>
      <w:r w:rsidRPr="00BB1154">
        <w:rPr>
          <w:rFonts w:ascii="Times New Roman" w:eastAsia="Times New Roman" w:hAnsi="Times New Roman" w:cs="Times New Roman"/>
          <w:b/>
          <w:bCs/>
          <w:sz w:val="20"/>
          <w:szCs w:val="20"/>
          <w:lang w:eastAsia="en-GB"/>
        </w:rPr>
        <w:t xml:space="preserve">Abstract </w:t>
      </w:r>
    </w:p>
    <w:p w14:paraId="0E6F51D7" w14:textId="4C9315DD" w:rsidR="005002CC" w:rsidRPr="00BB1154" w:rsidRDefault="005002CC" w:rsidP="00BB1154">
      <w:pPr>
        <w:shd w:val="clear" w:color="auto" w:fill="FFFFFF"/>
        <w:spacing w:line="360" w:lineRule="auto"/>
        <w:jc w:val="both"/>
        <w:rPr>
          <w:rFonts w:ascii="Times New Roman" w:eastAsia="Arial" w:hAnsi="Times New Roman" w:cs="Times New Roman"/>
          <w:color w:val="000000"/>
          <w:sz w:val="18"/>
          <w:szCs w:val="18"/>
        </w:rPr>
      </w:pPr>
      <w:r w:rsidRPr="00BB1154">
        <w:rPr>
          <w:rFonts w:ascii="Times New Roman" w:eastAsia="Times New Roman" w:hAnsi="Times New Roman" w:cs="Times New Roman"/>
          <w:b/>
          <w:bCs/>
          <w:sz w:val="18"/>
          <w:szCs w:val="18"/>
          <w:lang w:eastAsia="en-GB"/>
        </w:rPr>
        <w:t>Introduction</w:t>
      </w:r>
      <w:r w:rsidR="00BB1154" w:rsidRPr="00BB1154">
        <w:rPr>
          <w:rFonts w:ascii="Times New Roman" w:eastAsia="Times New Roman" w:hAnsi="Times New Roman" w:cs="Times New Roman"/>
          <w:sz w:val="18"/>
          <w:szCs w:val="18"/>
          <w:lang w:eastAsia="en-GB"/>
        </w:rPr>
        <w:t xml:space="preserve">: </w:t>
      </w:r>
      <w:r w:rsidRPr="00BB1154">
        <w:rPr>
          <w:rFonts w:ascii="Times New Roman" w:hAnsi="Times New Roman" w:cs="Times New Roman"/>
          <w:sz w:val="18"/>
          <w:szCs w:val="18"/>
        </w:rPr>
        <w:t>Anaemia occurs in late stages of iron deficiency and thus, on estimation the prevalence of iron deficient state is 2.5 times more than iron deficiency anaemia (IDA).</w:t>
      </w:r>
      <w:r w:rsidRPr="00BB1154">
        <w:rPr>
          <w:rFonts w:ascii="Times New Roman" w:hAnsi="Times New Roman" w:cs="Times New Roman"/>
          <w:sz w:val="18"/>
          <w:szCs w:val="18"/>
          <w:vertAlign w:val="superscript"/>
        </w:rPr>
        <w:t xml:space="preserve"> </w:t>
      </w:r>
      <w:r w:rsidRPr="00BB1154">
        <w:rPr>
          <w:rFonts w:ascii="Times New Roman" w:hAnsi="Times New Roman" w:cs="Times New Roman"/>
          <w:sz w:val="18"/>
          <w:szCs w:val="18"/>
        </w:rPr>
        <w:t xml:space="preserve">Chronic bleeding in the gastrointestinal tract is the leading cause of IDA in population above 50 years. </w:t>
      </w:r>
      <w:r w:rsidRPr="00BB1154">
        <w:rPr>
          <w:rFonts w:ascii="Times New Roman" w:eastAsia="Arial" w:hAnsi="Times New Roman" w:cs="Times New Roman"/>
          <w:color w:val="000000"/>
          <w:sz w:val="18"/>
          <w:szCs w:val="18"/>
        </w:rPr>
        <w:t xml:space="preserve">Occult gastrointestinal bleeding is a common cause of IDA. Recent evidence suggests that most of patients with iron deficiency anaemia </w:t>
      </w:r>
      <w:proofErr w:type="gramStart"/>
      <w:r w:rsidRPr="00BB1154">
        <w:rPr>
          <w:rFonts w:ascii="Times New Roman" w:eastAsia="Arial" w:hAnsi="Times New Roman" w:cs="Times New Roman"/>
          <w:color w:val="000000"/>
          <w:sz w:val="18"/>
          <w:szCs w:val="18"/>
        </w:rPr>
        <w:t>has</w:t>
      </w:r>
      <w:proofErr w:type="gramEnd"/>
      <w:r w:rsidRPr="00BB1154">
        <w:rPr>
          <w:rFonts w:ascii="Times New Roman" w:eastAsia="Arial" w:hAnsi="Times New Roman" w:cs="Times New Roman"/>
          <w:color w:val="000000"/>
          <w:sz w:val="18"/>
          <w:szCs w:val="18"/>
        </w:rPr>
        <w:t xml:space="preserve"> a significant gastrointestinal tract pathological lesion.</w:t>
      </w:r>
    </w:p>
    <w:p w14:paraId="250F177B" w14:textId="3F8496F2" w:rsidR="005002CC" w:rsidRPr="00BB1154" w:rsidRDefault="005002CC" w:rsidP="00BB1154">
      <w:pPr>
        <w:spacing w:line="360" w:lineRule="auto"/>
        <w:ind w:right="7"/>
        <w:jc w:val="both"/>
        <w:rPr>
          <w:rFonts w:ascii="Times New Roman" w:hAnsi="Times New Roman" w:cs="Times New Roman"/>
          <w:sz w:val="18"/>
          <w:szCs w:val="18"/>
        </w:rPr>
      </w:pPr>
      <w:r w:rsidRPr="00BB1154">
        <w:rPr>
          <w:rFonts w:ascii="Times New Roman" w:eastAsia="Arial" w:hAnsi="Times New Roman" w:cs="Times New Roman"/>
          <w:b/>
          <w:bCs/>
          <w:color w:val="000000"/>
          <w:sz w:val="18"/>
          <w:szCs w:val="18"/>
        </w:rPr>
        <w:t xml:space="preserve">Aim: </w:t>
      </w:r>
      <w:r w:rsidRPr="00BB1154">
        <w:rPr>
          <w:rFonts w:ascii="Times New Roman" w:hAnsi="Times New Roman" w:cs="Times New Roman"/>
          <w:sz w:val="18"/>
          <w:szCs w:val="18"/>
        </w:rPr>
        <w:t xml:space="preserve">To study the various gastrointestinal causes and lesions in patients with severe </w:t>
      </w:r>
      <w:proofErr w:type="spellStart"/>
      <w:r w:rsidRPr="00BB1154">
        <w:rPr>
          <w:rFonts w:ascii="Times New Roman" w:hAnsi="Times New Roman" w:cs="Times New Roman"/>
          <w:sz w:val="18"/>
          <w:szCs w:val="18"/>
        </w:rPr>
        <w:t>anemia</w:t>
      </w:r>
      <w:proofErr w:type="spellEnd"/>
      <w:r w:rsidRPr="00BB1154">
        <w:rPr>
          <w:rFonts w:ascii="Times New Roman" w:hAnsi="Times New Roman" w:cs="Times New Roman"/>
          <w:sz w:val="18"/>
          <w:szCs w:val="18"/>
        </w:rPr>
        <w:t xml:space="preserve"> due to iron deficiency without any GI symptoms with the help </w:t>
      </w:r>
      <w:proofErr w:type="gramStart"/>
      <w:r w:rsidRPr="00BB1154">
        <w:rPr>
          <w:rFonts w:ascii="Times New Roman" w:hAnsi="Times New Roman" w:cs="Times New Roman"/>
          <w:sz w:val="18"/>
          <w:szCs w:val="18"/>
        </w:rPr>
        <w:t xml:space="preserve">of  </w:t>
      </w:r>
      <w:r w:rsidR="007F6E9E" w:rsidRPr="00BB1154">
        <w:rPr>
          <w:rFonts w:ascii="Times New Roman" w:hAnsi="Times New Roman" w:cs="Times New Roman"/>
          <w:sz w:val="18"/>
          <w:szCs w:val="18"/>
        </w:rPr>
        <w:t>upper</w:t>
      </w:r>
      <w:proofErr w:type="gramEnd"/>
      <w:r w:rsidRPr="00BB1154">
        <w:rPr>
          <w:rFonts w:ascii="Times New Roman" w:hAnsi="Times New Roman" w:cs="Times New Roman"/>
          <w:sz w:val="18"/>
          <w:szCs w:val="18"/>
        </w:rPr>
        <w:t xml:space="preserve"> GI endoscopy.</w:t>
      </w:r>
    </w:p>
    <w:p w14:paraId="482BFFA3" w14:textId="0933693E" w:rsidR="007F6E9E" w:rsidRPr="00BB1154" w:rsidRDefault="007F6E9E" w:rsidP="00BB1154">
      <w:pPr>
        <w:shd w:val="clear" w:color="auto" w:fill="FFFFFF"/>
        <w:spacing w:line="360" w:lineRule="auto"/>
        <w:jc w:val="both"/>
        <w:rPr>
          <w:rFonts w:ascii="Times New Roman" w:eastAsia="Times New Roman" w:hAnsi="Times New Roman" w:cs="Times New Roman"/>
          <w:sz w:val="18"/>
          <w:szCs w:val="18"/>
          <w:lang w:eastAsia="en-GB"/>
        </w:rPr>
      </w:pPr>
      <w:r w:rsidRPr="00BB1154">
        <w:rPr>
          <w:rFonts w:ascii="Times New Roman" w:eastAsia="Times New Roman" w:hAnsi="Times New Roman" w:cs="Times New Roman"/>
          <w:b/>
          <w:bCs/>
          <w:sz w:val="18"/>
          <w:szCs w:val="18"/>
          <w:lang w:eastAsia="en-GB"/>
        </w:rPr>
        <w:t>Materials &amp; methods</w:t>
      </w:r>
      <w:r w:rsidRPr="00BB1154">
        <w:rPr>
          <w:rFonts w:ascii="Times New Roman" w:eastAsia="Times New Roman" w:hAnsi="Times New Roman" w:cs="Times New Roman"/>
          <w:sz w:val="18"/>
          <w:szCs w:val="18"/>
          <w:lang w:eastAsia="en-GB"/>
        </w:rPr>
        <w:t>: A total of 60 subjects were taken from medical wards. Ethical approval was obtained from the institutional ethical committee and written consent was obtained after explaining in detail the entire research protocol. Complete clinical and demographic details of all the patients were obtained. Blood samples were obtained and biochemical profile was recorded. All the patients underwent upper GI endoscopy.</w:t>
      </w:r>
    </w:p>
    <w:p w14:paraId="5F56DC30" w14:textId="68071502" w:rsidR="00A81679" w:rsidRPr="00BB1154" w:rsidRDefault="007F6E9E" w:rsidP="00BB1154">
      <w:pPr>
        <w:spacing w:line="360" w:lineRule="auto"/>
        <w:jc w:val="both"/>
        <w:rPr>
          <w:rFonts w:ascii="Times New Roman" w:hAnsi="Times New Roman" w:cs="Times New Roman"/>
          <w:sz w:val="18"/>
          <w:szCs w:val="18"/>
        </w:rPr>
      </w:pPr>
      <w:r w:rsidRPr="00BB1154">
        <w:rPr>
          <w:rFonts w:ascii="Times New Roman" w:eastAsia="Times New Roman" w:hAnsi="Times New Roman" w:cs="Times New Roman"/>
          <w:b/>
          <w:bCs/>
          <w:sz w:val="18"/>
          <w:szCs w:val="18"/>
          <w:lang w:eastAsia="en-GB"/>
        </w:rPr>
        <w:t xml:space="preserve">Results: </w:t>
      </w:r>
      <w:r w:rsidRPr="00BB1154">
        <w:rPr>
          <w:rFonts w:ascii="Times New Roman" w:hAnsi="Times New Roman" w:cs="Times New Roman"/>
          <w:sz w:val="18"/>
          <w:szCs w:val="18"/>
        </w:rPr>
        <w:t>Maximum (26.7%) study subjects were in age group of 50-59yrs. A total of 56.7% subjects were females and 43.3% subjects were males. Tachycardia (56.7%) was the commonest sign</w:t>
      </w:r>
      <w:r w:rsidR="00A81679" w:rsidRPr="00BB1154">
        <w:rPr>
          <w:rFonts w:ascii="Times New Roman" w:hAnsi="Times New Roman" w:cs="Times New Roman"/>
          <w:sz w:val="18"/>
          <w:szCs w:val="18"/>
        </w:rPr>
        <w:t xml:space="preserve">. </w:t>
      </w:r>
      <w:r w:rsidRPr="00BB1154">
        <w:rPr>
          <w:rFonts w:ascii="Times New Roman" w:hAnsi="Times New Roman" w:cs="Times New Roman"/>
          <w:sz w:val="18"/>
          <w:szCs w:val="18"/>
        </w:rPr>
        <w:t>Faecal occult blood test was found to be positive in 34 cases out of 60 subjects (56.67%).</w:t>
      </w:r>
      <w:r w:rsidR="00A81679" w:rsidRPr="00BB1154">
        <w:rPr>
          <w:rFonts w:ascii="Times New Roman" w:hAnsi="Times New Roman" w:cs="Times New Roman"/>
          <w:sz w:val="18"/>
          <w:szCs w:val="18"/>
        </w:rPr>
        <w:t xml:space="preserve">  58.33% cases had GI lesions responsible for IDA and in 41.67% study subjects; no GI lesion responsible for IDA was detected on upper GI endoscopy. Among demographic variables age and faecal occult blood had statistically significant association with GI lesions responsible for IDA using Chi square test (p&lt;0.05). UGIE findings among study subjects showed; Oesophagus, 60% patients had normal findings. Erosive esophagitis (20%) followed by varices (8.4%) were commonly found. Oesophageal mass lesions were found in 3.3% patients. </w:t>
      </w:r>
    </w:p>
    <w:p w14:paraId="106BDD62" w14:textId="56882FD2" w:rsidR="00A81679" w:rsidRPr="00BB1154" w:rsidRDefault="00A81679" w:rsidP="00BB1154">
      <w:pPr>
        <w:spacing w:line="360" w:lineRule="auto"/>
        <w:jc w:val="both"/>
        <w:rPr>
          <w:rFonts w:ascii="Times New Roman" w:hAnsi="Times New Roman" w:cs="Times New Roman"/>
          <w:sz w:val="18"/>
          <w:szCs w:val="18"/>
        </w:rPr>
      </w:pPr>
      <w:r w:rsidRPr="00BB1154">
        <w:rPr>
          <w:rFonts w:ascii="Times New Roman" w:hAnsi="Times New Roman" w:cs="Times New Roman"/>
          <w:sz w:val="18"/>
          <w:szCs w:val="18"/>
        </w:rPr>
        <w:t>In stomach</w:t>
      </w:r>
      <w:proofErr w:type="gramStart"/>
      <w:r w:rsidRPr="00BB1154">
        <w:rPr>
          <w:rFonts w:ascii="Times New Roman" w:hAnsi="Times New Roman" w:cs="Times New Roman"/>
          <w:sz w:val="18"/>
          <w:szCs w:val="18"/>
        </w:rPr>
        <w:t>,53.3</w:t>
      </w:r>
      <w:proofErr w:type="gramEnd"/>
      <w:r w:rsidRPr="00BB1154">
        <w:rPr>
          <w:rFonts w:ascii="Times New Roman" w:hAnsi="Times New Roman" w:cs="Times New Roman"/>
          <w:sz w:val="18"/>
          <w:szCs w:val="18"/>
        </w:rPr>
        <w:t>% patients had normal findings. Haemorrhagic erosive Gastritis (25%) was the common finding. Gastric ulcers were found in 6.7% cases, Portal Hypertensive Gastropathy in 5% cases and gastric mass lesions in 3.4% cases. In duodenum</w:t>
      </w:r>
      <w:proofErr w:type="gramStart"/>
      <w:r w:rsidRPr="00BB1154">
        <w:rPr>
          <w:rFonts w:ascii="Times New Roman" w:hAnsi="Times New Roman" w:cs="Times New Roman"/>
          <w:sz w:val="18"/>
          <w:szCs w:val="18"/>
        </w:rPr>
        <w:t>,70</w:t>
      </w:r>
      <w:proofErr w:type="gramEnd"/>
      <w:r w:rsidRPr="00BB1154">
        <w:rPr>
          <w:rFonts w:ascii="Times New Roman" w:hAnsi="Times New Roman" w:cs="Times New Roman"/>
          <w:sz w:val="18"/>
          <w:szCs w:val="18"/>
        </w:rPr>
        <w:t xml:space="preserve">% patients had normal findings. Duodenal ulcer was present in 8.5% cases. On Univariate analysis, advancing age </w:t>
      </w:r>
      <w:r w:rsidRPr="00BB1154">
        <w:rPr>
          <w:rFonts w:ascii="Times New Roman" w:hAnsi="Times New Roman" w:cs="Times New Roman"/>
          <w:sz w:val="18"/>
          <w:szCs w:val="18"/>
        </w:rPr>
        <w:lastRenderedPageBreak/>
        <w:t>(p = 0.011) and positive faecal occult blood (p = 0.001) were the factors significantly associated with presence of GI lesions responsible for IDA. On Multivariate logistic regression analysis after adjusting for confounding factors positive faecal occult blood test was the independent predictor of lesions responsible for iron deficiency anaemia on endoscopy, but the advancing age was not.</w:t>
      </w:r>
    </w:p>
    <w:p w14:paraId="0556B933" w14:textId="4A1B7144" w:rsidR="00A81679" w:rsidRPr="00BB1154" w:rsidRDefault="00A81679" w:rsidP="00BB1154">
      <w:pPr>
        <w:spacing w:line="360" w:lineRule="auto"/>
        <w:jc w:val="both"/>
        <w:rPr>
          <w:rFonts w:ascii="Times New Roman" w:hAnsi="Times New Roman" w:cs="Times New Roman"/>
          <w:sz w:val="18"/>
          <w:szCs w:val="18"/>
        </w:rPr>
      </w:pPr>
      <w:r w:rsidRPr="00BB1154">
        <w:rPr>
          <w:rFonts w:ascii="Times New Roman" w:eastAsia="Times New Roman" w:hAnsi="Times New Roman" w:cs="Times New Roman"/>
          <w:b/>
          <w:bCs/>
          <w:sz w:val="18"/>
          <w:szCs w:val="18"/>
          <w:lang w:eastAsia="en-GB"/>
        </w:rPr>
        <w:t xml:space="preserve">Conclusion: </w:t>
      </w:r>
      <w:r w:rsidRPr="00BB1154">
        <w:rPr>
          <w:rFonts w:ascii="Times New Roman" w:hAnsi="Times New Roman" w:cs="Times New Roman"/>
          <w:sz w:val="18"/>
          <w:szCs w:val="18"/>
        </w:rPr>
        <w:t xml:space="preserve">Iron deficiency is one of the common causes of </w:t>
      </w:r>
      <w:proofErr w:type="spellStart"/>
      <w:r w:rsidRPr="00BB1154">
        <w:rPr>
          <w:rFonts w:ascii="Times New Roman" w:hAnsi="Times New Roman" w:cs="Times New Roman"/>
          <w:sz w:val="18"/>
          <w:szCs w:val="18"/>
        </w:rPr>
        <w:t>anemia</w:t>
      </w:r>
      <w:proofErr w:type="spellEnd"/>
      <w:r w:rsidRPr="00BB1154">
        <w:rPr>
          <w:rFonts w:ascii="Times New Roman" w:hAnsi="Times New Roman" w:cs="Times New Roman"/>
          <w:sz w:val="18"/>
          <w:szCs w:val="18"/>
        </w:rPr>
        <w:t xml:space="preserve">. In many cases of iron deficiency </w:t>
      </w:r>
      <w:proofErr w:type="spellStart"/>
      <w:r w:rsidRPr="00BB1154">
        <w:rPr>
          <w:rFonts w:ascii="Times New Roman" w:hAnsi="Times New Roman" w:cs="Times New Roman"/>
          <w:sz w:val="18"/>
          <w:szCs w:val="18"/>
        </w:rPr>
        <w:t>anemia</w:t>
      </w:r>
      <w:proofErr w:type="spellEnd"/>
      <w:r w:rsidRPr="00BB1154">
        <w:rPr>
          <w:rFonts w:ascii="Times New Roman" w:hAnsi="Times New Roman" w:cs="Times New Roman"/>
          <w:sz w:val="18"/>
          <w:szCs w:val="18"/>
        </w:rPr>
        <w:t>, the cause of iron deficiency remains unexplained. Endoscopic lesions responsible for IDA were found in 35 out of 60 cases. More than half of the patients had positive faecal occult blood test. Stomach was the commonest site for GI lesions responsible for IDA followed by the oesophagus, duodenum.</w:t>
      </w:r>
      <w:r w:rsidR="003037FB" w:rsidRPr="00BB1154">
        <w:rPr>
          <w:rFonts w:ascii="Times New Roman" w:hAnsi="Times New Roman" w:cs="Times New Roman"/>
          <w:sz w:val="18"/>
          <w:szCs w:val="18"/>
        </w:rPr>
        <w:t xml:space="preserve"> </w:t>
      </w:r>
      <w:r w:rsidRPr="00BB1154">
        <w:rPr>
          <w:rFonts w:ascii="Times New Roman" w:hAnsi="Times New Roman" w:cs="Times New Roman"/>
          <w:sz w:val="18"/>
          <w:szCs w:val="18"/>
        </w:rPr>
        <w:t>Advancing age and positive faecal occult blood test correlated with the presence of lesions on GI endoscopy responsible for IDA. Thus, to conclude, upper GI endoscopy is an important tool in the evaluation of unexplained iron deficiency anemia.</w:t>
      </w:r>
    </w:p>
    <w:p w14:paraId="19738462" w14:textId="133FE059" w:rsidR="00A81679" w:rsidRPr="00BB1154" w:rsidRDefault="003037FB" w:rsidP="00BB1154">
      <w:pPr>
        <w:shd w:val="clear" w:color="auto" w:fill="FFFFFF"/>
        <w:spacing w:line="360" w:lineRule="auto"/>
        <w:jc w:val="both"/>
        <w:rPr>
          <w:rFonts w:ascii="Times New Roman" w:eastAsia="Times New Roman" w:hAnsi="Times New Roman" w:cs="Times New Roman"/>
          <w:b/>
          <w:bCs/>
          <w:sz w:val="18"/>
          <w:szCs w:val="18"/>
          <w:lang w:eastAsia="en-GB"/>
        </w:rPr>
      </w:pPr>
      <w:r w:rsidRPr="00BB1154">
        <w:rPr>
          <w:rFonts w:ascii="Times New Roman" w:hAnsi="Times New Roman" w:cs="Times New Roman"/>
          <w:b/>
          <w:sz w:val="18"/>
          <w:szCs w:val="18"/>
        </w:rPr>
        <w:t>Key words:</w:t>
      </w:r>
      <w:r w:rsidRPr="00BB1154">
        <w:rPr>
          <w:rFonts w:ascii="Times New Roman" w:hAnsi="Times New Roman" w:cs="Times New Roman"/>
          <w:sz w:val="18"/>
          <w:szCs w:val="18"/>
        </w:rPr>
        <w:t xml:space="preserve"> Endoscopy, Occult Blood, Gastritis, Peptic Ulcer, Stomach Neoplasms</w:t>
      </w:r>
    </w:p>
    <w:p w14:paraId="1CC51FD5" w14:textId="77777777" w:rsidR="00A81679" w:rsidRPr="00BB1154" w:rsidRDefault="00A81679" w:rsidP="00BB1154">
      <w:pPr>
        <w:spacing w:line="360" w:lineRule="auto"/>
        <w:jc w:val="both"/>
        <w:rPr>
          <w:rFonts w:ascii="Times New Roman" w:hAnsi="Times New Roman" w:cs="Times New Roman"/>
          <w:sz w:val="20"/>
          <w:szCs w:val="20"/>
        </w:rPr>
      </w:pPr>
    </w:p>
    <w:p w14:paraId="1CBA304B" w14:textId="341B9743" w:rsidR="000F6E69" w:rsidRPr="00BB1154" w:rsidRDefault="000F6E69" w:rsidP="00BB1154">
      <w:pPr>
        <w:pStyle w:val="NormalWeb"/>
        <w:shd w:val="clear" w:color="auto" w:fill="FFFFFF"/>
        <w:spacing w:before="0" w:beforeAutospacing="0" w:after="0" w:afterAutospacing="0" w:line="360" w:lineRule="auto"/>
        <w:jc w:val="both"/>
        <w:rPr>
          <w:b/>
          <w:bCs/>
          <w:sz w:val="20"/>
          <w:szCs w:val="20"/>
        </w:rPr>
      </w:pPr>
      <w:r w:rsidRPr="00BB1154">
        <w:rPr>
          <w:b/>
          <w:bCs/>
          <w:sz w:val="20"/>
          <w:szCs w:val="20"/>
        </w:rPr>
        <w:t xml:space="preserve">Introduction: </w:t>
      </w:r>
    </w:p>
    <w:p w14:paraId="5E7905E9" w14:textId="28FAFA1D" w:rsidR="00B60EAB" w:rsidRPr="00BB1154" w:rsidRDefault="000F6E69" w:rsidP="00BB1154">
      <w:pPr>
        <w:pStyle w:val="Paratext"/>
        <w:spacing w:before="0" w:after="0"/>
        <w:ind w:firstLine="0"/>
        <w:rPr>
          <w:rFonts w:eastAsia="Arial"/>
          <w:color w:val="000000"/>
          <w:sz w:val="20"/>
          <w:szCs w:val="20"/>
        </w:rPr>
      </w:pPr>
      <w:r w:rsidRPr="00BB1154">
        <w:rPr>
          <w:sz w:val="20"/>
          <w:szCs w:val="20"/>
        </w:rPr>
        <w:t>More than half of the total anaemia cases (two billion) in the world are due to iron deficiency as per the World Health Organization (WHO)</w:t>
      </w:r>
      <w:proofErr w:type="gramStart"/>
      <w:r w:rsidRPr="00BB1154">
        <w:rPr>
          <w:sz w:val="20"/>
          <w:szCs w:val="20"/>
        </w:rPr>
        <w:t>.</w:t>
      </w:r>
      <w:r w:rsidRPr="00BB1154">
        <w:rPr>
          <w:sz w:val="20"/>
          <w:szCs w:val="20"/>
          <w:vertAlign w:val="superscript"/>
        </w:rPr>
        <w:t>[</w:t>
      </w:r>
      <w:proofErr w:type="gramEnd"/>
      <w:r w:rsidRPr="00BB1154">
        <w:rPr>
          <w:sz w:val="20"/>
          <w:szCs w:val="20"/>
          <w:vertAlign w:val="superscript"/>
        </w:rPr>
        <w:t>1]</w:t>
      </w:r>
      <w:r w:rsidRPr="00BB1154">
        <w:rPr>
          <w:sz w:val="20"/>
          <w:szCs w:val="20"/>
        </w:rPr>
        <w:t xml:space="preserve">  Anaemia occurs in late stages of iron deficiency and thus, on estimation the prevalence of iron deficient state is 2.5 times more than iron deficiency anaemia (IDA).</w:t>
      </w:r>
      <w:r w:rsidRPr="00BB1154">
        <w:rPr>
          <w:sz w:val="20"/>
          <w:szCs w:val="20"/>
          <w:vertAlign w:val="superscript"/>
        </w:rPr>
        <w:t>[2,3]</w:t>
      </w:r>
      <w:r w:rsidR="00B60EAB" w:rsidRPr="00BB1154">
        <w:rPr>
          <w:sz w:val="20"/>
          <w:szCs w:val="20"/>
        </w:rPr>
        <w:t xml:space="preserve"> Chronic bleeding in the gastrointestinal tract is the leading cause of IDA in population above 50 years. </w:t>
      </w:r>
      <w:r w:rsidR="00B60EAB" w:rsidRPr="00BB1154">
        <w:rPr>
          <w:rFonts w:eastAsia="Arial"/>
          <w:color w:val="000000"/>
          <w:sz w:val="20"/>
          <w:szCs w:val="20"/>
        </w:rPr>
        <w:t>Occult gastrointestinal bleeding is a common cause of IDA. Recent evidence suggests that most of patients with iron deficiency anaemia has a significant gastrointestinal tract pathological lesion</w:t>
      </w:r>
      <w:proofErr w:type="gramStart"/>
      <w:r w:rsidR="00B60EAB" w:rsidRPr="00BB1154">
        <w:rPr>
          <w:rFonts w:eastAsia="Arial"/>
          <w:color w:val="000000"/>
          <w:sz w:val="20"/>
          <w:szCs w:val="20"/>
        </w:rPr>
        <w:t>.</w:t>
      </w:r>
      <w:r w:rsidR="00B60EAB" w:rsidRPr="00BB1154">
        <w:rPr>
          <w:rFonts w:eastAsia="Arial"/>
          <w:color w:val="000000"/>
          <w:sz w:val="20"/>
          <w:szCs w:val="20"/>
          <w:vertAlign w:val="superscript"/>
        </w:rPr>
        <w:t>[</w:t>
      </w:r>
      <w:proofErr w:type="gramEnd"/>
      <w:r w:rsidR="00B60EAB" w:rsidRPr="00BB1154">
        <w:rPr>
          <w:rFonts w:eastAsia="Arial"/>
          <w:color w:val="000000"/>
          <w:sz w:val="20"/>
          <w:szCs w:val="20"/>
          <w:vertAlign w:val="superscript"/>
        </w:rPr>
        <w:t xml:space="preserve">4] </w:t>
      </w:r>
      <w:r w:rsidR="00B60EAB" w:rsidRPr="00BB1154">
        <w:rPr>
          <w:rFonts w:eastAsia="Arial"/>
          <w:color w:val="000000"/>
          <w:sz w:val="20"/>
          <w:szCs w:val="20"/>
        </w:rPr>
        <w:t>The evaluation of patients with unexplained iron deficiency anaemia and without any obvious bleeding should include the gastrointestinal tract.</w:t>
      </w:r>
      <w:r w:rsidR="00B60EAB" w:rsidRPr="00BB1154">
        <w:rPr>
          <w:rFonts w:eastAsia="Arial"/>
          <w:sz w:val="20"/>
          <w:szCs w:val="20"/>
        </w:rPr>
        <w:t xml:space="preserve"> </w:t>
      </w:r>
      <w:r w:rsidR="00B60EAB" w:rsidRPr="00BB1154">
        <w:rPr>
          <w:rFonts w:eastAsia="Arial"/>
          <w:color w:val="000000"/>
          <w:sz w:val="20"/>
          <w:szCs w:val="20"/>
        </w:rPr>
        <w:t xml:space="preserve">In population above 50 years, screening of the gastrointestinal tract is advised, regardless the presence of anaemia. The aim of the current study was to evaluate the gastrointestinal mucosa on upper GI endoscopy and search for a potential source of blood loss or iron malabsorption causing IDA in patients without obvious GI symptoms. </w:t>
      </w:r>
    </w:p>
    <w:p w14:paraId="59BDC01F" w14:textId="05BBFC65" w:rsidR="00B60EAB" w:rsidRPr="00BB1154" w:rsidRDefault="00B60EAB" w:rsidP="00BB1154">
      <w:pPr>
        <w:pStyle w:val="NormalWeb"/>
        <w:shd w:val="clear" w:color="auto" w:fill="FFFFFF"/>
        <w:spacing w:before="0" w:beforeAutospacing="0" w:after="0" w:afterAutospacing="0" w:line="360" w:lineRule="auto"/>
        <w:jc w:val="both"/>
        <w:rPr>
          <w:b/>
          <w:bCs/>
          <w:sz w:val="20"/>
          <w:szCs w:val="20"/>
        </w:rPr>
      </w:pPr>
      <w:r w:rsidRPr="00BB1154">
        <w:rPr>
          <w:b/>
          <w:bCs/>
          <w:sz w:val="20"/>
          <w:szCs w:val="20"/>
        </w:rPr>
        <w:t xml:space="preserve">Materials &amp; methods: </w:t>
      </w:r>
    </w:p>
    <w:p w14:paraId="41CCD90B" w14:textId="422FABD2" w:rsidR="00B60EAB" w:rsidRPr="00BB1154" w:rsidRDefault="003F02FD" w:rsidP="00BB1154">
      <w:pPr>
        <w:pStyle w:val="NormalWeb"/>
        <w:shd w:val="clear" w:color="auto" w:fill="FFFFFF"/>
        <w:spacing w:before="0" w:beforeAutospacing="0" w:after="0" w:afterAutospacing="0" w:line="360" w:lineRule="auto"/>
        <w:jc w:val="both"/>
        <w:rPr>
          <w:sz w:val="20"/>
          <w:szCs w:val="20"/>
        </w:rPr>
      </w:pPr>
      <w:r w:rsidRPr="00BB1154">
        <w:rPr>
          <w:sz w:val="20"/>
          <w:szCs w:val="20"/>
        </w:rPr>
        <w:t xml:space="preserve">The study was conducted in tertiary care hospital of western Maharashtra, India. The study was conducted </w:t>
      </w:r>
      <w:proofErr w:type="gramStart"/>
      <w:r w:rsidRPr="00BB1154">
        <w:rPr>
          <w:sz w:val="20"/>
          <w:szCs w:val="20"/>
        </w:rPr>
        <w:t>between July 2019 to July 2020</w:t>
      </w:r>
      <w:proofErr w:type="gramEnd"/>
      <w:r w:rsidRPr="00BB1154">
        <w:rPr>
          <w:sz w:val="20"/>
          <w:szCs w:val="20"/>
        </w:rPr>
        <w:t xml:space="preserve">. Total 100 patients admitted in the medical wards </w:t>
      </w:r>
      <w:proofErr w:type="gramStart"/>
      <w:r w:rsidRPr="00BB1154">
        <w:rPr>
          <w:sz w:val="20"/>
          <w:szCs w:val="20"/>
        </w:rPr>
        <w:t>who</w:t>
      </w:r>
      <w:proofErr w:type="gramEnd"/>
      <w:r w:rsidRPr="00BB1154">
        <w:rPr>
          <w:sz w:val="20"/>
          <w:szCs w:val="20"/>
        </w:rPr>
        <w:t xml:space="preserve"> were found to have iron deficiency anaemia. After initial investigations, the cause of iron deficiency remained unknown in 60 patients. Following were the inclusion criteria for the selection of study subjects- age </w:t>
      </w:r>
      <w:r w:rsidRPr="00BB1154">
        <w:rPr>
          <w:sz w:val="20"/>
          <w:szCs w:val="20"/>
        </w:rPr>
        <w:sym w:font="Symbol" w:char="F0B3"/>
      </w:r>
      <w:r w:rsidRPr="00BB1154">
        <w:rPr>
          <w:sz w:val="20"/>
          <w:szCs w:val="20"/>
        </w:rPr>
        <w:t xml:space="preserve"> 18 years, Hb </w:t>
      </w:r>
      <w:r w:rsidRPr="00BB1154">
        <w:rPr>
          <w:sz w:val="20"/>
          <w:szCs w:val="20"/>
        </w:rPr>
        <w:sym w:font="Symbol" w:char="F0A3"/>
      </w:r>
      <w:r w:rsidRPr="00BB1154">
        <w:rPr>
          <w:sz w:val="20"/>
          <w:szCs w:val="20"/>
        </w:rPr>
        <w:t xml:space="preserve"> 6 gm/dl, and iron studies showing serum iron concentration </w:t>
      </w:r>
      <w:r w:rsidRPr="00BB1154">
        <w:rPr>
          <w:sz w:val="20"/>
          <w:szCs w:val="20"/>
        </w:rPr>
        <w:sym w:font="Symbol" w:char="F0A3"/>
      </w:r>
      <w:r w:rsidRPr="00BB1154">
        <w:rPr>
          <w:sz w:val="20"/>
          <w:szCs w:val="20"/>
        </w:rPr>
        <w:t xml:space="preserve"> 45</w:t>
      </w:r>
      <w:r w:rsidRPr="00BB1154">
        <w:rPr>
          <w:sz w:val="20"/>
          <w:szCs w:val="20"/>
        </w:rPr>
        <w:sym w:font="Symbol" w:char="F06D"/>
      </w:r>
      <w:r w:rsidRPr="00BB1154">
        <w:rPr>
          <w:sz w:val="20"/>
          <w:szCs w:val="20"/>
        </w:rPr>
        <w:t xml:space="preserve">g/dl, transferrin saturation </w:t>
      </w:r>
      <w:r w:rsidRPr="00BB1154">
        <w:rPr>
          <w:sz w:val="20"/>
          <w:szCs w:val="20"/>
        </w:rPr>
        <w:sym w:font="Symbol" w:char="F0A3"/>
      </w:r>
      <w:r w:rsidRPr="00BB1154">
        <w:rPr>
          <w:sz w:val="20"/>
          <w:szCs w:val="20"/>
        </w:rPr>
        <w:t xml:space="preserve"> 10%, serum total iron binding capacity of </w:t>
      </w:r>
      <w:r w:rsidRPr="00BB1154">
        <w:rPr>
          <w:sz w:val="20"/>
          <w:szCs w:val="20"/>
        </w:rPr>
        <w:sym w:font="Symbol" w:char="F0B3"/>
      </w:r>
      <w:r w:rsidRPr="00BB1154">
        <w:rPr>
          <w:sz w:val="20"/>
          <w:szCs w:val="20"/>
        </w:rPr>
        <w:t xml:space="preserve"> 400 </w:t>
      </w:r>
      <w:r w:rsidRPr="00BB1154">
        <w:rPr>
          <w:sz w:val="20"/>
          <w:szCs w:val="20"/>
        </w:rPr>
        <w:sym w:font="Symbol" w:char="F06D"/>
      </w:r>
      <w:r w:rsidRPr="00BB1154">
        <w:rPr>
          <w:sz w:val="20"/>
          <w:szCs w:val="20"/>
        </w:rPr>
        <w:t>g/dl</w:t>
      </w:r>
      <w:r w:rsidR="001D527F" w:rsidRPr="00BB1154">
        <w:rPr>
          <w:sz w:val="20"/>
          <w:szCs w:val="20"/>
        </w:rPr>
        <w:t xml:space="preserve">, serum ferritin concentration </w:t>
      </w:r>
      <w:r w:rsidR="001D527F" w:rsidRPr="00BB1154">
        <w:rPr>
          <w:sz w:val="20"/>
          <w:szCs w:val="20"/>
        </w:rPr>
        <w:sym w:font="Symbol" w:char="F0A3"/>
      </w:r>
      <w:r w:rsidR="001D527F" w:rsidRPr="00BB1154">
        <w:rPr>
          <w:sz w:val="20"/>
          <w:szCs w:val="20"/>
        </w:rPr>
        <w:t xml:space="preserve"> 20 ng/ml for men and </w:t>
      </w:r>
      <w:r w:rsidR="001D527F" w:rsidRPr="00BB1154">
        <w:rPr>
          <w:sz w:val="20"/>
          <w:szCs w:val="20"/>
        </w:rPr>
        <w:sym w:font="Symbol" w:char="F0A3"/>
      </w:r>
      <w:r w:rsidR="001D527F" w:rsidRPr="00BB1154">
        <w:rPr>
          <w:sz w:val="20"/>
          <w:szCs w:val="20"/>
        </w:rPr>
        <w:t>10 ng/ml for women. Patients with active source of blood loss ( active GI loss, epistaxis, menorrhagia ), chronic kidney disease, pregnancy, active malignancy, steroid and non-specific anti-inflammatory drug therapy 8 weeks prior to commencement of the study, bleeding and coagulation disorders were excluded from the study. 60 patients were included in the study after a written informed consent. The study was commenced after the approval from the institutional scientific and ethics committee. A detailed clinical history and general physical examination was done. Complete blood count, iron studies, stool occult blood, ultrasound abdomen and pelvis was done for all patients. All patients</w:t>
      </w:r>
      <w:r w:rsidR="00977BC4" w:rsidRPr="00BB1154">
        <w:rPr>
          <w:sz w:val="20"/>
          <w:szCs w:val="20"/>
        </w:rPr>
        <w:t xml:space="preserve"> </w:t>
      </w:r>
      <w:r w:rsidR="001D527F" w:rsidRPr="00BB1154">
        <w:rPr>
          <w:sz w:val="20"/>
          <w:szCs w:val="20"/>
        </w:rPr>
        <w:t>underwent</w:t>
      </w:r>
      <w:r w:rsidR="00F56207" w:rsidRPr="00BB1154">
        <w:rPr>
          <w:sz w:val="20"/>
          <w:szCs w:val="20"/>
        </w:rPr>
        <w:t xml:space="preserve"> upper GI endoscopy. Gross findings were noted.</w:t>
      </w:r>
      <w:r w:rsidR="00977BC4" w:rsidRPr="00BB1154">
        <w:rPr>
          <w:sz w:val="20"/>
          <w:szCs w:val="20"/>
        </w:rPr>
        <w:t xml:space="preserve"> Biopsies were taken from </w:t>
      </w:r>
      <w:proofErr w:type="spellStart"/>
      <w:r w:rsidR="00977BC4" w:rsidRPr="00BB1154">
        <w:rPr>
          <w:sz w:val="20"/>
          <w:szCs w:val="20"/>
        </w:rPr>
        <w:t>esophagus</w:t>
      </w:r>
      <w:proofErr w:type="spellEnd"/>
      <w:r w:rsidR="00977BC4" w:rsidRPr="00BB1154">
        <w:rPr>
          <w:sz w:val="20"/>
          <w:szCs w:val="20"/>
        </w:rPr>
        <w:t xml:space="preserve"> (Lower 1/3</w:t>
      </w:r>
      <w:r w:rsidR="00977BC4" w:rsidRPr="00BB1154">
        <w:rPr>
          <w:sz w:val="20"/>
          <w:szCs w:val="20"/>
          <w:vertAlign w:val="superscript"/>
        </w:rPr>
        <w:t>rd</w:t>
      </w:r>
      <w:r w:rsidR="00977BC4" w:rsidRPr="00BB1154">
        <w:rPr>
          <w:sz w:val="20"/>
          <w:szCs w:val="20"/>
        </w:rPr>
        <w:t>), Stomach (Fundus, Body and Antrum), Duodenum 2</w:t>
      </w:r>
      <w:r w:rsidR="00977BC4" w:rsidRPr="00BB1154">
        <w:rPr>
          <w:sz w:val="20"/>
          <w:szCs w:val="20"/>
          <w:vertAlign w:val="superscript"/>
        </w:rPr>
        <w:t>nd</w:t>
      </w:r>
      <w:r w:rsidR="00977BC4" w:rsidRPr="00BB1154">
        <w:rPr>
          <w:sz w:val="20"/>
          <w:szCs w:val="20"/>
        </w:rPr>
        <w:t xml:space="preserve"> part (D2) as and when </w:t>
      </w:r>
      <w:proofErr w:type="gramStart"/>
      <w:r w:rsidR="00977BC4" w:rsidRPr="00BB1154">
        <w:rPr>
          <w:sz w:val="20"/>
          <w:szCs w:val="20"/>
        </w:rPr>
        <w:t>required .</w:t>
      </w:r>
      <w:proofErr w:type="gramEnd"/>
      <w:r w:rsidR="00977BC4" w:rsidRPr="00BB1154">
        <w:rPr>
          <w:sz w:val="20"/>
          <w:szCs w:val="20"/>
        </w:rPr>
        <w:t xml:space="preserve"> Biopsy samples were sent for </w:t>
      </w:r>
      <w:proofErr w:type="spellStart"/>
      <w:r w:rsidR="00977BC4" w:rsidRPr="00BB1154">
        <w:rPr>
          <w:sz w:val="20"/>
          <w:szCs w:val="20"/>
        </w:rPr>
        <w:t>histo</w:t>
      </w:r>
      <w:proofErr w:type="spellEnd"/>
      <w:r w:rsidR="00977BC4" w:rsidRPr="00BB1154">
        <w:rPr>
          <w:sz w:val="20"/>
          <w:szCs w:val="20"/>
        </w:rPr>
        <w:t>-pathological examination.</w:t>
      </w:r>
    </w:p>
    <w:p w14:paraId="7E85F74D" w14:textId="2DA66267" w:rsidR="0089771F" w:rsidRPr="00BB1154" w:rsidRDefault="0089771F" w:rsidP="00BB1154">
      <w:pPr>
        <w:pStyle w:val="NormalWeb"/>
        <w:shd w:val="clear" w:color="auto" w:fill="FFFFFF"/>
        <w:spacing w:before="0" w:beforeAutospacing="0" w:after="0" w:afterAutospacing="0" w:line="360" w:lineRule="auto"/>
        <w:jc w:val="both"/>
        <w:rPr>
          <w:b/>
          <w:bCs/>
          <w:sz w:val="20"/>
          <w:szCs w:val="20"/>
        </w:rPr>
      </w:pPr>
      <w:r w:rsidRPr="00BB1154">
        <w:rPr>
          <w:b/>
          <w:bCs/>
          <w:sz w:val="20"/>
          <w:szCs w:val="20"/>
        </w:rPr>
        <w:lastRenderedPageBreak/>
        <w:t xml:space="preserve">Results: </w:t>
      </w:r>
    </w:p>
    <w:p w14:paraId="59AC86F6" w14:textId="4B058F64" w:rsidR="00546B3D" w:rsidRPr="00BB1154" w:rsidRDefault="0089771F"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 xml:space="preserve">Maximum (26.7%) study subjects were in age group of 50-59yrs followed by 23.3% in 60-69yrs and 20% in 40-49yrs.  Mean age of study subjects were 54.86 ± 13.53years. </w:t>
      </w:r>
      <w:r w:rsidR="00546B3D" w:rsidRPr="00BB1154">
        <w:rPr>
          <w:rFonts w:ascii="Times New Roman" w:hAnsi="Times New Roman" w:cs="Times New Roman"/>
          <w:sz w:val="20"/>
          <w:szCs w:val="20"/>
        </w:rPr>
        <w:t>A total of 56.7% subjects were females and 43.3% subjects were males. Male to Female ratio of the study subjects was 1:1.3. Pallor was present in all the patients. Sixty percent patients had generalized weakness and easy fatigability. Tachycardia (56.7%) was the commonest sign. Faecal occult blood test was found to be positive in 34 cases out of 60 subjects (56.67%).</w:t>
      </w:r>
    </w:p>
    <w:p w14:paraId="65D7BD24" w14:textId="1E4E265E" w:rsidR="00546B3D" w:rsidRPr="00BB1154" w:rsidRDefault="00546B3D"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The study subjects were divided into two groups, 58.33% cases had GI lesions responsible for IDA and in 41.67% study subjects; no GI lesion responsible for IDA was detected on upper GI endoscopy.</w:t>
      </w:r>
    </w:p>
    <w:p w14:paraId="3722B5BF" w14:textId="479CA691" w:rsidR="00546B3D" w:rsidRPr="00BB1154" w:rsidRDefault="00546B3D" w:rsidP="00BB1154">
      <w:pPr>
        <w:spacing w:line="360" w:lineRule="auto"/>
        <w:jc w:val="both"/>
        <w:rPr>
          <w:rFonts w:ascii="Times New Roman" w:hAnsi="Times New Roman" w:cs="Times New Roman"/>
          <w:b/>
          <w:bCs/>
          <w:sz w:val="20"/>
          <w:szCs w:val="20"/>
        </w:rPr>
      </w:pPr>
      <w:r w:rsidRPr="00BB1154">
        <w:rPr>
          <w:rFonts w:ascii="Times New Roman" w:hAnsi="Times New Roman" w:cs="Times New Roman"/>
          <w:b/>
          <w:bCs/>
          <w:sz w:val="20"/>
          <w:szCs w:val="20"/>
        </w:rPr>
        <w:t>Table-1 Demographic and Biochemical factors in the study subjects according to the presence of GI lesions responsible for IDA</w:t>
      </w:r>
    </w:p>
    <w:tbl>
      <w:tblPr>
        <w:tblStyle w:val="LightList-Accent2"/>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2551"/>
        <w:gridCol w:w="2549"/>
        <w:gridCol w:w="1014"/>
      </w:tblGrid>
      <w:tr w:rsidR="00546B3D" w:rsidRPr="00BB1154" w14:paraId="60E1D35D" w14:textId="77777777" w:rsidTr="00483F42">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FE78E9D" w14:textId="77777777" w:rsidR="00546B3D" w:rsidRPr="00483F42" w:rsidRDefault="00546B3D" w:rsidP="00BB1154">
            <w:pPr>
              <w:spacing w:line="360" w:lineRule="auto"/>
              <w:jc w:val="both"/>
              <w:rPr>
                <w:rFonts w:ascii="Times New Roman" w:hAnsi="Times New Roman" w:cs="Times New Roman"/>
                <w:b w:val="0"/>
                <w:bCs w:val="0"/>
                <w:sz w:val="20"/>
                <w:szCs w:val="20"/>
              </w:rPr>
            </w:pPr>
            <w:r w:rsidRPr="00483F42">
              <w:rPr>
                <w:rFonts w:ascii="Times New Roman" w:hAnsi="Times New Roman" w:cs="Times New Roman"/>
                <w:sz w:val="20"/>
                <w:szCs w:val="20"/>
              </w:rPr>
              <w:t>Parameters</w:t>
            </w:r>
          </w:p>
        </w:tc>
        <w:tc>
          <w:tcPr>
            <w:tcW w:w="2551" w:type="dxa"/>
            <w:noWrap/>
            <w:hideMark/>
          </w:tcPr>
          <w:p w14:paraId="01570604" w14:textId="77777777" w:rsidR="00546B3D" w:rsidRPr="00483F42" w:rsidRDefault="00546B3D" w:rsidP="00BB115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483F42">
              <w:rPr>
                <w:rFonts w:ascii="Times New Roman" w:hAnsi="Times New Roman" w:cs="Times New Roman"/>
                <w:sz w:val="20"/>
                <w:szCs w:val="20"/>
              </w:rPr>
              <w:t>GI lesions responsible for IDA found</w:t>
            </w:r>
          </w:p>
          <w:p w14:paraId="028E66ED" w14:textId="77777777" w:rsidR="00546B3D" w:rsidRPr="00483F42" w:rsidRDefault="00546B3D" w:rsidP="00BB115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483F42">
              <w:rPr>
                <w:rFonts w:ascii="Times New Roman" w:hAnsi="Times New Roman" w:cs="Times New Roman"/>
                <w:sz w:val="20"/>
                <w:szCs w:val="20"/>
              </w:rPr>
              <w:t>(Mean ± SD)</w:t>
            </w:r>
          </w:p>
        </w:tc>
        <w:tc>
          <w:tcPr>
            <w:tcW w:w="2549" w:type="dxa"/>
            <w:noWrap/>
            <w:hideMark/>
          </w:tcPr>
          <w:p w14:paraId="2C0F50AA" w14:textId="77777777" w:rsidR="00546B3D" w:rsidRPr="00483F42" w:rsidRDefault="00546B3D" w:rsidP="00BB115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483F42">
              <w:rPr>
                <w:rFonts w:ascii="Times New Roman" w:hAnsi="Times New Roman" w:cs="Times New Roman"/>
                <w:sz w:val="20"/>
                <w:szCs w:val="20"/>
              </w:rPr>
              <w:t>GI lesions responsible for IDA not found</w:t>
            </w:r>
          </w:p>
          <w:p w14:paraId="6296626E" w14:textId="77777777" w:rsidR="00546B3D" w:rsidRPr="00483F42" w:rsidRDefault="00546B3D" w:rsidP="00BB115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483F42">
              <w:rPr>
                <w:rFonts w:ascii="Times New Roman" w:hAnsi="Times New Roman" w:cs="Times New Roman"/>
                <w:sz w:val="20"/>
                <w:szCs w:val="20"/>
              </w:rPr>
              <w:t>(Mean ± SD)</w:t>
            </w:r>
          </w:p>
        </w:tc>
        <w:tc>
          <w:tcPr>
            <w:tcW w:w="1014" w:type="dxa"/>
            <w:noWrap/>
            <w:hideMark/>
          </w:tcPr>
          <w:p w14:paraId="3E4B1142" w14:textId="77777777" w:rsidR="00546B3D" w:rsidRPr="00483F42" w:rsidRDefault="00546B3D" w:rsidP="00BB115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483F42">
              <w:rPr>
                <w:rFonts w:ascii="Times New Roman" w:hAnsi="Times New Roman" w:cs="Times New Roman"/>
                <w:sz w:val="20"/>
                <w:szCs w:val="20"/>
              </w:rPr>
              <w:t>P Value</w:t>
            </w:r>
          </w:p>
        </w:tc>
      </w:tr>
      <w:tr w:rsidR="00546B3D" w:rsidRPr="00BB1154" w14:paraId="1CFA06C8" w14:textId="77777777" w:rsidTr="00483F4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353" w:type="dxa"/>
            <w:tcBorders>
              <w:top w:val="none" w:sz="0" w:space="0" w:color="auto"/>
              <w:left w:val="none" w:sz="0" w:space="0" w:color="auto"/>
              <w:bottom w:val="none" w:sz="0" w:space="0" w:color="auto"/>
            </w:tcBorders>
            <w:noWrap/>
          </w:tcPr>
          <w:p w14:paraId="52766E13" w14:textId="77777777" w:rsidR="00546B3D" w:rsidRPr="00BB1154" w:rsidRDefault="00546B3D" w:rsidP="00BB1154">
            <w:pPr>
              <w:spacing w:line="360" w:lineRule="auto"/>
              <w:jc w:val="both"/>
              <w:rPr>
                <w:rFonts w:ascii="Times New Roman" w:hAnsi="Times New Roman" w:cs="Times New Roman"/>
                <w:color w:val="000000"/>
                <w:sz w:val="20"/>
                <w:szCs w:val="20"/>
              </w:rPr>
            </w:pPr>
            <w:r w:rsidRPr="00BB1154">
              <w:rPr>
                <w:rFonts w:ascii="Times New Roman" w:hAnsi="Times New Roman" w:cs="Times New Roman"/>
                <w:color w:val="000000"/>
                <w:sz w:val="20"/>
                <w:szCs w:val="20"/>
              </w:rPr>
              <w:t>Age (years)</w:t>
            </w:r>
          </w:p>
        </w:tc>
        <w:tc>
          <w:tcPr>
            <w:tcW w:w="2551" w:type="dxa"/>
            <w:tcBorders>
              <w:top w:val="none" w:sz="0" w:space="0" w:color="auto"/>
              <w:bottom w:val="none" w:sz="0" w:space="0" w:color="auto"/>
            </w:tcBorders>
            <w:noWrap/>
          </w:tcPr>
          <w:p w14:paraId="2469C032"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 xml:space="preserve">58.57 </w:t>
            </w:r>
            <w:r w:rsidRPr="00BB1154">
              <w:rPr>
                <w:rFonts w:ascii="Times New Roman" w:hAnsi="Times New Roman" w:cs="Times New Roman"/>
                <w:color w:val="000000"/>
                <w:sz w:val="20"/>
                <w:szCs w:val="20"/>
              </w:rPr>
              <w:t xml:space="preserve">± </w:t>
            </w:r>
            <w:r w:rsidRPr="00BB1154">
              <w:rPr>
                <w:rFonts w:ascii="Times New Roman" w:hAnsi="Times New Roman" w:cs="Times New Roman"/>
                <w:sz w:val="20"/>
                <w:szCs w:val="20"/>
              </w:rPr>
              <w:t>11.68</w:t>
            </w:r>
          </w:p>
        </w:tc>
        <w:tc>
          <w:tcPr>
            <w:tcW w:w="2549" w:type="dxa"/>
            <w:tcBorders>
              <w:top w:val="none" w:sz="0" w:space="0" w:color="auto"/>
              <w:bottom w:val="none" w:sz="0" w:space="0" w:color="auto"/>
            </w:tcBorders>
            <w:noWrap/>
          </w:tcPr>
          <w:p w14:paraId="07FF0A38"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49.68 ± 14.45</w:t>
            </w:r>
          </w:p>
        </w:tc>
        <w:tc>
          <w:tcPr>
            <w:tcW w:w="1014" w:type="dxa"/>
            <w:tcBorders>
              <w:top w:val="none" w:sz="0" w:space="0" w:color="auto"/>
              <w:bottom w:val="none" w:sz="0" w:space="0" w:color="auto"/>
              <w:right w:val="none" w:sz="0" w:space="0" w:color="auto"/>
            </w:tcBorders>
            <w:noWrap/>
          </w:tcPr>
          <w:p w14:paraId="5E37C7D4"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BB1154">
              <w:rPr>
                <w:rFonts w:ascii="Times New Roman" w:hAnsi="Times New Roman" w:cs="Times New Roman"/>
                <w:b/>
                <w:color w:val="000000"/>
                <w:sz w:val="20"/>
                <w:szCs w:val="20"/>
              </w:rPr>
              <w:t>0.011</w:t>
            </w:r>
          </w:p>
        </w:tc>
      </w:tr>
      <w:tr w:rsidR="00546B3D" w:rsidRPr="00BB1154" w14:paraId="7DDF9B3B" w14:textId="77777777" w:rsidTr="00483F42">
        <w:trPr>
          <w:trHeight w:val="677"/>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64D8A41" w14:textId="77777777" w:rsidR="00546B3D" w:rsidRPr="00BB1154" w:rsidRDefault="00546B3D" w:rsidP="00BB1154">
            <w:pPr>
              <w:spacing w:line="360" w:lineRule="auto"/>
              <w:jc w:val="both"/>
              <w:rPr>
                <w:rFonts w:ascii="Times New Roman" w:hAnsi="Times New Roman" w:cs="Times New Roman"/>
                <w:color w:val="000000"/>
                <w:sz w:val="20"/>
                <w:szCs w:val="20"/>
              </w:rPr>
            </w:pPr>
            <w:r w:rsidRPr="00BB1154">
              <w:rPr>
                <w:rFonts w:ascii="Times New Roman" w:hAnsi="Times New Roman" w:cs="Times New Roman"/>
                <w:color w:val="000000"/>
                <w:sz w:val="20"/>
                <w:szCs w:val="20"/>
              </w:rPr>
              <w:t>Haemoglobin(g/dl)</w:t>
            </w:r>
          </w:p>
        </w:tc>
        <w:tc>
          <w:tcPr>
            <w:tcW w:w="2551" w:type="dxa"/>
            <w:noWrap/>
            <w:hideMark/>
          </w:tcPr>
          <w:p w14:paraId="07BDADC4" w14:textId="7CE3E41D" w:rsidR="00546B3D"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bookmarkStart w:id="0" w:name="_Hlk56600883"/>
            <w:r w:rsidRPr="00BB1154">
              <w:rPr>
                <w:rFonts w:ascii="Times New Roman" w:hAnsi="Times New Roman" w:cs="Times New Roman"/>
                <w:color w:val="000000"/>
                <w:sz w:val="20"/>
                <w:szCs w:val="20"/>
              </w:rPr>
              <w:t>4</w:t>
            </w:r>
            <w:r w:rsidR="00546B3D" w:rsidRPr="00BB1154">
              <w:rPr>
                <w:rFonts w:ascii="Times New Roman" w:hAnsi="Times New Roman" w:cs="Times New Roman"/>
                <w:color w:val="000000"/>
                <w:sz w:val="20"/>
                <w:szCs w:val="20"/>
              </w:rPr>
              <w:t>.5 ± 1.</w:t>
            </w:r>
            <w:bookmarkEnd w:id="0"/>
            <w:r w:rsidRPr="00BB1154">
              <w:rPr>
                <w:rFonts w:ascii="Times New Roman" w:hAnsi="Times New Roman" w:cs="Times New Roman"/>
                <w:color w:val="000000"/>
                <w:sz w:val="20"/>
                <w:szCs w:val="20"/>
              </w:rPr>
              <w:t>8</w:t>
            </w:r>
          </w:p>
        </w:tc>
        <w:tc>
          <w:tcPr>
            <w:tcW w:w="2549" w:type="dxa"/>
            <w:noWrap/>
            <w:hideMark/>
          </w:tcPr>
          <w:p w14:paraId="12BFFCFE" w14:textId="6EF36CE9" w:rsidR="00546B3D"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bookmarkStart w:id="1" w:name="_Hlk56600907"/>
            <w:r w:rsidRPr="00BB1154">
              <w:rPr>
                <w:rFonts w:ascii="Times New Roman" w:hAnsi="Times New Roman" w:cs="Times New Roman"/>
                <w:color w:val="000000"/>
                <w:sz w:val="20"/>
                <w:szCs w:val="20"/>
              </w:rPr>
              <w:t xml:space="preserve">4.8 </w:t>
            </w:r>
            <w:r w:rsidR="00546B3D" w:rsidRPr="00BB1154">
              <w:rPr>
                <w:rFonts w:ascii="Times New Roman" w:hAnsi="Times New Roman" w:cs="Times New Roman"/>
                <w:color w:val="000000"/>
                <w:sz w:val="20"/>
                <w:szCs w:val="20"/>
              </w:rPr>
              <w:t xml:space="preserve">± </w:t>
            </w:r>
            <w:bookmarkEnd w:id="1"/>
            <w:r w:rsidRPr="00BB1154">
              <w:rPr>
                <w:rFonts w:ascii="Times New Roman" w:hAnsi="Times New Roman" w:cs="Times New Roman"/>
                <w:color w:val="000000"/>
                <w:sz w:val="20"/>
                <w:szCs w:val="20"/>
              </w:rPr>
              <w:t>1.4</w:t>
            </w:r>
          </w:p>
        </w:tc>
        <w:tc>
          <w:tcPr>
            <w:tcW w:w="1014" w:type="dxa"/>
            <w:noWrap/>
            <w:hideMark/>
          </w:tcPr>
          <w:p w14:paraId="6A594602" w14:textId="40E85A0A" w:rsidR="00546B3D"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0.573</w:t>
            </w:r>
          </w:p>
        </w:tc>
      </w:tr>
      <w:tr w:rsidR="00546B3D" w:rsidRPr="00BB1154" w14:paraId="10DA8E1F" w14:textId="77777777" w:rsidTr="00483F4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353" w:type="dxa"/>
            <w:tcBorders>
              <w:top w:val="none" w:sz="0" w:space="0" w:color="auto"/>
              <w:left w:val="none" w:sz="0" w:space="0" w:color="auto"/>
              <w:bottom w:val="none" w:sz="0" w:space="0" w:color="auto"/>
            </w:tcBorders>
            <w:noWrap/>
            <w:hideMark/>
          </w:tcPr>
          <w:p w14:paraId="065324D7" w14:textId="77777777" w:rsidR="00546B3D" w:rsidRPr="00BB1154" w:rsidRDefault="00546B3D" w:rsidP="00BB1154">
            <w:pPr>
              <w:spacing w:line="360" w:lineRule="auto"/>
              <w:jc w:val="both"/>
              <w:rPr>
                <w:rFonts w:ascii="Times New Roman" w:hAnsi="Times New Roman" w:cs="Times New Roman"/>
                <w:color w:val="000000"/>
                <w:sz w:val="20"/>
                <w:szCs w:val="20"/>
              </w:rPr>
            </w:pPr>
            <w:r w:rsidRPr="00BB1154">
              <w:rPr>
                <w:rFonts w:ascii="Times New Roman" w:hAnsi="Times New Roman" w:cs="Times New Roman"/>
                <w:color w:val="000000"/>
                <w:sz w:val="20"/>
                <w:szCs w:val="20"/>
              </w:rPr>
              <w:t>Total Leukocyte Count (/µL)</w:t>
            </w:r>
          </w:p>
        </w:tc>
        <w:tc>
          <w:tcPr>
            <w:tcW w:w="2551" w:type="dxa"/>
            <w:tcBorders>
              <w:top w:val="none" w:sz="0" w:space="0" w:color="auto"/>
              <w:bottom w:val="none" w:sz="0" w:space="0" w:color="auto"/>
            </w:tcBorders>
            <w:noWrap/>
            <w:hideMark/>
          </w:tcPr>
          <w:p w14:paraId="3EB91011"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6562.9 ± 1671.6</w:t>
            </w:r>
          </w:p>
        </w:tc>
        <w:tc>
          <w:tcPr>
            <w:tcW w:w="2549" w:type="dxa"/>
            <w:tcBorders>
              <w:top w:val="none" w:sz="0" w:space="0" w:color="auto"/>
              <w:bottom w:val="none" w:sz="0" w:space="0" w:color="auto"/>
            </w:tcBorders>
            <w:noWrap/>
            <w:hideMark/>
          </w:tcPr>
          <w:p w14:paraId="5CAA2C59"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7304.0 ± 1657.2</w:t>
            </w:r>
          </w:p>
        </w:tc>
        <w:tc>
          <w:tcPr>
            <w:tcW w:w="1014" w:type="dxa"/>
            <w:tcBorders>
              <w:top w:val="none" w:sz="0" w:space="0" w:color="auto"/>
              <w:bottom w:val="none" w:sz="0" w:space="0" w:color="auto"/>
              <w:right w:val="none" w:sz="0" w:space="0" w:color="auto"/>
            </w:tcBorders>
            <w:noWrap/>
            <w:hideMark/>
          </w:tcPr>
          <w:p w14:paraId="077439D0"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0.095</w:t>
            </w:r>
          </w:p>
        </w:tc>
      </w:tr>
      <w:tr w:rsidR="00546B3D" w:rsidRPr="00BB1154" w14:paraId="4DABB4A7" w14:textId="77777777" w:rsidTr="00483F42">
        <w:trPr>
          <w:trHeight w:val="677"/>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B8AFF86" w14:textId="77777777" w:rsidR="00546B3D" w:rsidRPr="00BB1154" w:rsidRDefault="00546B3D" w:rsidP="00BB1154">
            <w:pPr>
              <w:spacing w:line="360" w:lineRule="auto"/>
              <w:jc w:val="both"/>
              <w:rPr>
                <w:rFonts w:ascii="Times New Roman" w:hAnsi="Times New Roman" w:cs="Times New Roman"/>
                <w:color w:val="000000"/>
                <w:sz w:val="20"/>
                <w:szCs w:val="20"/>
              </w:rPr>
            </w:pPr>
            <w:r w:rsidRPr="00BB1154">
              <w:rPr>
                <w:rFonts w:ascii="Times New Roman" w:hAnsi="Times New Roman" w:cs="Times New Roman"/>
                <w:color w:val="000000"/>
                <w:sz w:val="20"/>
                <w:szCs w:val="20"/>
              </w:rPr>
              <w:t>Red Blood Cell count (*10^6/µL)</w:t>
            </w:r>
          </w:p>
        </w:tc>
        <w:tc>
          <w:tcPr>
            <w:tcW w:w="2551" w:type="dxa"/>
            <w:noWrap/>
            <w:hideMark/>
          </w:tcPr>
          <w:p w14:paraId="0E797D5E" w14:textId="77777777" w:rsidR="00546B3D" w:rsidRPr="00BB1154" w:rsidRDefault="00546B3D"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3.5 ± 0.7</w:t>
            </w:r>
          </w:p>
        </w:tc>
        <w:tc>
          <w:tcPr>
            <w:tcW w:w="2549" w:type="dxa"/>
            <w:noWrap/>
            <w:hideMark/>
          </w:tcPr>
          <w:p w14:paraId="65CB2FC6" w14:textId="77777777" w:rsidR="00546B3D" w:rsidRPr="00BB1154" w:rsidRDefault="00546B3D"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3.6 ± 0.6</w:t>
            </w:r>
          </w:p>
        </w:tc>
        <w:tc>
          <w:tcPr>
            <w:tcW w:w="1014" w:type="dxa"/>
            <w:noWrap/>
            <w:hideMark/>
          </w:tcPr>
          <w:p w14:paraId="3EF4BAB6" w14:textId="77777777" w:rsidR="00546B3D" w:rsidRPr="00BB1154" w:rsidRDefault="00546B3D"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0.579</w:t>
            </w:r>
          </w:p>
        </w:tc>
      </w:tr>
      <w:tr w:rsidR="00546B3D" w:rsidRPr="00BB1154" w14:paraId="33E70974" w14:textId="77777777" w:rsidTr="00483F4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353" w:type="dxa"/>
            <w:tcBorders>
              <w:top w:val="none" w:sz="0" w:space="0" w:color="auto"/>
              <w:left w:val="none" w:sz="0" w:space="0" w:color="auto"/>
              <w:bottom w:val="none" w:sz="0" w:space="0" w:color="auto"/>
            </w:tcBorders>
            <w:noWrap/>
            <w:hideMark/>
          </w:tcPr>
          <w:p w14:paraId="4F3E5105" w14:textId="77777777" w:rsidR="00546B3D" w:rsidRPr="00BB1154" w:rsidRDefault="00546B3D" w:rsidP="00BB1154">
            <w:pPr>
              <w:spacing w:line="360" w:lineRule="auto"/>
              <w:jc w:val="both"/>
              <w:rPr>
                <w:rFonts w:ascii="Times New Roman" w:hAnsi="Times New Roman" w:cs="Times New Roman"/>
                <w:color w:val="000000"/>
                <w:sz w:val="20"/>
                <w:szCs w:val="20"/>
              </w:rPr>
            </w:pPr>
            <w:r w:rsidRPr="00BB1154">
              <w:rPr>
                <w:rFonts w:ascii="Times New Roman" w:hAnsi="Times New Roman" w:cs="Times New Roman"/>
                <w:color w:val="000000"/>
                <w:sz w:val="20"/>
                <w:szCs w:val="20"/>
              </w:rPr>
              <w:t>Packed Cell Volume (%)</w:t>
            </w:r>
          </w:p>
        </w:tc>
        <w:tc>
          <w:tcPr>
            <w:tcW w:w="2551" w:type="dxa"/>
            <w:tcBorders>
              <w:top w:val="none" w:sz="0" w:space="0" w:color="auto"/>
              <w:bottom w:val="none" w:sz="0" w:space="0" w:color="auto"/>
            </w:tcBorders>
            <w:noWrap/>
            <w:hideMark/>
          </w:tcPr>
          <w:p w14:paraId="24B70B4E"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23.1 ± 5.8</w:t>
            </w:r>
          </w:p>
        </w:tc>
        <w:tc>
          <w:tcPr>
            <w:tcW w:w="2549" w:type="dxa"/>
            <w:tcBorders>
              <w:top w:val="none" w:sz="0" w:space="0" w:color="auto"/>
              <w:bottom w:val="none" w:sz="0" w:space="0" w:color="auto"/>
            </w:tcBorders>
            <w:noWrap/>
            <w:hideMark/>
          </w:tcPr>
          <w:p w14:paraId="1D3964B0"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24.6 ± 5.1</w:t>
            </w:r>
          </w:p>
        </w:tc>
        <w:tc>
          <w:tcPr>
            <w:tcW w:w="1014" w:type="dxa"/>
            <w:tcBorders>
              <w:top w:val="none" w:sz="0" w:space="0" w:color="auto"/>
              <w:bottom w:val="none" w:sz="0" w:space="0" w:color="auto"/>
              <w:right w:val="none" w:sz="0" w:space="0" w:color="auto"/>
            </w:tcBorders>
            <w:noWrap/>
            <w:hideMark/>
          </w:tcPr>
          <w:p w14:paraId="3DD87400"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0.309</w:t>
            </w:r>
          </w:p>
        </w:tc>
      </w:tr>
      <w:tr w:rsidR="00546B3D" w:rsidRPr="00BB1154" w14:paraId="01AE3B6C" w14:textId="77777777" w:rsidTr="00483F42">
        <w:trPr>
          <w:trHeight w:val="677"/>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1627EBB" w14:textId="77777777" w:rsidR="00546B3D" w:rsidRPr="00BB1154" w:rsidRDefault="00546B3D" w:rsidP="00BB1154">
            <w:pPr>
              <w:spacing w:line="360" w:lineRule="auto"/>
              <w:jc w:val="both"/>
              <w:rPr>
                <w:rFonts w:ascii="Times New Roman" w:hAnsi="Times New Roman" w:cs="Times New Roman"/>
                <w:color w:val="000000"/>
                <w:sz w:val="20"/>
                <w:szCs w:val="20"/>
              </w:rPr>
            </w:pPr>
            <w:r w:rsidRPr="00BB1154">
              <w:rPr>
                <w:rFonts w:ascii="Times New Roman" w:hAnsi="Times New Roman" w:cs="Times New Roman"/>
                <w:color w:val="000000"/>
                <w:sz w:val="20"/>
                <w:szCs w:val="20"/>
              </w:rPr>
              <w:t>Mean Corpuscular Volume(</w:t>
            </w:r>
            <w:proofErr w:type="spellStart"/>
            <w:r w:rsidRPr="00BB1154">
              <w:rPr>
                <w:rFonts w:ascii="Times New Roman" w:hAnsi="Times New Roman" w:cs="Times New Roman"/>
                <w:color w:val="000000"/>
                <w:sz w:val="20"/>
                <w:szCs w:val="20"/>
              </w:rPr>
              <w:t>fL</w:t>
            </w:r>
            <w:proofErr w:type="spellEnd"/>
            <w:r w:rsidRPr="00BB1154">
              <w:rPr>
                <w:rFonts w:ascii="Times New Roman" w:hAnsi="Times New Roman" w:cs="Times New Roman"/>
                <w:color w:val="000000"/>
                <w:sz w:val="20"/>
                <w:szCs w:val="20"/>
              </w:rPr>
              <w:t>)</w:t>
            </w:r>
          </w:p>
        </w:tc>
        <w:tc>
          <w:tcPr>
            <w:tcW w:w="2551" w:type="dxa"/>
            <w:noWrap/>
            <w:hideMark/>
          </w:tcPr>
          <w:p w14:paraId="7AA4B2BB" w14:textId="77777777" w:rsidR="00546B3D" w:rsidRPr="00BB1154" w:rsidRDefault="00546B3D"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65.5 ± 7.3</w:t>
            </w:r>
          </w:p>
        </w:tc>
        <w:tc>
          <w:tcPr>
            <w:tcW w:w="2549" w:type="dxa"/>
            <w:noWrap/>
            <w:hideMark/>
          </w:tcPr>
          <w:p w14:paraId="1B69B83B" w14:textId="77777777" w:rsidR="00546B3D" w:rsidRPr="00BB1154" w:rsidRDefault="00546B3D"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68.8 ± 4.7</w:t>
            </w:r>
          </w:p>
        </w:tc>
        <w:tc>
          <w:tcPr>
            <w:tcW w:w="1014" w:type="dxa"/>
            <w:noWrap/>
            <w:hideMark/>
          </w:tcPr>
          <w:p w14:paraId="41CD727F" w14:textId="77777777" w:rsidR="00546B3D" w:rsidRPr="00BB1154" w:rsidRDefault="00546B3D"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0.051</w:t>
            </w:r>
          </w:p>
        </w:tc>
      </w:tr>
      <w:tr w:rsidR="00546B3D" w:rsidRPr="00BB1154" w14:paraId="47991D8F" w14:textId="77777777" w:rsidTr="00483F4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353" w:type="dxa"/>
            <w:tcBorders>
              <w:top w:val="none" w:sz="0" w:space="0" w:color="auto"/>
              <w:left w:val="none" w:sz="0" w:space="0" w:color="auto"/>
              <w:bottom w:val="none" w:sz="0" w:space="0" w:color="auto"/>
            </w:tcBorders>
            <w:noWrap/>
            <w:hideMark/>
          </w:tcPr>
          <w:p w14:paraId="142A4413" w14:textId="77777777" w:rsidR="00546B3D" w:rsidRPr="00BB1154" w:rsidRDefault="00546B3D" w:rsidP="00BB1154">
            <w:pPr>
              <w:spacing w:line="360" w:lineRule="auto"/>
              <w:jc w:val="both"/>
              <w:rPr>
                <w:rFonts w:ascii="Times New Roman" w:hAnsi="Times New Roman" w:cs="Times New Roman"/>
                <w:color w:val="000000"/>
                <w:sz w:val="20"/>
                <w:szCs w:val="20"/>
              </w:rPr>
            </w:pPr>
            <w:r w:rsidRPr="00BB1154">
              <w:rPr>
                <w:rFonts w:ascii="Times New Roman" w:hAnsi="Times New Roman" w:cs="Times New Roman"/>
                <w:color w:val="000000"/>
                <w:sz w:val="20"/>
                <w:szCs w:val="20"/>
              </w:rPr>
              <w:t>Mean corpuscular haemoglobin (</w:t>
            </w:r>
            <w:proofErr w:type="spellStart"/>
            <w:r w:rsidRPr="00BB1154">
              <w:rPr>
                <w:rFonts w:ascii="Times New Roman" w:hAnsi="Times New Roman" w:cs="Times New Roman"/>
                <w:color w:val="000000"/>
                <w:sz w:val="20"/>
                <w:szCs w:val="20"/>
              </w:rPr>
              <w:t>pgms</w:t>
            </w:r>
            <w:proofErr w:type="spellEnd"/>
            <w:r w:rsidRPr="00BB1154">
              <w:rPr>
                <w:rFonts w:ascii="Times New Roman" w:hAnsi="Times New Roman" w:cs="Times New Roman"/>
                <w:color w:val="000000"/>
                <w:sz w:val="20"/>
                <w:szCs w:val="20"/>
              </w:rPr>
              <w:t>)</w:t>
            </w:r>
          </w:p>
        </w:tc>
        <w:tc>
          <w:tcPr>
            <w:tcW w:w="2551" w:type="dxa"/>
            <w:tcBorders>
              <w:top w:val="none" w:sz="0" w:space="0" w:color="auto"/>
              <w:bottom w:val="none" w:sz="0" w:space="0" w:color="auto"/>
            </w:tcBorders>
            <w:noWrap/>
            <w:hideMark/>
          </w:tcPr>
          <w:p w14:paraId="34825C54"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21.3 ± 3.3</w:t>
            </w:r>
          </w:p>
        </w:tc>
        <w:tc>
          <w:tcPr>
            <w:tcW w:w="2549" w:type="dxa"/>
            <w:tcBorders>
              <w:top w:val="none" w:sz="0" w:space="0" w:color="auto"/>
              <w:bottom w:val="none" w:sz="0" w:space="0" w:color="auto"/>
            </w:tcBorders>
            <w:noWrap/>
            <w:hideMark/>
          </w:tcPr>
          <w:p w14:paraId="081CE1AE"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21.8 ± 2.3</w:t>
            </w:r>
          </w:p>
        </w:tc>
        <w:tc>
          <w:tcPr>
            <w:tcW w:w="1014" w:type="dxa"/>
            <w:tcBorders>
              <w:top w:val="none" w:sz="0" w:space="0" w:color="auto"/>
              <w:bottom w:val="none" w:sz="0" w:space="0" w:color="auto"/>
              <w:right w:val="none" w:sz="0" w:space="0" w:color="auto"/>
            </w:tcBorders>
            <w:noWrap/>
            <w:hideMark/>
          </w:tcPr>
          <w:p w14:paraId="570A778C"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0.473</w:t>
            </w:r>
          </w:p>
        </w:tc>
      </w:tr>
      <w:tr w:rsidR="00546B3D" w:rsidRPr="00BB1154" w14:paraId="7E2A2B47" w14:textId="77777777" w:rsidTr="00483F42">
        <w:trPr>
          <w:trHeight w:val="677"/>
        </w:trPr>
        <w:tc>
          <w:tcPr>
            <w:cnfStyle w:val="001000000000" w:firstRow="0" w:lastRow="0" w:firstColumn="1" w:lastColumn="0" w:oddVBand="0" w:evenVBand="0" w:oddHBand="0" w:evenHBand="0" w:firstRowFirstColumn="0" w:firstRowLastColumn="0" w:lastRowFirstColumn="0" w:lastRowLastColumn="0"/>
            <w:tcW w:w="3353" w:type="dxa"/>
            <w:noWrap/>
            <w:hideMark/>
          </w:tcPr>
          <w:p w14:paraId="580FDFC6" w14:textId="77777777" w:rsidR="00546B3D" w:rsidRPr="00BB1154" w:rsidRDefault="00546B3D" w:rsidP="00BB1154">
            <w:pPr>
              <w:spacing w:line="360" w:lineRule="auto"/>
              <w:jc w:val="both"/>
              <w:rPr>
                <w:rFonts w:ascii="Times New Roman" w:hAnsi="Times New Roman" w:cs="Times New Roman"/>
                <w:color w:val="000000"/>
                <w:sz w:val="20"/>
                <w:szCs w:val="20"/>
              </w:rPr>
            </w:pPr>
            <w:r w:rsidRPr="00BB1154">
              <w:rPr>
                <w:rFonts w:ascii="Times New Roman" w:hAnsi="Times New Roman" w:cs="Times New Roman"/>
                <w:color w:val="000000"/>
                <w:sz w:val="20"/>
                <w:szCs w:val="20"/>
              </w:rPr>
              <w:t>Mean corpuscular haemoglobin concentration (g/dL)</w:t>
            </w:r>
          </w:p>
        </w:tc>
        <w:tc>
          <w:tcPr>
            <w:tcW w:w="2551" w:type="dxa"/>
            <w:noWrap/>
            <w:hideMark/>
          </w:tcPr>
          <w:p w14:paraId="74088D30" w14:textId="77777777" w:rsidR="00546B3D" w:rsidRPr="00BB1154" w:rsidRDefault="00546B3D"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32.6 ± 4.2</w:t>
            </w:r>
          </w:p>
        </w:tc>
        <w:tc>
          <w:tcPr>
            <w:tcW w:w="2549" w:type="dxa"/>
            <w:noWrap/>
            <w:hideMark/>
          </w:tcPr>
          <w:p w14:paraId="071D579D" w14:textId="77777777" w:rsidR="00546B3D" w:rsidRPr="00BB1154" w:rsidRDefault="00546B3D"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32.0 ± 3.9</w:t>
            </w:r>
          </w:p>
        </w:tc>
        <w:tc>
          <w:tcPr>
            <w:tcW w:w="1014" w:type="dxa"/>
            <w:noWrap/>
            <w:hideMark/>
          </w:tcPr>
          <w:p w14:paraId="0BB6C82D" w14:textId="77777777" w:rsidR="00546B3D" w:rsidRPr="00BB1154" w:rsidRDefault="00546B3D"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0.548</w:t>
            </w:r>
          </w:p>
        </w:tc>
      </w:tr>
      <w:tr w:rsidR="00546B3D" w:rsidRPr="00BB1154" w14:paraId="1E1606C0" w14:textId="77777777" w:rsidTr="00483F4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353" w:type="dxa"/>
            <w:tcBorders>
              <w:top w:val="none" w:sz="0" w:space="0" w:color="auto"/>
              <w:left w:val="none" w:sz="0" w:space="0" w:color="auto"/>
              <w:bottom w:val="none" w:sz="0" w:space="0" w:color="auto"/>
            </w:tcBorders>
            <w:noWrap/>
            <w:hideMark/>
          </w:tcPr>
          <w:p w14:paraId="32CB4731" w14:textId="77777777" w:rsidR="00546B3D" w:rsidRPr="00BB1154" w:rsidRDefault="00546B3D" w:rsidP="00BB1154">
            <w:pPr>
              <w:spacing w:line="360" w:lineRule="auto"/>
              <w:jc w:val="both"/>
              <w:rPr>
                <w:rFonts w:ascii="Times New Roman" w:hAnsi="Times New Roman" w:cs="Times New Roman"/>
                <w:color w:val="000000"/>
                <w:sz w:val="20"/>
                <w:szCs w:val="20"/>
              </w:rPr>
            </w:pPr>
            <w:r w:rsidRPr="00BB1154">
              <w:rPr>
                <w:rFonts w:ascii="Times New Roman" w:hAnsi="Times New Roman" w:cs="Times New Roman"/>
                <w:color w:val="000000"/>
                <w:sz w:val="20"/>
                <w:szCs w:val="20"/>
              </w:rPr>
              <w:t>Red cell Distribution Width (%)</w:t>
            </w:r>
          </w:p>
        </w:tc>
        <w:tc>
          <w:tcPr>
            <w:tcW w:w="2551" w:type="dxa"/>
            <w:tcBorders>
              <w:top w:val="none" w:sz="0" w:space="0" w:color="auto"/>
              <w:bottom w:val="none" w:sz="0" w:space="0" w:color="auto"/>
            </w:tcBorders>
            <w:noWrap/>
            <w:hideMark/>
          </w:tcPr>
          <w:p w14:paraId="3B76FB24"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19.8 ± 2.8</w:t>
            </w:r>
          </w:p>
        </w:tc>
        <w:tc>
          <w:tcPr>
            <w:tcW w:w="2549" w:type="dxa"/>
            <w:tcBorders>
              <w:top w:val="none" w:sz="0" w:space="0" w:color="auto"/>
              <w:bottom w:val="none" w:sz="0" w:space="0" w:color="auto"/>
            </w:tcBorders>
            <w:noWrap/>
            <w:hideMark/>
          </w:tcPr>
          <w:p w14:paraId="5E8D73D6"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19.1 ± 2.7</w:t>
            </w:r>
          </w:p>
        </w:tc>
        <w:tc>
          <w:tcPr>
            <w:tcW w:w="1014" w:type="dxa"/>
            <w:tcBorders>
              <w:top w:val="none" w:sz="0" w:space="0" w:color="auto"/>
              <w:bottom w:val="none" w:sz="0" w:space="0" w:color="auto"/>
              <w:right w:val="none" w:sz="0" w:space="0" w:color="auto"/>
            </w:tcBorders>
            <w:noWrap/>
            <w:hideMark/>
          </w:tcPr>
          <w:p w14:paraId="73A1B7D3"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0.33</w:t>
            </w:r>
          </w:p>
        </w:tc>
      </w:tr>
      <w:tr w:rsidR="00546B3D" w:rsidRPr="00BB1154" w14:paraId="02CEF38F" w14:textId="77777777" w:rsidTr="00483F42">
        <w:trPr>
          <w:trHeight w:val="669"/>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E0DB935" w14:textId="77777777" w:rsidR="00546B3D" w:rsidRPr="00BB1154" w:rsidRDefault="00546B3D" w:rsidP="00BB1154">
            <w:pPr>
              <w:spacing w:line="360" w:lineRule="auto"/>
              <w:jc w:val="both"/>
              <w:rPr>
                <w:rFonts w:ascii="Times New Roman" w:hAnsi="Times New Roman" w:cs="Times New Roman"/>
                <w:color w:val="000000"/>
                <w:sz w:val="20"/>
                <w:szCs w:val="20"/>
              </w:rPr>
            </w:pPr>
            <w:r w:rsidRPr="00BB1154">
              <w:rPr>
                <w:rFonts w:ascii="Times New Roman" w:hAnsi="Times New Roman" w:cs="Times New Roman"/>
                <w:color w:val="000000"/>
                <w:sz w:val="20"/>
                <w:szCs w:val="20"/>
              </w:rPr>
              <w:t>Corrected Retic Count (%)</w:t>
            </w:r>
          </w:p>
        </w:tc>
        <w:tc>
          <w:tcPr>
            <w:tcW w:w="2551" w:type="dxa"/>
            <w:noWrap/>
            <w:hideMark/>
          </w:tcPr>
          <w:p w14:paraId="7F870EB3" w14:textId="77777777" w:rsidR="00546B3D" w:rsidRPr="00BB1154" w:rsidRDefault="00546B3D"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0.9 ± 0.5</w:t>
            </w:r>
          </w:p>
        </w:tc>
        <w:tc>
          <w:tcPr>
            <w:tcW w:w="2549" w:type="dxa"/>
            <w:noWrap/>
            <w:hideMark/>
          </w:tcPr>
          <w:p w14:paraId="7B4BF12B" w14:textId="77777777" w:rsidR="00546B3D" w:rsidRPr="00BB1154" w:rsidRDefault="00546B3D"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1.0 ± 0.4</w:t>
            </w:r>
          </w:p>
        </w:tc>
        <w:tc>
          <w:tcPr>
            <w:tcW w:w="1014" w:type="dxa"/>
            <w:noWrap/>
            <w:hideMark/>
          </w:tcPr>
          <w:p w14:paraId="2B700079" w14:textId="77777777" w:rsidR="00546B3D" w:rsidRPr="00BB1154" w:rsidRDefault="00546B3D"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0.508</w:t>
            </w:r>
          </w:p>
        </w:tc>
      </w:tr>
      <w:tr w:rsidR="00546B3D" w:rsidRPr="00BB1154" w14:paraId="0B0D1D98" w14:textId="77777777" w:rsidTr="00483F42">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3353" w:type="dxa"/>
            <w:tcBorders>
              <w:top w:val="none" w:sz="0" w:space="0" w:color="auto"/>
              <w:left w:val="none" w:sz="0" w:space="0" w:color="auto"/>
              <w:bottom w:val="none" w:sz="0" w:space="0" w:color="auto"/>
            </w:tcBorders>
            <w:noWrap/>
          </w:tcPr>
          <w:p w14:paraId="58626102" w14:textId="77777777" w:rsidR="00546B3D" w:rsidRPr="00BB1154" w:rsidRDefault="00546B3D" w:rsidP="00BB1154">
            <w:pPr>
              <w:spacing w:line="360" w:lineRule="auto"/>
              <w:jc w:val="both"/>
              <w:rPr>
                <w:rFonts w:ascii="Times New Roman" w:hAnsi="Times New Roman" w:cs="Times New Roman"/>
                <w:color w:val="000000"/>
                <w:sz w:val="20"/>
                <w:szCs w:val="20"/>
              </w:rPr>
            </w:pPr>
            <w:r w:rsidRPr="00BB1154">
              <w:rPr>
                <w:rFonts w:ascii="Times New Roman" w:hAnsi="Times New Roman" w:cs="Times New Roman"/>
                <w:color w:val="000000"/>
                <w:sz w:val="20"/>
                <w:szCs w:val="20"/>
              </w:rPr>
              <w:t>Faecal occult Blood positive(n)</w:t>
            </w:r>
          </w:p>
        </w:tc>
        <w:tc>
          <w:tcPr>
            <w:tcW w:w="2551" w:type="dxa"/>
            <w:tcBorders>
              <w:top w:val="none" w:sz="0" w:space="0" w:color="auto"/>
              <w:bottom w:val="none" w:sz="0" w:space="0" w:color="auto"/>
            </w:tcBorders>
            <w:noWrap/>
          </w:tcPr>
          <w:p w14:paraId="51305C13"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30/5</w:t>
            </w:r>
          </w:p>
        </w:tc>
        <w:tc>
          <w:tcPr>
            <w:tcW w:w="2549" w:type="dxa"/>
            <w:tcBorders>
              <w:top w:val="none" w:sz="0" w:space="0" w:color="auto"/>
              <w:bottom w:val="none" w:sz="0" w:space="0" w:color="auto"/>
            </w:tcBorders>
            <w:noWrap/>
          </w:tcPr>
          <w:p w14:paraId="47492748"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1154">
              <w:rPr>
                <w:rFonts w:ascii="Times New Roman" w:hAnsi="Times New Roman" w:cs="Times New Roman"/>
                <w:color w:val="000000"/>
                <w:sz w:val="20"/>
                <w:szCs w:val="20"/>
              </w:rPr>
              <w:t>4/21</w:t>
            </w:r>
          </w:p>
        </w:tc>
        <w:tc>
          <w:tcPr>
            <w:tcW w:w="1014" w:type="dxa"/>
            <w:tcBorders>
              <w:top w:val="none" w:sz="0" w:space="0" w:color="auto"/>
              <w:bottom w:val="none" w:sz="0" w:space="0" w:color="auto"/>
              <w:right w:val="none" w:sz="0" w:space="0" w:color="auto"/>
            </w:tcBorders>
            <w:noWrap/>
          </w:tcPr>
          <w:p w14:paraId="5C74E1F3" w14:textId="77777777" w:rsidR="00546B3D" w:rsidRPr="00BB1154" w:rsidRDefault="00546B3D"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BB1154">
              <w:rPr>
                <w:rFonts w:ascii="Times New Roman" w:hAnsi="Times New Roman" w:cs="Times New Roman"/>
                <w:b/>
                <w:color w:val="000000"/>
                <w:sz w:val="20"/>
                <w:szCs w:val="20"/>
              </w:rPr>
              <w:t>0.001</w:t>
            </w:r>
          </w:p>
        </w:tc>
      </w:tr>
    </w:tbl>
    <w:p w14:paraId="0D739AD1" w14:textId="550BD1A1" w:rsidR="00461F62" w:rsidRPr="00BB1154" w:rsidRDefault="00461F62" w:rsidP="00BB1154">
      <w:pPr>
        <w:spacing w:line="360" w:lineRule="auto"/>
        <w:jc w:val="both"/>
        <w:rPr>
          <w:rFonts w:ascii="Times New Roman" w:hAnsi="Times New Roman" w:cs="Times New Roman"/>
          <w:sz w:val="20"/>
          <w:szCs w:val="20"/>
        </w:rPr>
      </w:pPr>
      <w:proofErr w:type="gramStart"/>
      <w:r w:rsidRPr="00BB1154">
        <w:rPr>
          <w:rFonts w:ascii="Times New Roman" w:hAnsi="Times New Roman" w:cs="Times New Roman"/>
          <w:sz w:val="20"/>
          <w:szCs w:val="20"/>
        </w:rPr>
        <w:t>Table 1, shows comparison of mean value of various iron study estimation parameters among the two study groups – 1.</w:t>
      </w:r>
      <w:proofErr w:type="gramEnd"/>
      <w:r w:rsidRPr="00BB1154">
        <w:rPr>
          <w:rFonts w:ascii="Times New Roman" w:hAnsi="Times New Roman" w:cs="Times New Roman"/>
          <w:sz w:val="20"/>
          <w:szCs w:val="20"/>
        </w:rPr>
        <w:t xml:space="preserve"> </w:t>
      </w:r>
      <w:proofErr w:type="gramStart"/>
      <w:r w:rsidRPr="00BB1154">
        <w:rPr>
          <w:rFonts w:ascii="Times New Roman" w:hAnsi="Times New Roman" w:cs="Times New Roman"/>
          <w:sz w:val="20"/>
          <w:szCs w:val="20"/>
        </w:rPr>
        <w:t>Those with GI lesions responsible for IDA and 2.</w:t>
      </w:r>
      <w:proofErr w:type="gramEnd"/>
      <w:r w:rsidRPr="00BB1154">
        <w:rPr>
          <w:rFonts w:ascii="Times New Roman" w:hAnsi="Times New Roman" w:cs="Times New Roman"/>
          <w:sz w:val="20"/>
          <w:szCs w:val="20"/>
        </w:rPr>
        <w:t xml:space="preserve"> </w:t>
      </w:r>
      <w:proofErr w:type="gramStart"/>
      <w:r w:rsidRPr="00BB1154">
        <w:rPr>
          <w:rFonts w:ascii="Times New Roman" w:hAnsi="Times New Roman" w:cs="Times New Roman"/>
          <w:sz w:val="20"/>
          <w:szCs w:val="20"/>
        </w:rPr>
        <w:t xml:space="preserve">Those with normal upper GI endoscopy or with GI lesions not </w:t>
      </w:r>
      <w:r w:rsidRPr="00BB1154">
        <w:rPr>
          <w:rFonts w:ascii="Times New Roman" w:hAnsi="Times New Roman" w:cs="Times New Roman"/>
          <w:sz w:val="20"/>
          <w:szCs w:val="20"/>
        </w:rPr>
        <w:lastRenderedPageBreak/>
        <w:t>responsible for IDA.</w:t>
      </w:r>
      <w:proofErr w:type="gramEnd"/>
      <w:r w:rsidRPr="00BB1154">
        <w:rPr>
          <w:rFonts w:ascii="Times New Roman" w:hAnsi="Times New Roman" w:cs="Times New Roman"/>
          <w:sz w:val="20"/>
          <w:szCs w:val="20"/>
        </w:rPr>
        <w:t xml:space="preserve"> There was no statistically significant difference in mean value of biochemical parameters among two groups using T test (p&gt;0.05). Among demographic variables age and faecal occult blood had statistically significant association with GI lesions responsible for IDA using Chi square test (p&lt;0.05). </w:t>
      </w:r>
      <w:r w:rsidRPr="00BB1154">
        <w:rPr>
          <w:rFonts w:ascii="Times New Roman" w:hAnsi="Times New Roman" w:cs="Times New Roman"/>
          <w:bCs/>
          <w:sz w:val="20"/>
          <w:szCs w:val="20"/>
        </w:rPr>
        <w:t xml:space="preserve">Mean value of iron study parameter was compared using Student’s T-test between two groups and </w:t>
      </w:r>
      <w:r w:rsidRPr="00BB1154">
        <w:rPr>
          <w:rFonts w:ascii="Times New Roman" w:hAnsi="Times New Roman" w:cs="Times New Roman"/>
          <w:sz w:val="20"/>
          <w:szCs w:val="20"/>
        </w:rPr>
        <w:t>there was no statistically significant difference in mean values of any of the Iron study parameters among both the groups (p&gt;0.05). Abnormal abdominal ultrasound examination was found in 26.7% cases with the predominant findings being that of Hepatosplenomegaly.</w:t>
      </w:r>
    </w:p>
    <w:p w14:paraId="6E59B1B8" w14:textId="3EE79C34" w:rsidR="00461F62" w:rsidRPr="00BB1154" w:rsidRDefault="00461F62" w:rsidP="00BB1154">
      <w:pPr>
        <w:spacing w:line="360" w:lineRule="auto"/>
        <w:jc w:val="both"/>
        <w:rPr>
          <w:rFonts w:ascii="Times New Roman" w:hAnsi="Times New Roman" w:cs="Times New Roman"/>
          <w:b/>
          <w:bCs/>
          <w:sz w:val="20"/>
          <w:szCs w:val="20"/>
        </w:rPr>
      </w:pPr>
      <w:r w:rsidRPr="00BB1154">
        <w:rPr>
          <w:rFonts w:ascii="Times New Roman" w:hAnsi="Times New Roman" w:cs="Times New Roman"/>
          <w:b/>
          <w:bCs/>
          <w:sz w:val="20"/>
          <w:szCs w:val="20"/>
        </w:rPr>
        <w:t>Table - 2 Upper GI gross findings on endoscopy</w:t>
      </w:r>
    </w:p>
    <w:tbl>
      <w:tblPr>
        <w:tblStyle w:val="LightList-Accent2"/>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512"/>
        <w:gridCol w:w="2663"/>
        <w:gridCol w:w="1265"/>
      </w:tblGrid>
      <w:tr w:rsidR="00461F62" w:rsidRPr="00BB1154" w14:paraId="26158C18" w14:textId="77777777" w:rsidTr="00483F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2FAA64E1" w14:textId="77777777" w:rsidR="00461F62" w:rsidRPr="00BB1154" w:rsidRDefault="00461F62"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Oesophagus</w:t>
            </w:r>
          </w:p>
        </w:tc>
        <w:tc>
          <w:tcPr>
            <w:tcW w:w="3512" w:type="dxa"/>
            <w:noWrap/>
            <w:hideMark/>
          </w:tcPr>
          <w:p w14:paraId="36ECC8A8" w14:textId="77777777" w:rsidR="00461F62" w:rsidRPr="00BB1154" w:rsidRDefault="00461F62" w:rsidP="00BB115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1154">
              <w:rPr>
                <w:rFonts w:ascii="Times New Roman" w:hAnsi="Times New Roman" w:cs="Times New Roman"/>
                <w:sz w:val="20"/>
                <w:szCs w:val="20"/>
              </w:rPr>
              <w:t>Gross Findings</w:t>
            </w:r>
          </w:p>
        </w:tc>
        <w:tc>
          <w:tcPr>
            <w:tcW w:w="2663" w:type="dxa"/>
            <w:noWrap/>
            <w:hideMark/>
          </w:tcPr>
          <w:p w14:paraId="34DAA25C" w14:textId="77777777" w:rsidR="00461F62" w:rsidRPr="00BB1154" w:rsidRDefault="00461F62" w:rsidP="00BB115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1154">
              <w:rPr>
                <w:rFonts w:ascii="Times New Roman" w:hAnsi="Times New Roman" w:cs="Times New Roman"/>
                <w:sz w:val="20"/>
                <w:szCs w:val="20"/>
              </w:rPr>
              <w:t>Number of patients</w:t>
            </w:r>
          </w:p>
          <w:p w14:paraId="42936848" w14:textId="77777777" w:rsidR="00461F62" w:rsidRPr="00BB1154" w:rsidRDefault="00461F62" w:rsidP="00BB115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1154">
              <w:rPr>
                <w:rFonts w:ascii="Times New Roman" w:hAnsi="Times New Roman" w:cs="Times New Roman"/>
                <w:sz w:val="20"/>
                <w:szCs w:val="20"/>
              </w:rPr>
              <w:t>(n = 60)</w:t>
            </w:r>
          </w:p>
        </w:tc>
        <w:tc>
          <w:tcPr>
            <w:tcW w:w="1265" w:type="dxa"/>
            <w:noWrap/>
            <w:hideMark/>
          </w:tcPr>
          <w:p w14:paraId="2C146939" w14:textId="77777777" w:rsidR="00461F62" w:rsidRPr="00BB1154" w:rsidRDefault="00461F62" w:rsidP="00BB115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1154">
              <w:rPr>
                <w:rFonts w:ascii="Times New Roman" w:hAnsi="Times New Roman" w:cs="Times New Roman"/>
                <w:sz w:val="20"/>
                <w:szCs w:val="20"/>
              </w:rPr>
              <w:t>Percentage (%)</w:t>
            </w:r>
          </w:p>
        </w:tc>
      </w:tr>
      <w:tr w:rsidR="00461F62" w:rsidRPr="00BB1154" w14:paraId="170BFE70" w14:textId="77777777" w:rsidTr="00483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Merge/>
            <w:tcBorders>
              <w:top w:val="none" w:sz="0" w:space="0" w:color="auto"/>
              <w:left w:val="none" w:sz="0" w:space="0" w:color="auto"/>
              <w:bottom w:val="none" w:sz="0" w:space="0" w:color="auto"/>
            </w:tcBorders>
            <w:hideMark/>
          </w:tcPr>
          <w:p w14:paraId="23AC4D23"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tcBorders>
              <w:top w:val="none" w:sz="0" w:space="0" w:color="auto"/>
              <w:bottom w:val="none" w:sz="0" w:space="0" w:color="auto"/>
            </w:tcBorders>
            <w:noWrap/>
            <w:hideMark/>
          </w:tcPr>
          <w:p w14:paraId="2417F815"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Normal</w:t>
            </w:r>
          </w:p>
        </w:tc>
        <w:tc>
          <w:tcPr>
            <w:tcW w:w="2663" w:type="dxa"/>
            <w:tcBorders>
              <w:top w:val="none" w:sz="0" w:space="0" w:color="auto"/>
              <w:bottom w:val="none" w:sz="0" w:space="0" w:color="auto"/>
            </w:tcBorders>
            <w:noWrap/>
            <w:hideMark/>
          </w:tcPr>
          <w:p w14:paraId="4694F23A"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36</w:t>
            </w:r>
          </w:p>
        </w:tc>
        <w:tc>
          <w:tcPr>
            <w:tcW w:w="1265" w:type="dxa"/>
            <w:tcBorders>
              <w:top w:val="none" w:sz="0" w:space="0" w:color="auto"/>
              <w:bottom w:val="none" w:sz="0" w:space="0" w:color="auto"/>
              <w:right w:val="none" w:sz="0" w:space="0" w:color="auto"/>
            </w:tcBorders>
            <w:noWrap/>
            <w:hideMark/>
          </w:tcPr>
          <w:p w14:paraId="5B1D888A"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60</w:t>
            </w:r>
          </w:p>
        </w:tc>
      </w:tr>
      <w:tr w:rsidR="00461F62" w:rsidRPr="00BB1154" w14:paraId="60FA6B77" w14:textId="77777777" w:rsidTr="00483F42">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422CBC2B"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noWrap/>
            <w:hideMark/>
          </w:tcPr>
          <w:p w14:paraId="493BA147"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Erosive Esophagitis</w:t>
            </w:r>
          </w:p>
        </w:tc>
        <w:tc>
          <w:tcPr>
            <w:tcW w:w="2663" w:type="dxa"/>
            <w:noWrap/>
            <w:hideMark/>
          </w:tcPr>
          <w:p w14:paraId="0FA6EA9A"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12</w:t>
            </w:r>
          </w:p>
        </w:tc>
        <w:tc>
          <w:tcPr>
            <w:tcW w:w="1265" w:type="dxa"/>
            <w:noWrap/>
            <w:hideMark/>
          </w:tcPr>
          <w:p w14:paraId="1182C634"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20</w:t>
            </w:r>
          </w:p>
        </w:tc>
      </w:tr>
      <w:tr w:rsidR="00461F62" w:rsidRPr="00BB1154" w14:paraId="3152A599" w14:textId="77777777" w:rsidTr="00483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Merge/>
            <w:tcBorders>
              <w:top w:val="none" w:sz="0" w:space="0" w:color="auto"/>
              <w:left w:val="none" w:sz="0" w:space="0" w:color="auto"/>
              <w:bottom w:val="none" w:sz="0" w:space="0" w:color="auto"/>
            </w:tcBorders>
            <w:hideMark/>
          </w:tcPr>
          <w:p w14:paraId="01F9A560"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tcBorders>
              <w:top w:val="none" w:sz="0" w:space="0" w:color="auto"/>
              <w:bottom w:val="none" w:sz="0" w:space="0" w:color="auto"/>
            </w:tcBorders>
            <w:noWrap/>
            <w:hideMark/>
          </w:tcPr>
          <w:p w14:paraId="614A11FD"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Hiatus Hernia with erosions</w:t>
            </w:r>
          </w:p>
        </w:tc>
        <w:tc>
          <w:tcPr>
            <w:tcW w:w="2663" w:type="dxa"/>
            <w:tcBorders>
              <w:top w:val="none" w:sz="0" w:space="0" w:color="auto"/>
              <w:bottom w:val="none" w:sz="0" w:space="0" w:color="auto"/>
            </w:tcBorders>
            <w:noWrap/>
            <w:hideMark/>
          </w:tcPr>
          <w:p w14:paraId="71A10701"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3</w:t>
            </w:r>
          </w:p>
        </w:tc>
        <w:tc>
          <w:tcPr>
            <w:tcW w:w="1265" w:type="dxa"/>
            <w:tcBorders>
              <w:top w:val="none" w:sz="0" w:space="0" w:color="auto"/>
              <w:bottom w:val="none" w:sz="0" w:space="0" w:color="auto"/>
              <w:right w:val="none" w:sz="0" w:space="0" w:color="auto"/>
            </w:tcBorders>
            <w:noWrap/>
            <w:hideMark/>
          </w:tcPr>
          <w:p w14:paraId="49969804"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5</w:t>
            </w:r>
          </w:p>
        </w:tc>
      </w:tr>
      <w:tr w:rsidR="00461F62" w:rsidRPr="00BB1154" w14:paraId="364DC08D" w14:textId="77777777" w:rsidTr="00483F42">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4AA7B7BF"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noWrap/>
            <w:hideMark/>
          </w:tcPr>
          <w:p w14:paraId="1F40FA13"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Oesophageal Varices</w:t>
            </w:r>
          </w:p>
        </w:tc>
        <w:tc>
          <w:tcPr>
            <w:tcW w:w="2663" w:type="dxa"/>
            <w:noWrap/>
            <w:hideMark/>
          </w:tcPr>
          <w:p w14:paraId="1AC65CA8"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5</w:t>
            </w:r>
          </w:p>
        </w:tc>
        <w:tc>
          <w:tcPr>
            <w:tcW w:w="1265" w:type="dxa"/>
            <w:noWrap/>
            <w:hideMark/>
          </w:tcPr>
          <w:p w14:paraId="46DD63E2"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8.4</w:t>
            </w:r>
          </w:p>
        </w:tc>
      </w:tr>
      <w:tr w:rsidR="00461F62" w:rsidRPr="00BB1154" w14:paraId="3E6D5122" w14:textId="77777777" w:rsidTr="00483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Merge/>
            <w:tcBorders>
              <w:top w:val="none" w:sz="0" w:space="0" w:color="auto"/>
              <w:left w:val="none" w:sz="0" w:space="0" w:color="auto"/>
              <w:bottom w:val="none" w:sz="0" w:space="0" w:color="auto"/>
            </w:tcBorders>
            <w:hideMark/>
          </w:tcPr>
          <w:p w14:paraId="5FE0A6D4"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tcBorders>
              <w:top w:val="none" w:sz="0" w:space="0" w:color="auto"/>
              <w:bottom w:val="none" w:sz="0" w:space="0" w:color="auto"/>
            </w:tcBorders>
            <w:noWrap/>
            <w:hideMark/>
          </w:tcPr>
          <w:p w14:paraId="486D0967"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Oesophageal mass lesion</w:t>
            </w:r>
          </w:p>
        </w:tc>
        <w:tc>
          <w:tcPr>
            <w:tcW w:w="2663" w:type="dxa"/>
            <w:tcBorders>
              <w:top w:val="none" w:sz="0" w:space="0" w:color="auto"/>
              <w:bottom w:val="none" w:sz="0" w:space="0" w:color="auto"/>
            </w:tcBorders>
            <w:noWrap/>
            <w:hideMark/>
          </w:tcPr>
          <w:p w14:paraId="1A0E8DF6"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2</w:t>
            </w:r>
          </w:p>
        </w:tc>
        <w:tc>
          <w:tcPr>
            <w:tcW w:w="1265" w:type="dxa"/>
            <w:tcBorders>
              <w:top w:val="none" w:sz="0" w:space="0" w:color="auto"/>
              <w:bottom w:val="none" w:sz="0" w:space="0" w:color="auto"/>
              <w:right w:val="none" w:sz="0" w:space="0" w:color="auto"/>
            </w:tcBorders>
            <w:noWrap/>
            <w:hideMark/>
          </w:tcPr>
          <w:p w14:paraId="3B68CC2B"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3.3</w:t>
            </w:r>
          </w:p>
        </w:tc>
      </w:tr>
      <w:tr w:rsidR="00461F62" w:rsidRPr="00BB1154" w14:paraId="053BFB6E" w14:textId="77777777" w:rsidTr="00483F42">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02CE5215"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noWrap/>
            <w:hideMark/>
          </w:tcPr>
          <w:p w14:paraId="402FA31B"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Oesophageal candidiasis</w:t>
            </w:r>
          </w:p>
        </w:tc>
        <w:tc>
          <w:tcPr>
            <w:tcW w:w="2663" w:type="dxa"/>
            <w:noWrap/>
            <w:hideMark/>
          </w:tcPr>
          <w:p w14:paraId="7E91147B"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2</w:t>
            </w:r>
          </w:p>
        </w:tc>
        <w:tc>
          <w:tcPr>
            <w:tcW w:w="1265" w:type="dxa"/>
            <w:noWrap/>
            <w:hideMark/>
          </w:tcPr>
          <w:p w14:paraId="1ECBA314"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3.3</w:t>
            </w:r>
          </w:p>
        </w:tc>
      </w:tr>
      <w:tr w:rsidR="00461F62" w:rsidRPr="00BB1154" w14:paraId="10E48FD4" w14:textId="77777777" w:rsidTr="00483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none" w:sz="0" w:space="0" w:color="auto"/>
              <w:left w:val="none" w:sz="0" w:space="0" w:color="auto"/>
              <w:bottom w:val="none" w:sz="0" w:space="0" w:color="auto"/>
            </w:tcBorders>
            <w:noWrap/>
            <w:hideMark/>
          </w:tcPr>
          <w:p w14:paraId="6929512C" w14:textId="77777777" w:rsidR="00461F62" w:rsidRPr="00BB1154" w:rsidRDefault="00461F62"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Stomach</w:t>
            </w:r>
          </w:p>
        </w:tc>
        <w:tc>
          <w:tcPr>
            <w:tcW w:w="3512" w:type="dxa"/>
            <w:tcBorders>
              <w:top w:val="none" w:sz="0" w:space="0" w:color="auto"/>
              <w:bottom w:val="none" w:sz="0" w:space="0" w:color="auto"/>
            </w:tcBorders>
            <w:noWrap/>
            <w:hideMark/>
          </w:tcPr>
          <w:p w14:paraId="711BF73F"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Normal</w:t>
            </w:r>
          </w:p>
        </w:tc>
        <w:tc>
          <w:tcPr>
            <w:tcW w:w="2663" w:type="dxa"/>
            <w:tcBorders>
              <w:top w:val="none" w:sz="0" w:space="0" w:color="auto"/>
              <w:bottom w:val="none" w:sz="0" w:space="0" w:color="auto"/>
            </w:tcBorders>
            <w:noWrap/>
            <w:hideMark/>
          </w:tcPr>
          <w:p w14:paraId="58E92C2A"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32</w:t>
            </w:r>
          </w:p>
        </w:tc>
        <w:tc>
          <w:tcPr>
            <w:tcW w:w="1265" w:type="dxa"/>
            <w:tcBorders>
              <w:top w:val="none" w:sz="0" w:space="0" w:color="auto"/>
              <w:bottom w:val="none" w:sz="0" w:space="0" w:color="auto"/>
              <w:right w:val="none" w:sz="0" w:space="0" w:color="auto"/>
            </w:tcBorders>
            <w:noWrap/>
            <w:hideMark/>
          </w:tcPr>
          <w:p w14:paraId="04501FE7"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53.3</w:t>
            </w:r>
          </w:p>
        </w:tc>
      </w:tr>
      <w:tr w:rsidR="00461F62" w:rsidRPr="00BB1154" w14:paraId="1F3B9138" w14:textId="77777777" w:rsidTr="00483F42">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B6E6041"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noWrap/>
            <w:hideMark/>
          </w:tcPr>
          <w:p w14:paraId="446F65D8"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Haemorrhagic Antral/pan/erosive Gastritis</w:t>
            </w:r>
          </w:p>
        </w:tc>
        <w:tc>
          <w:tcPr>
            <w:tcW w:w="2663" w:type="dxa"/>
            <w:noWrap/>
            <w:hideMark/>
          </w:tcPr>
          <w:p w14:paraId="00A2ED35"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15</w:t>
            </w:r>
          </w:p>
        </w:tc>
        <w:tc>
          <w:tcPr>
            <w:tcW w:w="1265" w:type="dxa"/>
            <w:noWrap/>
            <w:hideMark/>
          </w:tcPr>
          <w:p w14:paraId="0572C6A6"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25</w:t>
            </w:r>
          </w:p>
        </w:tc>
      </w:tr>
      <w:tr w:rsidR="00461F62" w:rsidRPr="00BB1154" w14:paraId="0287CD7B" w14:textId="77777777" w:rsidTr="00483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Merge/>
            <w:tcBorders>
              <w:top w:val="none" w:sz="0" w:space="0" w:color="auto"/>
              <w:left w:val="none" w:sz="0" w:space="0" w:color="auto"/>
              <w:bottom w:val="none" w:sz="0" w:space="0" w:color="auto"/>
            </w:tcBorders>
            <w:hideMark/>
          </w:tcPr>
          <w:p w14:paraId="4B3ED82F"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tcBorders>
              <w:top w:val="none" w:sz="0" w:space="0" w:color="auto"/>
              <w:bottom w:val="none" w:sz="0" w:space="0" w:color="auto"/>
            </w:tcBorders>
            <w:noWrap/>
            <w:hideMark/>
          </w:tcPr>
          <w:p w14:paraId="44F85E86"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Gastric Ulcer</w:t>
            </w:r>
          </w:p>
        </w:tc>
        <w:tc>
          <w:tcPr>
            <w:tcW w:w="2663" w:type="dxa"/>
            <w:tcBorders>
              <w:top w:val="none" w:sz="0" w:space="0" w:color="auto"/>
              <w:bottom w:val="none" w:sz="0" w:space="0" w:color="auto"/>
            </w:tcBorders>
            <w:noWrap/>
            <w:hideMark/>
          </w:tcPr>
          <w:p w14:paraId="074F1BF1"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4</w:t>
            </w:r>
          </w:p>
        </w:tc>
        <w:tc>
          <w:tcPr>
            <w:tcW w:w="1265" w:type="dxa"/>
            <w:tcBorders>
              <w:top w:val="none" w:sz="0" w:space="0" w:color="auto"/>
              <w:bottom w:val="none" w:sz="0" w:space="0" w:color="auto"/>
              <w:right w:val="none" w:sz="0" w:space="0" w:color="auto"/>
            </w:tcBorders>
            <w:noWrap/>
            <w:hideMark/>
          </w:tcPr>
          <w:p w14:paraId="00EF9730"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6.66</w:t>
            </w:r>
          </w:p>
        </w:tc>
      </w:tr>
      <w:tr w:rsidR="00461F62" w:rsidRPr="00BB1154" w14:paraId="6D21719B" w14:textId="77777777" w:rsidTr="00483F42">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EE28E46"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noWrap/>
            <w:hideMark/>
          </w:tcPr>
          <w:p w14:paraId="4478E74F"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Portal Hypertensive Gastropathy</w:t>
            </w:r>
          </w:p>
        </w:tc>
        <w:tc>
          <w:tcPr>
            <w:tcW w:w="2663" w:type="dxa"/>
            <w:noWrap/>
            <w:hideMark/>
          </w:tcPr>
          <w:p w14:paraId="6D4EA504"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3</w:t>
            </w:r>
          </w:p>
        </w:tc>
        <w:tc>
          <w:tcPr>
            <w:tcW w:w="1265" w:type="dxa"/>
            <w:noWrap/>
            <w:hideMark/>
          </w:tcPr>
          <w:p w14:paraId="7D1D6E67"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5</w:t>
            </w:r>
          </w:p>
        </w:tc>
      </w:tr>
      <w:tr w:rsidR="00461F62" w:rsidRPr="00BB1154" w14:paraId="26D0C5CF" w14:textId="77777777" w:rsidTr="00483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Merge/>
            <w:tcBorders>
              <w:top w:val="none" w:sz="0" w:space="0" w:color="auto"/>
              <w:left w:val="none" w:sz="0" w:space="0" w:color="auto"/>
              <w:bottom w:val="none" w:sz="0" w:space="0" w:color="auto"/>
            </w:tcBorders>
            <w:hideMark/>
          </w:tcPr>
          <w:p w14:paraId="371041D1"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tcBorders>
              <w:top w:val="none" w:sz="0" w:space="0" w:color="auto"/>
              <w:bottom w:val="none" w:sz="0" w:space="0" w:color="auto"/>
            </w:tcBorders>
            <w:noWrap/>
            <w:hideMark/>
          </w:tcPr>
          <w:p w14:paraId="05B9C82B"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Gastric varix</w:t>
            </w:r>
          </w:p>
        </w:tc>
        <w:tc>
          <w:tcPr>
            <w:tcW w:w="2663" w:type="dxa"/>
            <w:tcBorders>
              <w:top w:val="none" w:sz="0" w:space="0" w:color="auto"/>
              <w:bottom w:val="none" w:sz="0" w:space="0" w:color="auto"/>
            </w:tcBorders>
            <w:noWrap/>
            <w:hideMark/>
          </w:tcPr>
          <w:p w14:paraId="4340D9E9"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2</w:t>
            </w:r>
          </w:p>
        </w:tc>
        <w:tc>
          <w:tcPr>
            <w:tcW w:w="1265" w:type="dxa"/>
            <w:tcBorders>
              <w:top w:val="none" w:sz="0" w:space="0" w:color="auto"/>
              <w:bottom w:val="none" w:sz="0" w:space="0" w:color="auto"/>
              <w:right w:val="none" w:sz="0" w:space="0" w:color="auto"/>
            </w:tcBorders>
            <w:noWrap/>
            <w:hideMark/>
          </w:tcPr>
          <w:p w14:paraId="29F493A4"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3.4</w:t>
            </w:r>
          </w:p>
        </w:tc>
      </w:tr>
      <w:tr w:rsidR="00461F62" w:rsidRPr="00BB1154" w14:paraId="0E843950" w14:textId="77777777" w:rsidTr="00483F42">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324157C3"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noWrap/>
            <w:hideMark/>
          </w:tcPr>
          <w:p w14:paraId="0FD0AB36"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Gastric Mass Lesion</w:t>
            </w:r>
          </w:p>
        </w:tc>
        <w:tc>
          <w:tcPr>
            <w:tcW w:w="2663" w:type="dxa"/>
            <w:noWrap/>
            <w:hideMark/>
          </w:tcPr>
          <w:p w14:paraId="5344E226"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2</w:t>
            </w:r>
          </w:p>
        </w:tc>
        <w:tc>
          <w:tcPr>
            <w:tcW w:w="1265" w:type="dxa"/>
            <w:noWrap/>
            <w:hideMark/>
          </w:tcPr>
          <w:p w14:paraId="14A4BA1A"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3.4</w:t>
            </w:r>
          </w:p>
        </w:tc>
      </w:tr>
      <w:tr w:rsidR="00461F62" w:rsidRPr="00BB1154" w14:paraId="44106BB6" w14:textId="77777777" w:rsidTr="00483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Merge/>
            <w:tcBorders>
              <w:top w:val="none" w:sz="0" w:space="0" w:color="auto"/>
              <w:left w:val="none" w:sz="0" w:space="0" w:color="auto"/>
              <w:bottom w:val="none" w:sz="0" w:space="0" w:color="auto"/>
            </w:tcBorders>
            <w:hideMark/>
          </w:tcPr>
          <w:p w14:paraId="01975894"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tcBorders>
              <w:top w:val="none" w:sz="0" w:space="0" w:color="auto"/>
              <w:bottom w:val="none" w:sz="0" w:space="0" w:color="auto"/>
            </w:tcBorders>
            <w:noWrap/>
            <w:hideMark/>
          </w:tcPr>
          <w:p w14:paraId="262DE72E"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Gastric polyp</w:t>
            </w:r>
          </w:p>
        </w:tc>
        <w:tc>
          <w:tcPr>
            <w:tcW w:w="2663" w:type="dxa"/>
            <w:tcBorders>
              <w:top w:val="none" w:sz="0" w:space="0" w:color="auto"/>
              <w:bottom w:val="none" w:sz="0" w:space="0" w:color="auto"/>
            </w:tcBorders>
            <w:noWrap/>
            <w:hideMark/>
          </w:tcPr>
          <w:p w14:paraId="4A0A9924"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w:t>
            </w:r>
          </w:p>
        </w:tc>
        <w:tc>
          <w:tcPr>
            <w:tcW w:w="1265" w:type="dxa"/>
            <w:tcBorders>
              <w:top w:val="none" w:sz="0" w:space="0" w:color="auto"/>
              <w:bottom w:val="none" w:sz="0" w:space="0" w:color="auto"/>
              <w:right w:val="none" w:sz="0" w:space="0" w:color="auto"/>
            </w:tcBorders>
            <w:noWrap/>
            <w:hideMark/>
          </w:tcPr>
          <w:p w14:paraId="13A1DFB9"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1.7</w:t>
            </w:r>
          </w:p>
        </w:tc>
      </w:tr>
      <w:tr w:rsidR="00461F62" w:rsidRPr="00BB1154" w14:paraId="4D5E03F9" w14:textId="77777777" w:rsidTr="00483F42">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4501051A"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noWrap/>
            <w:hideMark/>
          </w:tcPr>
          <w:p w14:paraId="532D8412"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Gastric Antral Vascular Ectasia</w:t>
            </w:r>
          </w:p>
        </w:tc>
        <w:tc>
          <w:tcPr>
            <w:tcW w:w="2663" w:type="dxa"/>
            <w:noWrap/>
            <w:hideMark/>
          </w:tcPr>
          <w:p w14:paraId="14308746"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w:t>
            </w:r>
          </w:p>
        </w:tc>
        <w:tc>
          <w:tcPr>
            <w:tcW w:w="1265" w:type="dxa"/>
            <w:noWrap/>
            <w:hideMark/>
          </w:tcPr>
          <w:p w14:paraId="24C24F04"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1.7</w:t>
            </w:r>
          </w:p>
        </w:tc>
      </w:tr>
      <w:tr w:rsidR="00461F62" w:rsidRPr="00BB1154" w14:paraId="2CAAC94A" w14:textId="77777777" w:rsidTr="00483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none" w:sz="0" w:space="0" w:color="auto"/>
              <w:left w:val="none" w:sz="0" w:space="0" w:color="auto"/>
              <w:bottom w:val="none" w:sz="0" w:space="0" w:color="auto"/>
            </w:tcBorders>
            <w:noWrap/>
            <w:hideMark/>
          </w:tcPr>
          <w:p w14:paraId="2ACB5827" w14:textId="77777777" w:rsidR="00461F62" w:rsidRPr="00BB1154" w:rsidRDefault="00461F62"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Duodenum(D1/D2)</w:t>
            </w:r>
          </w:p>
        </w:tc>
        <w:tc>
          <w:tcPr>
            <w:tcW w:w="3512" w:type="dxa"/>
            <w:tcBorders>
              <w:top w:val="none" w:sz="0" w:space="0" w:color="auto"/>
              <w:bottom w:val="none" w:sz="0" w:space="0" w:color="auto"/>
            </w:tcBorders>
            <w:noWrap/>
            <w:hideMark/>
          </w:tcPr>
          <w:p w14:paraId="56018AD6"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Normal</w:t>
            </w:r>
          </w:p>
        </w:tc>
        <w:tc>
          <w:tcPr>
            <w:tcW w:w="2663" w:type="dxa"/>
            <w:tcBorders>
              <w:top w:val="none" w:sz="0" w:space="0" w:color="auto"/>
              <w:bottom w:val="none" w:sz="0" w:space="0" w:color="auto"/>
            </w:tcBorders>
            <w:noWrap/>
            <w:hideMark/>
          </w:tcPr>
          <w:p w14:paraId="14381633"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42</w:t>
            </w:r>
          </w:p>
        </w:tc>
        <w:tc>
          <w:tcPr>
            <w:tcW w:w="1265" w:type="dxa"/>
            <w:tcBorders>
              <w:top w:val="none" w:sz="0" w:space="0" w:color="auto"/>
              <w:bottom w:val="none" w:sz="0" w:space="0" w:color="auto"/>
              <w:right w:val="none" w:sz="0" w:space="0" w:color="auto"/>
            </w:tcBorders>
            <w:noWrap/>
            <w:hideMark/>
          </w:tcPr>
          <w:p w14:paraId="46B86FEE"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70</w:t>
            </w:r>
          </w:p>
        </w:tc>
      </w:tr>
      <w:tr w:rsidR="00461F62" w:rsidRPr="00BB1154" w14:paraId="2E44F3C9" w14:textId="77777777" w:rsidTr="00483F42">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EF8EED4"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noWrap/>
            <w:hideMark/>
          </w:tcPr>
          <w:p w14:paraId="1EEF17C7"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Erosive Duodenitis</w:t>
            </w:r>
          </w:p>
        </w:tc>
        <w:tc>
          <w:tcPr>
            <w:tcW w:w="2663" w:type="dxa"/>
            <w:noWrap/>
            <w:hideMark/>
          </w:tcPr>
          <w:p w14:paraId="55700230"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13</w:t>
            </w:r>
          </w:p>
        </w:tc>
        <w:tc>
          <w:tcPr>
            <w:tcW w:w="1265" w:type="dxa"/>
            <w:noWrap/>
            <w:hideMark/>
          </w:tcPr>
          <w:p w14:paraId="4510BD8F" w14:textId="77777777" w:rsidR="00461F62" w:rsidRPr="00BB1154" w:rsidRDefault="00461F62" w:rsidP="00BB11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21.6</w:t>
            </w:r>
          </w:p>
        </w:tc>
      </w:tr>
      <w:tr w:rsidR="00461F62" w:rsidRPr="00BB1154" w14:paraId="1749AC46" w14:textId="77777777" w:rsidTr="00483F4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555" w:type="dxa"/>
            <w:vMerge/>
            <w:tcBorders>
              <w:top w:val="none" w:sz="0" w:space="0" w:color="auto"/>
              <w:left w:val="none" w:sz="0" w:space="0" w:color="auto"/>
              <w:bottom w:val="none" w:sz="0" w:space="0" w:color="auto"/>
            </w:tcBorders>
            <w:hideMark/>
          </w:tcPr>
          <w:p w14:paraId="264941E2" w14:textId="77777777" w:rsidR="00461F62" w:rsidRPr="00BB1154" w:rsidRDefault="00461F62" w:rsidP="00BB1154">
            <w:pPr>
              <w:spacing w:line="360" w:lineRule="auto"/>
              <w:jc w:val="both"/>
              <w:rPr>
                <w:rFonts w:ascii="Times New Roman" w:hAnsi="Times New Roman" w:cs="Times New Roman"/>
                <w:sz w:val="20"/>
                <w:szCs w:val="20"/>
              </w:rPr>
            </w:pPr>
          </w:p>
        </w:tc>
        <w:tc>
          <w:tcPr>
            <w:tcW w:w="3512" w:type="dxa"/>
            <w:tcBorders>
              <w:top w:val="none" w:sz="0" w:space="0" w:color="auto"/>
              <w:bottom w:val="none" w:sz="0" w:space="0" w:color="auto"/>
            </w:tcBorders>
            <w:noWrap/>
            <w:hideMark/>
          </w:tcPr>
          <w:p w14:paraId="6371491A"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Duodenal Ulcer</w:t>
            </w:r>
          </w:p>
        </w:tc>
        <w:tc>
          <w:tcPr>
            <w:tcW w:w="2663" w:type="dxa"/>
            <w:tcBorders>
              <w:top w:val="none" w:sz="0" w:space="0" w:color="auto"/>
              <w:bottom w:val="none" w:sz="0" w:space="0" w:color="auto"/>
            </w:tcBorders>
            <w:noWrap/>
            <w:hideMark/>
          </w:tcPr>
          <w:p w14:paraId="0C0E47A9"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5</w:t>
            </w:r>
          </w:p>
        </w:tc>
        <w:tc>
          <w:tcPr>
            <w:tcW w:w="1265" w:type="dxa"/>
            <w:tcBorders>
              <w:top w:val="none" w:sz="0" w:space="0" w:color="auto"/>
              <w:bottom w:val="none" w:sz="0" w:space="0" w:color="auto"/>
              <w:right w:val="none" w:sz="0" w:space="0" w:color="auto"/>
            </w:tcBorders>
            <w:noWrap/>
            <w:hideMark/>
          </w:tcPr>
          <w:p w14:paraId="1ADFD060" w14:textId="77777777" w:rsidR="00461F62" w:rsidRPr="00BB1154" w:rsidRDefault="00461F62" w:rsidP="00BB11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8.5</w:t>
            </w:r>
          </w:p>
        </w:tc>
      </w:tr>
    </w:tbl>
    <w:p w14:paraId="6C88CDEB" w14:textId="147E0D56" w:rsidR="00461F62" w:rsidRPr="00BB1154" w:rsidRDefault="00461F62"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 xml:space="preserve">   Table 2 shows UGIE findings among study subjects. In Oesophagus, 60% patients had normal findings. Erosive esophagitis (20%) followed by varices (8.4%) were commonly found. Oesophageal mass lesions were found in 3.3% patients. </w:t>
      </w:r>
    </w:p>
    <w:p w14:paraId="575092D3" w14:textId="77777777" w:rsidR="00461F62" w:rsidRPr="00BB1154" w:rsidRDefault="00461F62"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In stomach</w:t>
      </w:r>
      <w:proofErr w:type="gramStart"/>
      <w:r w:rsidRPr="00BB1154">
        <w:rPr>
          <w:rFonts w:ascii="Times New Roman" w:hAnsi="Times New Roman" w:cs="Times New Roman"/>
          <w:sz w:val="20"/>
          <w:szCs w:val="20"/>
        </w:rPr>
        <w:t>,53.3</w:t>
      </w:r>
      <w:proofErr w:type="gramEnd"/>
      <w:r w:rsidRPr="00BB1154">
        <w:rPr>
          <w:rFonts w:ascii="Times New Roman" w:hAnsi="Times New Roman" w:cs="Times New Roman"/>
          <w:sz w:val="20"/>
          <w:szCs w:val="20"/>
        </w:rPr>
        <w:t xml:space="preserve">% patients had normal findings. Haemorrhagic erosive Gastritis (25%) was the common finding. Gastric ulcers were found in 6.7% cases, Portal Hypertensive Gastropathy in 5% cases and gastric mass lesions in 3.4% cases. </w:t>
      </w:r>
    </w:p>
    <w:p w14:paraId="15147D3F" w14:textId="0C43FE60" w:rsidR="00461F62" w:rsidRPr="00BB1154" w:rsidRDefault="00461F62"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In duodenum</w:t>
      </w:r>
      <w:proofErr w:type="gramStart"/>
      <w:r w:rsidRPr="00BB1154">
        <w:rPr>
          <w:rFonts w:ascii="Times New Roman" w:hAnsi="Times New Roman" w:cs="Times New Roman"/>
          <w:sz w:val="20"/>
          <w:szCs w:val="20"/>
        </w:rPr>
        <w:t>,70</w:t>
      </w:r>
      <w:proofErr w:type="gramEnd"/>
      <w:r w:rsidRPr="00BB1154">
        <w:rPr>
          <w:rFonts w:ascii="Times New Roman" w:hAnsi="Times New Roman" w:cs="Times New Roman"/>
          <w:sz w:val="20"/>
          <w:szCs w:val="20"/>
        </w:rPr>
        <w:t>% patients had normal findings. Duodenal ulcer was present in 8.5% cases.</w:t>
      </w:r>
    </w:p>
    <w:p w14:paraId="2035F5F1" w14:textId="33A9C735" w:rsidR="00621829" w:rsidRPr="00BB1154" w:rsidRDefault="00621829" w:rsidP="00BB1154">
      <w:pPr>
        <w:spacing w:line="360" w:lineRule="auto"/>
        <w:jc w:val="both"/>
        <w:rPr>
          <w:rFonts w:ascii="Times New Roman" w:hAnsi="Times New Roman" w:cs="Times New Roman"/>
          <w:b/>
          <w:bCs/>
          <w:sz w:val="20"/>
          <w:szCs w:val="20"/>
        </w:rPr>
      </w:pPr>
      <w:r w:rsidRPr="00BB1154">
        <w:rPr>
          <w:rFonts w:ascii="Times New Roman" w:hAnsi="Times New Roman" w:cs="Times New Roman"/>
          <w:b/>
          <w:bCs/>
          <w:sz w:val="20"/>
          <w:szCs w:val="20"/>
        </w:rPr>
        <w:lastRenderedPageBreak/>
        <w:t xml:space="preserve">Table-3 </w:t>
      </w:r>
      <w:proofErr w:type="spellStart"/>
      <w:r w:rsidRPr="00BB1154">
        <w:rPr>
          <w:rFonts w:ascii="Times New Roman" w:hAnsi="Times New Roman" w:cs="Times New Roman"/>
          <w:b/>
          <w:bCs/>
          <w:sz w:val="20"/>
          <w:szCs w:val="20"/>
        </w:rPr>
        <w:t>Histo</w:t>
      </w:r>
      <w:proofErr w:type="spellEnd"/>
      <w:r w:rsidRPr="00BB1154">
        <w:rPr>
          <w:rFonts w:ascii="Times New Roman" w:hAnsi="Times New Roman" w:cs="Times New Roman"/>
          <w:b/>
          <w:bCs/>
          <w:sz w:val="20"/>
          <w:szCs w:val="20"/>
        </w:rPr>
        <w:t>-pathologically confirmed lesion in the GI tract responsible for IDA</w:t>
      </w:r>
    </w:p>
    <w:tbl>
      <w:tblPr>
        <w:tblStyle w:val="Light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116"/>
        <w:gridCol w:w="1560"/>
      </w:tblGrid>
      <w:tr w:rsidR="00621829" w:rsidRPr="00BB1154" w14:paraId="72478F56" w14:textId="77777777" w:rsidTr="00483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077B0D29" w14:textId="77777777" w:rsidR="00621829" w:rsidRPr="00BB1154" w:rsidRDefault="00621829" w:rsidP="00BB1154">
            <w:pPr>
              <w:spacing w:line="360" w:lineRule="auto"/>
              <w:jc w:val="both"/>
              <w:rPr>
                <w:rFonts w:ascii="Times New Roman" w:hAnsi="Times New Roman" w:cs="Times New Roman"/>
                <w:sz w:val="20"/>
                <w:szCs w:val="20"/>
              </w:rPr>
            </w:pPr>
          </w:p>
        </w:tc>
        <w:tc>
          <w:tcPr>
            <w:tcW w:w="2116" w:type="dxa"/>
          </w:tcPr>
          <w:p w14:paraId="16B49917" w14:textId="77777777" w:rsidR="00621829" w:rsidRPr="00BB1154" w:rsidRDefault="00621829" w:rsidP="00483F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1154">
              <w:rPr>
                <w:rFonts w:ascii="Times New Roman" w:hAnsi="Times New Roman" w:cs="Times New Roman"/>
                <w:sz w:val="20"/>
                <w:szCs w:val="20"/>
              </w:rPr>
              <w:t>Number of patients</w:t>
            </w:r>
          </w:p>
          <w:p w14:paraId="2961CDDD" w14:textId="77777777" w:rsidR="00621829" w:rsidRPr="00BB1154" w:rsidRDefault="00621829" w:rsidP="00483F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1154">
              <w:rPr>
                <w:rFonts w:ascii="Times New Roman" w:hAnsi="Times New Roman" w:cs="Times New Roman"/>
                <w:sz w:val="20"/>
                <w:szCs w:val="20"/>
              </w:rPr>
              <w:t>(n = 60)</w:t>
            </w:r>
          </w:p>
        </w:tc>
        <w:tc>
          <w:tcPr>
            <w:tcW w:w="1560" w:type="dxa"/>
          </w:tcPr>
          <w:p w14:paraId="28236E34" w14:textId="77777777" w:rsidR="00621829" w:rsidRPr="00BB1154" w:rsidRDefault="00621829" w:rsidP="00483F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1154">
              <w:rPr>
                <w:rFonts w:ascii="Times New Roman" w:hAnsi="Times New Roman" w:cs="Times New Roman"/>
                <w:sz w:val="20"/>
                <w:szCs w:val="20"/>
              </w:rPr>
              <w:t>Percentage (%)</w:t>
            </w:r>
          </w:p>
        </w:tc>
      </w:tr>
      <w:tr w:rsidR="00621829" w:rsidRPr="00BB1154" w14:paraId="26A7CAF1" w14:textId="77777777" w:rsidTr="00483F42">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bottom w:val="none" w:sz="0" w:space="0" w:color="auto"/>
            </w:tcBorders>
          </w:tcPr>
          <w:p w14:paraId="3E52DD43" w14:textId="77777777" w:rsidR="00621829" w:rsidRPr="00BB1154" w:rsidRDefault="00621829" w:rsidP="00BB1154">
            <w:pPr>
              <w:spacing w:line="360" w:lineRule="auto"/>
              <w:jc w:val="both"/>
              <w:rPr>
                <w:rFonts w:ascii="Times New Roman" w:hAnsi="Times New Roman" w:cs="Times New Roman"/>
                <w:b w:val="0"/>
                <w:bCs w:val="0"/>
                <w:sz w:val="20"/>
                <w:szCs w:val="20"/>
              </w:rPr>
            </w:pPr>
            <w:r w:rsidRPr="00BB1154">
              <w:rPr>
                <w:rFonts w:ascii="Times New Roman" w:hAnsi="Times New Roman" w:cs="Times New Roman"/>
                <w:sz w:val="20"/>
                <w:szCs w:val="20"/>
              </w:rPr>
              <w:t>HPE oesophagus</w:t>
            </w:r>
          </w:p>
          <w:p w14:paraId="0BFF3978" w14:textId="77777777"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Normal</w:t>
            </w:r>
          </w:p>
        </w:tc>
        <w:tc>
          <w:tcPr>
            <w:tcW w:w="2116" w:type="dxa"/>
            <w:tcBorders>
              <w:top w:val="none" w:sz="0" w:space="0" w:color="auto"/>
              <w:bottom w:val="none" w:sz="0" w:space="0" w:color="auto"/>
            </w:tcBorders>
          </w:tcPr>
          <w:p w14:paraId="594C7A2C"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5F7D20F"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36</w:t>
            </w:r>
          </w:p>
        </w:tc>
        <w:tc>
          <w:tcPr>
            <w:tcW w:w="1560" w:type="dxa"/>
            <w:tcBorders>
              <w:top w:val="none" w:sz="0" w:space="0" w:color="auto"/>
              <w:bottom w:val="none" w:sz="0" w:space="0" w:color="auto"/>
              <w:right w:val="none" w:sz="0" w:space="0" w:color="auto"/>
            </w:tcBorders>
          </w:tcPr>
          <w:p w14:paraId="6F426EC0"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29FABC4"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60</w:t>
            </w:r>
          </w:p>
          <w:p w14:paraId="228D6D53"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21829" w:rsidRPr="00BB1154" w14:paraId="1CF18C2F" w14:textId="77777777" w:rsidTr="00483F42">
        <w:tc>
          <w:tcPr>
            <w:cnfStyle w:val="001000000000" w:firstRow="0" w:lastRow="0" w:firstColumn="1" w:lastColumn="0" w:oddVBand="0" w:evenVBand="0" w:oddHBand="0" w:evenHBand="0" w:firstRowFirstColumn="0" w:firstRowLastColumn="0" w:lastRowFirstColumn="0" w:lastRowLastColumn="0"/>
            <w:tcW w:w="3095" w:type="dxa"/>
          </w:tcPr>
          <w:p w14:paraId="0E214576" w14:textId="77777777"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 xml:space="preserve"> Lesions responsible for IDA</w:t>
            </w:r>
          </w:p>
          <w:p w14:paraId="2D728567" w14:textId="77777777" w:rsidR="00621829" w:rsidRPr="00BB1154" w:rsidRDefault="00621829" w:rsidP="00BB1154">
            <w:pPr>
              <w:pStyle w:val="ListParagraph"/>
              <w:numPr>
                <w:ilvl w:val="0"/>
                <w:numId w:val="1"/>
              </w:numPr>
              <w:spacing w:line="360" w:lineRule="auto"/>
              <w:jc w:val="both"/>
              <w:rPr>
                <w:sz w:val="20"/>
                <w:szCs w:val="20"/>
              </w:rPr>
            </w:pPr>
            <w:r w:rsidRPr="00BB1154">
              <w:rPr>
                <w:sz w:val="20"/>
                <w:szCs w:val="20"/>
              </w:rPr>
              <w:t xml:space="preserve"> Erosive </w:t>
            </w:r>
            <w:proofErr w:type="spellStart"/>
            <w:r w:rsidRPr="00BB1154">
              <w:rPr>
                <w:sz w:val="20"/>
                <w:szCs w:val="20"/>
              </w:rPr>
              <w:t>oesophagitis</w:t>
            </w:r>
            <w:proofErr w:type="spellEnd"/>
          </w:p>
          <w:p w14:paraId="1D74897A" w14:textId="77777777" w:rsidR="00621829" w:rsidRPr="00BB1154" w:rsidRDefault="00621829" w:rsidP="00BB1154">
            <w:pPr>
              <w:pStyle w:val="ListParagraph"/>
              <w:numPr>
                <w:ilvl w:val="0"/>
                <w:numId w:val="1"/>
              </w:numPr>
              <w:spacing w:line="360" w:lineRule="auto"/>
              <w:jc w:val="both"/>
              <w:rPr>
                <w:sz w:val="20"/>
                <w:szCs w:val="20"/>
              </w:rPr>
            </w:pPr>
            <w:proofErr w:type="spellStart"/>
            <w:r w:rsidRPr="00BB1154">
              <w:rPr>
                <w:sz w:val="20"/>
                <w:szCs w:val="20"/>
              </w:rPr>
              <w:t>oesophagus</w:t>
            </w:r>
            <w:proofErr w:type="spellEnd"/>
            <w:r w:rsidRPr="00BB1154">
              <w:rPr>
                <w:sz w:val="20"/>
                <w:szCs w:val="20"/>
              </w:rPr>
              <w:t xml:space="preserve"> squamous cell carcinoma</w:t>
            </w:r>
          </w:p>
          <w:p w14:paraId="1ACAC49F" w14:textId="77777777" w:rsidR="00621829" w:rsidRPr="00BB1154" w:rsidRDefault="00621829" w:rsidP="00BB1154">
            <w:pPr>
              <w:pStyle w:val="ListParagraph"/>
              <w:numPr>
                <w:ilvl w:val="0"/>
                <w:numId w:val="1"/>
              </w:numPr>
              <w:spacing w:line="360" w:lineRule="auto"/>
              <w:jc w:val="both"/>
              <w:rPr>
                <w:sz w:val="20"/>
                <w:szCs w:val="20"/>
              </w:rPr>
            </w:pPr>
            <w:proofErr w:type="spellStart"/>
            <w:r w:rsidRPr="00BB1154">
              <w:rPr>
                <w:sz w:val="20"/>
                <w:szCs w:val="20"/>
              </w:rPr>
              <w:t>Oesophagus</w:t>
            </w:r>
            <w:proofErr w:type="spellEnd"/>
            <w:r w:rsidRPr="00BB1154">
              <w:rPr>
                <w:sz w:val="20"/>
                <w:szCs w:val="20"/>
              </w:rPr>
              <w:t xml:space="preserve"> </w:t>
            </w:r>
            <w:proofErr w:type="spellStart"/>
            <w:r w:rsidRPr="00BB1154">
              <w:rPr>
                <w:sz w:val="20"/>
                <w:szCs w:val="20"/>
              </w:rPr>
              <w:t>Adeno</w:t>
            </w:r>
            <w:proofErr w:type="spellEnd"/>
            <w:r w:rsidRPr="00BB1154">
              <w:rPr>
                <w:sz w:val="20"/>
                <w:szCs w:val="20"/>
              </w:rPr>
              <w:t xml:space="preserve"> carcinoma</w:t>
            </w:r>
          </w:p>
        </w:tc>
        <w:tc>
          <w:tcPr>
            <w:tcW w:w="2116" w:type="dxa"/>
          </w:tcPr>
          <w:p w14:paraId="6FE5BD2F"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B97A178"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12</w:t>
            </w:r>
          </w:p>
          <w:p w14:paraId="631A59EC"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4F8B111"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w:t>
            </w:r>
          </w:p>
          <w:p w14:paraId="53AD9617"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563E40B"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w:t>
            </w:r>
          </w:p>
        </w:tc>
        <w:tc>
          <w:tcPr>
            <w:tcW w:w="1560" w:type="dxa"/>
          </w:tcPr>
          <w:p w14:paraId="24306538"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FA7EC68"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20</w:t>
            </w:r>
          </w:p>
          <w:p w14:paraId="18255489"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B28BDE5"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1.6</w:t>
            </w:r>
          </w:p>
          <w:p w14:paraId="1509E7E4"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811C64F"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1.6</w:t>
            </w:r>
          </w:p>
        </w:tc>
      </w:tr>
      <w:tr w:rsidR="00621829" w:rsidRPr="00BB1154" w14:paraId="26B225F6" w14:textId="77777777" w:rsidTr="0048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bottom w:val="none" w:sz="0" w:space="0" w:color="auto"/>
            </w:tcBorders>
          </w:tcPr>
          <w:p w14:paraId="799BA57C" w14:textId="77777777"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 xml:space="preserve"> Lesions not responsible for IDA</w:t>
            </w:r>
          </w:p>
        </w:tc>
        <w:tc>
          <w:tcPr>
            <w:tcW w:w="2116" w:type="dxa"/>
            <w:tcBorders>
              <w:top w:val="none" w:sz="0" w:space="0" w:color="auto"/>
              <w:bottom w:val="none" w:sz="0" w:space="0" w:color="auto"/>
            </w:tcBorders>
          </w:tcPr>
          <w:p w14:paraId="63289203"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5</w:t>
            </w:r>
          </w:p>
        </w:tc>
        <w:tc>
          <w:tcPr>
            <w:tcW w:w="1560" w:type="dxa"/>
            <w:tcBorders>
              <w:top w:val="none" w:sz="0" w:space="0" w:color="auto"/>
              <w:bottom w:val="none" w:sz="0" w:space="0" w:color="auto"/>
              <w:right w:val="none" w:sz="0" w:space="0" w:color="auto"/>
            </w:tcBorders>
          </w:tcPr>
          <w:p w14:paraId="2676629F"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8.3</w:t>
            </w:r>
          </w:p>
        </w:tc>
      </w:tr>
      <w:tr w:rsidR="00621829" w:rsidRPr="00BB1154" w14:paraId="5B2A5F91" w14:textId="77777777" w:rsidTr="00483F42">
        <w:tc>
          <w:tcPr>
            <w:cnfStyle w:val="001000000000" w:firstRow="0" w:lastRow="0" w:firstColumn="1" w:lastColumn="0" w:oddVBand="0" w:evenVBand="0" w:oddHBand="0" w:evenHBand="0" w:firstRowFirstColumn="0" w:firstRowLastColumn="0" w:lastRowFirstColumn="0" w:lastRowLastColumn="0"/>
            <w:tcW w:w="3095" w:type="dxa"/>
          </w:tcPr>
          <w:p w14:paraId="1B670AB0" w14:textId="77777777" w:rsidR="00621829" w:rsidRPr="00BB1154" w:rsidRDefault="00621829" w:rsidP="00BB1154">
            <w:pPr>
              <w:spacing w:line="360" w:lineRule="auto"/>
              <w:jc w:val="both"/>
              <w:rPr>
                <w:rFonts w:ascii="Times New Roman" w:hAnsi="Times New Roman" w:cs="Times New Roman"/>
                <w:b w:val="0"/>
                <w:bCs w:val="0"/>
                <w:sz w:val="20"/>
                <w:szCs w:val="20"/>
              </w:rPr>
            </w:pPr>
            <w:r w:rsidRPr="00BB1154">
              <w:rPr>
                <w:rFonts w:ascii="Times New Roman" w:hAnsi="Times New Roman" w:cs="Times New Roman"/>
                <w:sz w:val="20"/>
                <w:szCs w:val="20"/>
              </w:rPr>
              <w:t>HPE Stomach</w:t>
            </w:r>
          </w:p>
          <w:p w14:paraId="5B11BDE1" w14:textId="77777777"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Normal</w:t>
            </w:r>
          </w:p>
        </w:tc>
        <w:tc>
          <w:tcPr>
            <w:tcW w:w="2116" w:type="dxa"/>
          </w:tcPr>
          <w:p w14:paraId="52AE4691"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2D5FCC0"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32</w:t>
            </w:r>
          </w:p>
        </w:tc>
        <w:tc>
          <w:tcPr>
            <w:tcW w:w="1560" w:type="dxa"/>
          </w:tcPr>
          <w:p w14:paraId="664DFD95"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90620EF"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53.3</w:t>
            </w:r>
          </w:p>
        </w:tc>
      </w:tr>
      <w:tr w:rsidR="00621829" w:rsidRPr="00BB1154" w14:paraId="79C14946" w14:textId="77777777" w:rsidTr="0048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bottom w:val="none" w:sz="0" w:space="0" w:color="auto"/>
            </w:tcBorders>
          </w:tcPr>
          <w:p w14:paraId="03A1295A" w14:textId="77777777"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Lesions responsible for IDA</w:t>
            </w:r>
          </w:p>
          <w:p w14:paraId="58BC15D8" w14:textId="77777777" w:rsidR="00621829" w:rsidRPr="00BB1154" w:rsidRDefault="00621829" w:rsidP="00BB1154">
            <w:pPr>
              <w:pStyle w:val="ListParagraph"/>
              <w:numPr>
                <w:ilvl w:val="0"/>
                <w:numId w:val="2"/>
              </w:numPr>
              <w:spacing w:line="360" w:lineRule="auto"/>
              <w:jc w:val="both"/>
              <w:rPr>
                <w:sz w:val="20"/>
                <w:szCs w:val="20"/>
              </w:rPr>
            </w:pPr>
            <w:r w:rsidRPr="00BB1154">
              <w:rPr>
                <w:sz w:val="20"/>
                <w:szCs w:val="20"/>
              </w:rPr>
              <w:t>Erosive gastritis</w:t>
            </w:r>
          </w:p>
          <w:p w14:paraId="429EE97E" w14:textId="77777777" w:rsidR="00621829" w:rsidRPr="00BB1154" w:rsidRDefault="00621829" w:rsidP="00BB1154">
            <w:pPr>
              <w:pStyle w:val="ListParagraph"/>
              <w:numPr>
                <w:ilvl w:val="0"/>
                <w:numId w:val="2"/>
              </w:numPr>
              <w:spacing w:line="360" w:lineRule="auto"/>
              <w:jc w:val="both"/>
              <w:rPr>
                <w:sz w:val="20"/>
                <w:szCs w:val="20"/>
              </w:rPr>
            </w:pPr>
            <w:r w:rsidRPr="00BB1154">
              <w:rPr>
                <w:sz w:val="20"/>
                <w:szCs w:val="20"/>
              </w:rPr>
              <w:t>Adenocarcinoma stomach</w:t>
            </w:r>
          </w:p>
        </w:tc>
        <w:tc>
          <w:tcPr>
            <w:tcW w:w="2116" w:type="dxa"/>
            <w:tcBorders>
              <w:top w:val="none" w:sz="0" w:space="0" w:color="auto"/>
              <w:bottom w:val="none" w:sz="0" w:space="0" w:color="auto"/>
            </w:tcBorders>
          </w:tcPr>
          <w:p w14:paraId="6570616F"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356D749"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15</w:t>
            </w:r>
          </w:p>
          <w:p w14:paraId="558DDDF1"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2</w:t>
            </w:r>
          </w:p>
        </w:tc>
        <w:tc>
          <w:tcPr>
            <w:tcW w:w="1560" w:type="dxa"/>
            <w:tcBorders>
              <w:top w:val="none" w:sz="0" w:space="0" w:color="auto"/>
              <w:bottom w:val="none" w:sz="0" w:space="0" w:color="auto"/>
              <w:right w:val="none" w:sz="0" w:space="0" w:color="auto"/>
            </w:tcBorders>
          </w:tcPr>
          <w:p w14:paraId="3E8838E6"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AFB9AF0"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25</w:t>
            </w:r>
          </w:p>
          <w:p w14:paraId="71739252"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3.3</w:t>
            </w:r>
          </w:p>
        </w:tc>
      </w:tr>
      <w:tr w:rsidR="00621829" w:rsidRPr="00BB1154" w14:paraId="59232F30" w14:textId="77777777" w:rsidTr="00483F42">
        <w:tc>
          <w:tcPr>
            <w:cnfStyle w:val="001000000000" w:firstRow="0" w:lastRow="0" w:firstColumn="1" w:lastColumn="0" w:oddVBand="0" w:evenVBand="0" w:oddHBand="0" w:evenHBand="0" w:firstRowFirstColumn="0" w:firstRowLastColumn="0" w:lastRowFirstColumn="0" w:lastRowLastColumn="0"/>
            <w:tcW w:w="3095" w:type="dxa"/>
          </w:tcPr>
          <w:p w14:paraId="0724FB71" w14:textId="77777777"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Lesions not responsible for IDA</w:t>
            </w:r>
          </w:p>
        </w:tc>
        <w:tc>
          <w:tcPr>
            <w:tcW w:w="2116" w:type="dxa"/>
          </w:tcPr>
          <w:p w14:paraId="30CEDF04"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w:t>
            </w:r>
          </w:p>
        </w:tc>
        <w:tc>
          <w:tcPr>
            <w:tcW w:w="1560" w:type="dxa"/>
          </w:tcPr>
          <w:p w14:paraId="0B4E6271"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1.6</w:t>
            </w:r>
          </w:p>
        </w:tc>
      </w:tr>
      <w:tr w:rsidR="00621829" w:rsidRPr="00BB1154" w14:paraId="41B9F151" w14:textId="77777777" w:rsidTr="0048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bottom w:val="none" w:sz="0" w:space="0" w:color="auto"/>
            </w:tcBorders>
          </w:tcPr>
          <w:p w14:paraId="35D62FBC" w14:textId="77777777" w:rsidR="00621829" w:rsidRPr="00BB1154" w:rsidRDefault="00621829" w:rsidP="00BB1154">
            <w:pPr>
              <w:spacing w:line="360" w:lineRule="auto"/>
              <w:jc w:val="both"/>
              <w:rPr>
                <w:rFonts w:ascii="Times New Roman" w:hAnsi="Times New Roman" w:cs="Times New Roman"/>
                <w:b w:val="0"/>
                <w:bCs w:val="0"/>
                <w:sz w:val="20"/>
                <w:szCs w:val="20"/>
              </w:rPr>
            </w:pPr>
            <w:r w:rsidRPr="00BB1154">
              <w:rPr>
                <w:rFonts w:ascii="Times New Roman" w:hAnsi="Times New Roman" w:cs="Times New Roman"/>
                <w:sz w:val="20"/>
                <w:szCs w:val="20"/>
              </w:rPr>
              <w:t>HPE duodenum</w:t>
            </w:r>
          </w:p>
          <w:p w14:paraId="74F21D54" w14:textId="77777777"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Normal</w:t>
            </w:r>
          </w:p>
        </w:tc>
        <w:tc>
          <w:tcPr>
            <w:tcW w:w="2116" w:type="dxa"/>
            <w:tcBorders>
              <w:top w:val="none" w:sz="0" w:space="0" w:color="auto"/>
              <w:bottom w:val="none" w:sz="0" w:space="0" w:color="auto"/>
            </w:tcBorders>
          </w:tcPr>
          <w:p w14:paraId="075C1E26"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3FD4A61"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42</w:t>
            </w:r>
          </w:p>
        </w:tc>
        <w:tc>
          <w:tcPr>
            <w:tcW w:w="1560" w:type="dxa"/>
            <w:tcBorders>
              <w:top w:val="none" w:sz="0" w:space="0" w:color="auto"/>
              <w:bottom w:val="none" w:sz="0" w:space="0" w:color="auto"/>
              <w:right w:val="none" w:sz="0" w:space="0" w:color="auto"/>
            </w:tcBorders>
          </w:tcPr>
          <w:p w14:paraId="571B5C61"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FB3D9DE"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70</w:t>
            </w:r>
          </w:p>
        </w:tc>
      </w:tr>
      <w:tr w:rsidR="00621829" w:rsidRPr="00BB1154" w14:paraId="630E22E3" w14:textId="77777777" w:rsidTr="00483F42">
        <w:tc>
          <w:tcPr>
            <w:cnfStyle w:val="001000000000" w:firstRow="0" w:lastRow="0" w:firstColumn="1" w:lastColumn="0" w:oddVBand="0" w:evenVBand="0" w:oddHBand="0" w:evenHBand="0" w:firstRowFirstColumn="0" w:firstRowLastColumn="0" w:lastRowFirstColumn="0" w:lastRowLastColumn="0"/>
            <w:tcW w:w="3095" w:type="dxa"/>
          </w:tcPr>
          <w:p w14:paraId="156B77D6" w14:textId="77777777"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Lesions responsible for IDA</w:t>
            </w:r>
          </w:p>
          <w:p w14:paraId="56E10430" w14:textId="77777777" w:rsidR="00621829" w:rsidRPr="00BB1154" w:rsidRDefault="00621829" w:rsidP="00BB1154">
            <w:pPr>
              <w:pStyle w:val="ListParagraph"/>
              <w:numPr>
                <w:ilvl w:val="0"/>
                <w:numId w:val="3"/>
              </w:numPr>
              <w:spacing w:line="360" w:lineRule="auto"/>
              <w:jc w:val="both"/>
              <w:rPr>
                <w:sz w:val="20"/>
                <w:szCs w:val="20"/>
              </w:rPr>
            </w:pPr>
            <w:r w:rsidRPr="00BB1154">
              <w:rPr>
                <w:sz w:val="20"/>
                <w:szCs w:val="20"/>
              </w:rPr>
              <w:t>Erosive duodenitis</w:t>
            </w:r>
          </w:p>
        </w:tc>
        <w:tc>
          <w:tcPr>
            <w:tcW w:w="2116" w:type="dxa"/>
          </w:tcPr>
          <w:p w14:paraId="116A8F2A"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002FD0C"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13</w:t>
            </w:r>
          </w:p>
        </w:tc>
        <w:tc>
          <w:tcPr>
            <w:tcW w:w="1560" w:type="dxa"/>
          </w:tcPr>
          <w:p w14:paraId="4DB29771"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7689AF9" w14:textId="77777777" w:rsidR="00621829" w:rsidRPr="00BB1154" w:rsidRDefault="00621829" w:rsidP="00483F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21.6</w:t>
            </w:r>
          </w:p>
        </w:tc>
      </w:tr>
      <w:tr w:rsidR="00621829" w:rsidRPr="00BB1154" w14:paraId="43060537" w14:textId="77777777" w:rsidTr="0048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bottom w:val="none" w:sz="0" w:space="0" w:color="auto"/>
            </w:tcBorders>
          </w:tcPr>
          <w:p w14:paraId="305D55E7" w14:textId="77777777"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Lesions not responsible for IDA</w:t>
            </w:r>
          </w:p>
        </w:tc>
        <w:tc>
          <w:tcPr>
            <w:tcW w:w="2116" w:type="dxa"/>
            <w:tcBorders>
              <w:top w:val="none" w:sz="0" w:space="0" w:color="auto"/>
              <w:bottom w:val="none" w:sz="0" w:space="0" w:color="auto"/>
            </w:tcBorders>
          </w:tcPr>
          <w:p w14:paraId="07B546EE"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0</w:t>
            </w:r>
          </w:p>
        </w:tc>
        <w:tc>
          <w:tcPr>
            <w:tcW w:w="1560" w:type="dxa"/>
            <w:tcBorders>
              <w:top w:val="none" w:sz="0" w:space="0" w:color="auto"/>
              <w:bottom w:val="none" w:sz="0" w:space="0" w:color="auto"/>
              <w:right w:val="none" w:sz="0" w:space="0" w:color="auto"/>
            </w:tcBorders>
          </w:tcPr>
          <w:p w14:paraId="506EBAED" w14:textId="77777777" w:rsidR="00621829" w:rsidRPr="00BB1154" w:rsidRDefault="00621829" w:rsidP="00483F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154">
              <w:rPr>
                <w:rFonts w:ascii="Times New Roman" w:hAnsi="Times New Roman" w:cs="Times New Roman"/>
                <w:sz w:val="20"/>
                <w:szCs w:val="20"/>
              </w:rPr>
              <w:t>0</w:t>
            </w:r>
          </w:p>
        </w:tc>
      </w:tr>
    </w:tbl>
    <w:p w14:paraId="743764DF" w14:textId="45C8CB66"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Table 3, histopathological examination of the UGI samples proved the following: In the upper GI tract, 23.2% patients had oesophageal lesions responsible for IDA, 28.3% cases had stomach lesions responsible for IDA and 21.6% cases had duodenal lesions responsible for IDA.</w:t>
      </w:r>
    </w:p>
    <w:p w14:paraId="0C25AE6F" w14:textId="6D3A3160"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In 33.33% cases, UGI biopsies were not sent because they had obvious gross findings like peptic ulcers and varices etc.</w:t>
      </w:r>
    </w:p>
    <w:p w14:paraId="486AB0DD" w14:textId="3337CC8F"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 xml:space="preserve">On Univariate analysis, advancing age (p = 0.011) and positive faecal occult blood (p = 0.001) were the factors significantly associated with presence of GI lesions responsible for IDA. </w:t>
      </w:r>
    </w:p>
    <w:p w14:paraId="400FE4FA" w14:textId="4F7A51C8" w:rsidR="00621829" w:rsidRPr="00BB1154" w:rsidRDefault="00621829"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 xml:space="preserve">On Multivariate logistic regression analysis after adjusting for confounding factors positive faecal occult blood test (OR 25.48, 95% CI 4.52 – 143.71) was the independent predictor of lesions responsible for iron deficiency anaemia endoscopically, but the advancing age was not. (OR 1.65, 95% CI </w:t>
      </w:r>
      <w:r w:rsidRPr="00BB1154">
        <w:rPr>
          <w:rFonts w:ascii="Times New Roman" w:hAnsi="Times New Roman" w:cs="Times New Roman"/>
          <w:color w:val="000000"/>
          <w:sz w:val="20"/>
          <w:szCs w:val="20"/>
        </w:rPr>
        <w:t>0.37-7.2)</w:t>
      </w:r>
    </w:p>
    <w:p w14:paraId="2782621F" w14:textId="75A68EF6" w:rsidR="00621829" w:rsidRPr="00BB1154" w:rsidRDefault="00F960B6" w:rsidP="00BB1154">
      <w:pPr>
        <w:spacing w:line="360" w:lineRule="auto"/>
        <w:jc w:val="both"/>
        <w:rPr>
          <w:rFonts w:ascii="Times New Roman" w:hAnsi="Times New Roman" w:cs="Times New Roman"/>
          <w:b/>
          <w:bCs/>
          <w:sz w:val="20"/>
          <w:szCs w:val="20"/>
        </w:rPr>
      </w:pPr>
      <w:r w:rsidRPr="00BB1154">
        <w:rPr>
          <w:rFonts w:ascii="Times New Roman" w:hAnsi="Times New Roman" w:cs="Times New Roman"/>
          <w:b/>
          <w:bCs/>
          <w:sz w:val="20"/>
          <w:szCs w:val="20"/>
        </w:rPr>
        <w:lastRenderedPageBreak/>
        <w:t>Discussion:</w:t>
      </w:r>
    </w:p>
    <w:p w14:paraId="17024570" w14:textId="7FC9A5F0" w:rsidR="00EA4415" w:rsidRPr="00BB1154" w:rsidRDefault="00EA4415" w:rsidP="00BB1154">
      <w:pPr>
        <w:spacing w:line="360" w:lineRule="auto"/>
        <w:jc w:val="both"/>
        <w:rPr>
          <w:rFonts w:ascii="Times New Roman" w:hAnsi="Times New Roman" w:cs="Times New Roman"/>
          <w:sz w:val="20"/>
          <w:szCs w:val="20"/>
        </w:rPr>
      </w:pPr>
      <w:r w:rsidRPr="00BB1154">
        <w:rPr>
          <w:rFonts w:ascii="Times New Roman" w:hAnsi="Times New Roman" w:cs="Times New Roman"/>
          <w:sz w:val="20"/>
          <w:szCs w:val="20"/>
        </w:rPr>
        <w:t xml:space="preserve">The current study showed that maximum (26.7%) </w:t>
      </w:r>
      <w:proofErr w:type="gramStart"/>
      <w:r w:rsidRPr="00BB1154">
        <w:rPr>
          <w:rFonts w:ascii="Times New Roman" w:hAnsi="Times New Roman" w:cs="Times New Roman"/>
          <w:sz w:val="20"/>
          <w:szCs w:val="20"/>
        </w:rPr>
        <w:t>number of study subjects were</w:t>
      </w:r>
      <w:proofErr w:type="gramEnd"/>
      <w:r w:rsidRPr="00BB1154">
        <w:rPr>
          <w:rFonts w:ascii="Times New Roman" w:hAnsi="Times New Roman" w:cs="Times New Roman"/>
          <w:sz w:val="20"/>
          <w:szCs w:val="20"/>
        </w:rPr>
        <w:t xml:space="preserve"> in the age group of 50-59 </w:t>
      </w:r>
      <w:proofErr w:type="spellStart"/>
      <w:r w:rsidRPr="00BB1154">
        <w:rPr>
          <w:rFonts w:ascii="Times New Roman" w:hAnsi="Times New Roman" w:cs="Times New Roman"/>
          <w:sz w:val="20"/>
          <w:szCs w:val="20"/>
        </w:rPr>
        <w:t>yrs</w:t>
      </w:r>
      <w:proofErr w:type="spellEnd"/>
      <w:r w:rsidRPr="00BB1154">
        <w:rPr>
          <w:rFonts w:ascii="Times New Roman" w:hAnsi="Times New Roman" w:cs="Times New Roman"/>
          <w:sz w:val="20"/>
          <w:szCs w:val="20"/>
        </w:rPr>
        <w:t xml:space="preserve"> followed by 23.3% in 60-69 </w:t>
      </w:r>
      <w:proofErr w:type="spellStart"/>
      <w:r w:rsidRPr="00BB1154">
        <w:rPr>
          <w:rFonts w:ascii="Times New Roman" w:hAnsi="Times New Roman" w:cs="Times New Roman"/>
          <w:sz w:val="20"/>
          <w:szCs w:val="20"/>
        </w:rPr>
        <w:t>yrs</w:t>
      </w:r>
      <w:proofErr w:type="spellEnd"/>
      <w:r w:rsidRPr="00BB1154">
        <w:rPr>
          <w:rFonts w:ascii="Times New Roman" w:hAnsi="Times New Roman" w:cs="Times New Roman"/>
          <w:sz w:val="20"/>
          <w:szCs w:val="20"/>
        </w:rPr>
        <w:t xml:space="preserve"> and 20% in 40-49 yrs. Mean age of study subjects were 54.47 ± 13.53 years and the age range of study subjects was 20 to 81 years. In a study by </w:t>
      </w:r>
      <w:proofErr w:type="spellStart"/>
      <w:r w:rsidRPr="00BB1154">
        <w:rPr>
          <w:rFonts w:ascii="Times New Roman" w:hAnsi="Times New Roman" w:cs="Times New Roman"/>
          <w:sz w:val="20"/>
          <w:szCs w:val="20"/>
        </w:rPr>
        <w:t>Serefhanoglu</w:t>
      </w:r>
      <w:proofErr w:type="spellEnd"/>
      <w:r w:rsidRPr="00BB1154">
        <w:rPr>
          <w:rFonts w:ascii="Times New Roman" w:hAnsi="Times New Roman" w:cs="Times New Roman"/>
          <w:sz w:val="20"/>
          <w:szCs w:val="20"/>
        </w:rPr>
        <w:t xml:space="preserve"> et al, the mean age of the cases was 43.3 years and the age range were 19 to 81 years which was similar to our study</w:t>
      </w:r>
      <w:proofErr w:type="gramStart"/>
      <w:r w:rsidRPr="00BB1154">
        <w:rPr>
          <w:rFonts w:ascii="Times New Roman" w:hAnsi="Times New Roman" w:cs="Times New Roman"/>
          <w:sz w:val="20"/>
          <w:szCs w:val="20"/>
        </w:rPr>
        <w:t>.</w:t>
      </w:r>
      <w:r w:rsidRPr="00BB1154">
        <w:rPr>
          <w:rFonts w:ascii="Times New Roman" w:hAnsi="Times New Roman" w:cs="Times New Roman"/>
          <w:sz w:val="20"/>
          <w:szCs w:val="20"/>
          <w:vertAlign w:val="superscript"/>
        </w:rPr>
        <w:t>[</w:t>
      </w:r>
      <w:proofErr w:type="gramEnd"/>
      <w:r w:rsidR="005D49F0" w:rsidRPr="00BB1154">
        <w:rPr>
          <w:rFonts w:ascii="Times New Roman" w:hAnsi="Times New Roman" w:cs="Times New Roman"/>
          <w:sz w:val="20"/>
          <w:szCs w:val="20"/>
          <w:vertAlign w:val="superscript"/>
        </w:rPr>
        <w:t>5</w:t>
      </w:r>
      <w:r w:rsidRPr="00BB1154">
        <w:rPr>
          <w:rFonts w:ascii="Times New Roman" w:hAnsi="Times New Roman" w:cs="Times New Roman"/>
          <w:sz w:val="20"/>
          <w:szCs w:val="20"/>
          <w:vertAlign w:val="superscript"/>
        </w:rPr>
        <w:t xml:space="preserve">] </w:t>
      </w:r>
      <w:r w:rsidRPr="00BB1154">
        <w:rPr>
          <w:rFonts w:ascii="Times New Roman" w:hAnsi="Times New Roman" w:cs="Times New Roman"/>
          <w:sz w:val="20"/>
          <w:szCs w:val="20"/>
        </w:rPr>
        <w:t>The study was done on 91 patients out of which 20 patients were below fifty years and 71 patients were above fifty years. In our study, there were 34 females (56.7%) and 26 males (43.3%). In a similar study, there were 77 females and 14 males. A total of 66 women were in the childbearing age and 11 were post-menopausal</w:t>
      </w:r>
      <w:proofErr w:type="gramStart"/>
      <w:r w:rsidRPr="00BB1154">
        <w:rPr>
          <w:rFonts w:ascii="Times New Roman" w:hAnsi="Times New Roman" w:cs="Times New Roman"/>
          <w:sz w:val="20"/>
          <w:szCs w:val="20"/>
        </w:rPr>
        <w:t>.</w:t>
      </w:r>
      <w:r w:rsidRPr="00BB1154">
        <w:rPr>
          <w:rFonts w:ascii="Times New Roman" w:hAnsi="Times New Roman" w:cs="Times New Roman"/>
          <w:sz w:val="20"/>
          <w:szCs w:val="20"/>
          <w:vertAlign w:val="superscript"/>
        </w:rPr>
        <w:t>[</w:t>
      </w:r>
      <w:proofErr w:type="gramEnd"/>
      <w:r w:rsidR="005D49F0" w:rsidRPr="00BB1154">
        <w:rPr>
          <w:rFonts w:ascii="Times New Roman" w:hAnsi="Times New Roman" w:cs="Times New Roman"/>
          <w:sz w:val="20"/>
          <w:szCs w:val="20"/>
          <w:vertAlign w:val="superscript"/>
        </w:rPr>
        <w:t>5</w:t>
      </w:r>
      <w:r w:rsidRPr="00BB1154">
        <w:rPr>
          <w:rFonts w:ascii="Times New Roman" w:hAnsi="Times New Roman" w:cs="Times New Roman"/>
          <w:sz w:val="20"/>
          <w:szCs w:val="20"/>
          <w:vertAlign w:val="superscript"/>
        </w:rPr>
        <w:t>]</w:t>
      </w:r>
      <w:r w:rsidRPr="00BB1154">
        <w:rPr>
          <w:rFonts w:ascii="Times New Roman" w:hAnsi="Times New Roman" w:cs="Times New Roman"/>
          <w:sz w:val="20"/>
          <w:szCs w:val="20"/>
        </w:rPr>
        <w:t xml:space="preserve"> </w:t>
      </w:r>
      <w:r w:rsidR="006D5498" w:rsidRPr="00BB1154">
        <w:rPr>
          <w:rFonts w:ascii="Times New Roman" w:hAnsi="Times New Roman" w:cs="Times New Roman"/>
          <w:sz w:val="20"/>
          <w:szCs w:val="20"/>
        </w:rPr>
        <w:t xml:space="preserve">In the present study, out of 60 patients, in 35 (58.33%) patients the </w:t>
      </w:r>
      <w:r w:rsidR="00C63451" w:rsidRPr="00BB1154">
        <w:rPr>
          <w:rFonts w:ascii="Times New Roman" w:hAnsi="Times New Roman" w:cs="Times New Roman"/>
          <w:sz w:val="20"/>
          <w:szCs w:val="20"/>
        </w:rPr>
        <w:t xml:space="preserve">upper. </w:t>
      </w:r>
      <w:r w:rsidR="006D5498" w:rsidRPr="00BB1154">
        <w:rPr>
          <w:rFonts w:ascii="Times New Roman" w:hAnsi="Times New Roman" w:cs="Times New Roman"/>
          <w:sz w:val="20"/>
          <w:szCs w:val="20"/>
        </w:rPr>
        <w:t>GI endoscopy revealed the cause of IDA. In the current study, faecal occult blood was positive in total 34 cases, out of which GI lesion responsible for IDA were found in 30 cases (88.2%). The findings are consistent with the study by Majid et al. where 27 out of 30 patients (90%) with positive faecal occult blood had GI lesions responsible for IDA.</w:t>
      </w:r>
      <w:r w:rsidR="005D49F0" w:rsidRPr="00BB1154">
        <w:rPr>
          <w:rFonts w:ascii="Times New Roman" w:hAnsi="Times New Roman" w:cs="Times New Roman"/>
          <w:sz w:val="20"/>
          <w:szCs w:val="20"/>
          <w:vertAlign w:val="superscript"/>
        </w:rPr>
        <w:t>[7]</w:t>
      </w:r>
      <w:r w:rsidR="006D5498" w:rsidRPr="00BB1154">
        <w:rPr>
          <w:rFonts w:ascii="Times New Roman" w:hAnsi="Times New Roman" w:cs="Times New Roman"/>
          <w:sz w:val="20"/>
          <w:szCs w:val="20"/>
        </w:rPr>
        <w:t xml:space="preserve"> In the present study following were the gross UGIE findings: - </w:t>
      </w:r>
    </w:p>
    <w:p w14:paraId="70B4E4E6" w14:textId="2802DB58" w:rsidR="006D5498" w:rsidRPr="00BB1154" w:rsidRDefault="006D5498" w:rsidP="00BB1154">
      <w:pPr>
        <w:pStyle w:val="ListParagraph"/>
        <w:numPr>
          <w:ilvl w:val="0"/>
          <w:numId w:val="4"/>
        </w:numPr>
        <w:spacing w:line="360" w:lineRule="auto"/>
        <w:jc w:val="both"/>
        <w:rPr>
          <w:color w:val="000000"/>
          <w:sz w:val="20"/>
          <w:szCs w:val="20"/>
          <w:vertAlign w:val="superscript"/>
        </w:rPr>
      </w:pPr>
      <w:proofErr w:type="spellStart"/>
      <w:r w:rsidRPr="00BB1154">
        <w:rPr>
          <w:sz w:val="20"/>
          <w:szCs w:val="20"/>
        </w:rPr>
        <w:t>Oesophagus</w:t>
      </w:r>
      <w:proofErr w:type="spellEnd"/>
      <w:r w:rsidRPr="00BB1154">
        <w:rPr>
          <w:sz w:val="20"/>
          <w:szCs w:val="20"/>
        </w:rPr>
        <w:t xml:space="preserve"> was grossly normal in 60% cases. </w:t>
      </w:r>
      <w:proofErr w:type="spellStart"/>
      <w:r w:rsidRPr="00BB1154">
        <w:rPr>
          <w:sz w:val="20"/>
          <w:szCs w:val="20"/>
        </w:rPr>
        <w:t>Oesophagitis</w:t>
      </w:r>
      <w:proofErr w:type="spellEnd"/>
      <w:r w:rsidRPr="00BB1154">
        <w:rPr>
          <w:sz w:val="20"/>
          <w:szCs w:val="20"/>
        </w:rPr>
        <w:t xml:space="preserve"> (20%) was the most common finding followed by Varices (8.4%) and hiatus hernia (5%). </w:t>
      </w:r>
      <w:proofErr w:type="spellStart"/>
      <w:r w:rsidRPr="00BB1154">
        <w:rPr>
          <w:sz w:val="20"/>
          <w:szCs w:val="20"/>
        </w:rPr>
        <w:t>Oesophageal</w:t>
      </w:r>
      <w:proofErr w:type="spellEnd"/>
      <w:r w:rsidRPr="00BB1154">
        <w:rPr>
          <w:sz w:val="20"/>
          <w:szCs w:val="20"/>
        </w:rPr>
        <w:t xml:space="preserve"> mass lesions were found in 3.3%. </w:t>
      </w:r>
    </w:p>
    <w:p w14:paraId="66BE350D" w14:textId="77777777" w:rsidR="006D5498" w:rsidRPr="00BB1154" w:rsidRDefault="006D5498" w:rsidP="00BB1154">
      <w:pPr>
        <w:pStyle w:val="ListParagraph"/>
        <w:numPr>
          <w:ilvl w:val="0"/>
          <w:numId w:val="4"/>
        </w:numPr>
        <w:spacing w:line="360" w:lineRule="auto"/>
        <w:jc w:val="both"/>
        <w:rPr>
          <w:color w:val="000000"/>
          <w:sz w:val="20"/>
          <w:szCs w:val="20"/>
          <w:vertAlign w:val="superscript"/>
        </w:rPr>
      </w:pPr>
      <w:r w:rsidRPr="00BB1154">
        <w:rPr>
          <w:sz w:val="20"/>
          <w:szCs w:val="20"/>
        </w:rPr>
        <w:t xml:space="preserve">In stomach, 53.3% patients had normal findings. </w:t>
      </w:r>
      <w:proofErr w:type="spellStart"/>
      <w:r w:rsidRPr="00BB1154">
        <w:rPr>
          <w:sz w:val="20"/>
          <w:szCs w:val="20"/>
        </w:rPr>
        <w:t>Haemorrhagic</w:t>
      </w:r>
      <w:proofErr w:type="spellEnd"/>
      <w:r w:rsidRPr="00BB1154">
        <w:rPr>
          <w:sz w:val="20"/>
          <w:szCs w:val="20"/>
        </w:rPr>
        <w:t xml:space="preserve"> erosive Gastritis (25%) was the common finding followed by gastric ulcers (6.7%), portal hypertensive gastropathy (5%) and gastric mass lesions (3.4%). </w:t>
      </w:r>
    </w:p>
    <w:p w14:paraId="2A062A56" w14:textId="10A57E83" w:rsidR="006D5498" w:rsidRPr="00BB1154" w:rsidRDefault="006D5498" w:rsidP="00BB1154">
      <w:pPr>
        <w:pStyle w:val="ListParagraph"/>
        <w:numPr>
          <w:ilvl w:val="0"/>
          <w:numId w:val="4"/>
        </w:numPr>
        <w:spacing w:line="360" w:lineRule="auto"/>
        <w:jc w:val="both"/>
        <w:rPr>
          <w:color w:val="000000"/>
          <w:sz w:val="20"/>
          <w:szCs w:val="20"/>
          <w:vertAlign w:val="superscript"/>
        </w:rPr>
      </w:pPr>
      <w:r w:rsidRPr="00BB1154">
        <w:rPr>
          <w:sz w:val="20"/>
          <w:szCs w:val="20"/>
        </w:rPr>
        <w:t xml:space="preserve">In duodenum, 70% patients had normal findings and 8.5% cases had duodenal ulcer. In UGIE, malignant GI lesions were detected in 4 out of 60 patients </w:t>
      </w:r>
      <w:r w:rsidRPr="00BB1154">
        <w:rPr>
          <w:color w:val="000000"/>
          <w:sz w:val="20"/>
          <w:szCs w:val="20"/>
        </w:rPr>
        <w:t xml:space="preserve">(6.7%).  Out of 4 lesions 2 were in </w:t>
      </w:r>
      <w:proofErr w:type="spellStart"/>
      <w:r w:rsidRPr="00BB1154">
        <w:rPr>
          <w:color w:val="000000"/>
          <w:sz w:val="20"/>
          <w:szCs w:val="20"/>
        </w:rPr>
        <w:t>oesophagus</w:t>
      </w:r>
      <w:proofErr w:type="spellEnd"/>
      <w:r w:rsidRPr="00BB1154">
        <w:rPr>
          <w:color w:val="000000"/>
          <w:sz w:val="20"/>
          <w:szCs w:val="20"/>
        </w:rPr>
        <w:t xml:space="preserve"> and 2 were in stomach. </w:t>
      </w:r>
      <w:r w:rsidRPr="00BB1154">
        <w:rPr>
          <w:sz w:val="20"/>
          <w:szCs w:val="20"/>
        </w:rPr>
        <w:t xml:space="preserve"> </w:t>
      </w:r>
    </w:p>
    <w:p w14:paraId="57C87F71" w14:textId="59D65B0A" w:rsidR="00A27D4D" w:rsidRPr="00BB1154" w:rsidRDefault="006D5498" w:rsidP="00BB1154">
      <w:pPr>
        <w:pStyle w:val="Paratext"/>
        <w:spacing w:before="0" w:after="0"/>
        <w:rPr>
          <w:sz w:val="20"/>
          <w:szCs w:val="20"/>
        </w:rPr>
      </w:pPr>
      <w:r w:rsidRPr="00BB1154">
        <w:rPr>
          <w:sz w:val="20"/>
          <w:szCs w:val="20"/>
        </w:rPr>
        <w:t>In a study by NIV et al,</w:t>
      </w:r>
      <w:r w:rsidRPr="00BB1154">
        <w:rPr>
          <w:sz w:val="20"/>
          <w:szCs w:val="20"/>
          <w:shd w:val="clear" w:color="auto" w:fill="FFFFFF"/>
        </w:rPr>
        <w:t xml:space="preserve"> total 29% patients had lesion in the UGIE which were responsible for IDA, oesophagitis (14%) and erosive gastritis (14%) were the most common finding followed by erosive duodenitis (7%).</w:t>
      </w:r>
      <w:r w:rsidRPr="00BB1154">
        <w:rPr>
          <w:sz w:val="20"/>
          <w:szCs w:val="20"/>
          <w:shd w:val="clear" w:color="auto" w:fill="FFFFFF"/>
          <w:vertAlign w:val="superscript"/>
        </w:rPr>
        <w:t>[</w:t>
      </w:r>
      <w:r w:rsidR="005D49F0" w:rsidRPr="00BB1154">
        <w:rPr>
          <w:sz w:val="20"/>
          <w:szCs w:val="20"/>
          <w:shd w:val="clear" w:color="auto" w:fill="FFFFFF"/>
          <w:vertAlign w:val="superscript"/>
        </w:rPr>
        <w:t>6</w:t>
      </w:r>
      <w:r w:rsidRPr="00BB1154">
        <w:rPr>
          <w:sz w:val="20"/>
          <w:szCs w:val="20"/>
          <w:shd w:val="clear" w:color="auto" w:fill="FFFFFF"/>
          <w:vertAlign w:val="superscript"/>
        </w:rPr>
        <w:t>]</w:t>
      </w:r>
      <w:r w:rsidRPr="00BB1154">
        <w:rPr>
          <w:sz w:val="20"/>
          <w:szCs w:val="20"/>
          <w:shd w:val="clear" w:color="auto" w:fill="FFFFFF"/>
        </w:rPr>
        <w:t>In a study by Majid et al, total 75% patients had lesion in the upper GI tract which were responsible for IDA, erosive gastritis (8.4%) followed by erosive oesophagitis (6.3%) were the common findings.</w:t>
      </w:r>
      <w:r w:rsidRPr="00BB1154">
        <w:rPr>
          <w:sz w:val="20"/>
          <w:szCs w:val="20"/>
          <w:shd w:val="clear" w:color="auto" w:fill="FFFFFF"/>
          <w:vertAlign w:val="superscript"/>
        </w:rPr>
        <w:t>[</w:t>
      </w:r>
      <w:r w:rsidR="005D49F0" w:rsidRPr="00BB1154">
        <w:rPr>
          <w:sz w:val="20"/>
          <w:szCs w:val="20"/>
          <w:shd w:val="clear" w:color="auto" w:fill="FFFFFF"/>
          <w:vertAlign w:val="superscript"/>
        </w:rPr>
        <w:t>7</w:t>
      </w:r>
      <w:r w:rsidRPr="00BB1154">
        <w:rPr>
          <w:sz w:val="20"/>
          <w:szCs w:val="20"/>
          <w:shd w:val="clear" w:color="auto" w:fill="FFFFFF"/>
          <w:vertAlign w:val="superscript"/>
        </w:rPr>
        <w:t xml:space="preserve">] </w:t>
      </w:r>
      <w:r w:rsidRPr="00BB1154">
        <w:rPr>
          <w:sz w:val="20"/>
          <w:szCs w:val="20"/>
          <w:shd w:val="clear" w:color="auto" w:fill="FFFFFF"/>
        </w:rPr>
        <w:t>The findings are consistent with our study.</w:t>
      </w:r>
      <w:r w:rsidR="00A27D4D" w:rsidRPr="00BB1154">
        <w:rPr>
          <w:sz w:val="20"/>
          <w:szCs w:val="20"/>
          <w:shd w:val="clear" w:color="auto" w:fill="FFFFFF"/>
        </w:rPr>
        <w:t xml:space="preserve"> </w:t>
      </w:r>
      <w:r w:rsidRPr="00BB1154">
        <w:rPr>
          <w:sz w:val="20"/>
          <w:szCs w:val="20"/>
        </w:rPr>
        <w:t>Inflammatory, ulcerative and malignant GI lesions were the most common UGIE findings in our study. These findings were similar to the results of many studies where GI endoscopic evaluation was done for IDA</w:t>
      </w:r>
      <w:proofErr w:type="gramStart"/>
      <w:r w:rsidRPr="00BB1154">
        <w:rPr>
          <w:sz w:val="20"/>
          <w:szCs w:val="20"/>
        </w:rPr>
        <w:t>.</w:t>
      </w:r>
      <w:r w:rsidRPr="00BB1154">
        <w:rPr>
          <w:sz w:val="20"/>
          <w:szCs w:val="20"/>
          <w:vertAlign w:val="superscript"/>
        </w:rPr>
        <w:t>[</w:t>
      </w:r>
      <w:proofErr w:type="gramEnd"/>
      <w:r w:rsidR="005D49F0" w:rsidRPr="00BB1154">
        <w:rPr>
          <w:sz w:val="20"/>
          <w:szCs w:val="20"/>
          <w:vertAlign w:val="superscript"/>
        </w:rPr>
        <w:t>6</w:t>
      </w:r>
      <w:r w:rsidRPr="00BB1154">
        <w:rPr>
          <w:sz w:val="20"/>
          <w:szCs w:val="20"/>
          <w:vertAlign w:val="superscript"/>
        </w:rPr>
        <w:t>,8,</w:t>
      </w:r>
      <w:r w:rsidR="005D49F0" w:rsidRPr="00BB1154">
        <w:rPr>
          <w:sz w:val="20"/>
          <w:szCs w:val="20"/>
          <w:vertAlign w:val="superscript"/>
        </w:rPr>
        <w:t>9</w:t>
      </w:r>
      <w:r w:rsidRPr="00BB1154">
        <w:rPr>
          <w:sz w:val="20"/>
          <w:szCs w:val="20"/>
          <w:vertAlign w:val="superscript"/>
        </w:rPr>
        <w:t>,</w:t>
      </w:r>
      <w:r w:rsidR="005D49F0" w:rsidRPr="00BB1154">
        <w:rPr>
          <w:sz w:val="20"/>
          <w:szCs w:val="20"/>
          <w:vertAlign w:val="superscript"/>
        </w:rPr>
        <w:t>10</w:t>
      </w:r>
      <w:r w:rsidRPr="00BB1154">
        <w:rPr>
          <w:sz w:val="20"/>
          <w:szCs w:val="20"/>
          <w:vertAlign w:val="superscript"/>
        </w:rPr>
        <w:t>]</w:t>
      </w:r>
      <w:r w:rsidRPr="00BB1154">
        <w:rPr>
          <w:sz w:val="20"/>
          <w:szCs w:val="20"/>
        </w:rPr>
        <w:t xml:space="preserve">In the present study, histopathological examination of the biopsy samples collected during UGIE showed the following results: - No abnormalities found in 60% and 53.3% and 70% biopsies from the oesophagus, stomach and the duodenum respectively. Abnormal findings were as follows: - erosive esophagitis (20%) followed by oesophageal adenocarcinoma (1.6%), oesophageal squamous cell carcinoma (1.6%), erosive gastritis (25%) followed by adenocarcinoma stomach (3.3%) and erosive duodenitis (21.6%). </w:t>
      </w:r>
      <w:r w:rsidR="00A27D4D" w:rsidRPr="00BB1154">
        <w:rPr>
          <w:sz w:val="20"/>
          <w:szCs w:val="20"/>
        </w:rPr>
        <w:t xml:space="preserve">On univariate analysis, in the present study, age (p = 0.011) and a positive faecal occult blood test (p = 0.001) were the significant factors associated with lesions responsible for IDA. On multivariate logistic regression analysis after adjusting for confounding factors, faecal occult blood positive (OR 25.48, 95% CI 4.52 – 143.71) was independent predictor of lesions responsible iron deficiency anaemia on upper GI endoscopy. Age of the patients was not a predictor of IDA lesions in our study. Limitation of our study was selection and observer bias. To conclude, in this study we found that the age of the patients and a positive faecal occult blood test are the important factors that predict the presence of GI lesions </w:t>
      </w:r>
      <w:r w:rsidR="00A27D4D" w:rsidRPr="00BB1154">
        <w:rPr>
          <w:sz w:val="20"/>
          <w:szCs w:val="20"/>
        </w:rPr>
        <w:lastRenderedPageBreak/>
        <w:t>responsible for IDA. Inflammatory and haemorrhagic lesions of the GIT followed by bleeding peptic ulcer disease and oesophageal and gastric varices were the most common lesions responsible for IDA in our study. Investigations for anaemia should be tailored according to the patient’s age and other biochemical parameters. Upper GI endoscopy is a very important investigation tool for finding the cause of iron deficiency in adults.</w:t>
      </w:r>
    </w:p>
    <w:p w14:paraId="3C619157" w14:textId="41CDFA47" w:rsidR="00A27D4D" w:rsidRPr="00BB1154" w:rsidRDefault="00A27D4D" w:rsidP="00BB1154">
      <w:pPr>
        <w:pStyle w:val="Paratext"/>
        <w:spacing w:before="0" w:after="0"/>
        <w:rPr>
          <w:sz w:val="20"/>
          <w:szCs w:val="20"/>
        </w:rPr>
      </w:pPr>
    </w:p>
    <w:p w14:paraId="04233B2D" w14:textId="05B58095" w:rsidR="0089771F" w:rsidRPr="00BB1154" w:rsidRDefault="00223ED4" w:rsidP="00BB1154">
      <w:pPr>
        <w:shd w:val="clear" w:color="auto" w:fill="FFFFFF"/>
        <w:spacing w:line="360" w:lineRule="auto"/>
        <w:jc w:val="both"/>
        <w:rPr>
          <w:rFonts w:ascii="Times New Roman" w:eastAsia="Times New Roman" w:hAnsi="Times New Roman" w:cs="Times New Roman"/>
          <w:b/>
          <w:bCs/>
          <w:sz w:val="20"/>
          <w:szCs w:val="20"/>
          <w:lang w:eastAsia="en-GB"/>
        </w:rPr>
      </w:pPr>
      <w:r w:rsidRPr="00BB1154">
        <w:rPr>
          <w:rFonts w:ascii="Times New Roman" w:eastAsia="Times New Roman" w:hAnsi="Times New Roman" w:cs="Times New Roman"/>
          <w:b/>
          <w:bCs/>
          <w:sz w:val="20"/>
          <w:szCs w:val="20"/>
          <w:lang w:eastAsia="en-GB"/>
        </w:rPr>
        <w:t xml:space="preserve">REFERENCES: </w:t>
      </w:r>
    </w:p>
    <w:p w14:paraId="7F21415F" w14:textId="77777777" w:rsidR="00223ED4" w:rsidRPr="00BB1154" w:rsidRDefault="00223ED4" w:rsidP="00BB1154">
      <w:pPr>
        <w:shd w:val="clear" w:color="auto" w:fill="FFFFFF"/>
        <w:spacing w:line="360" w:lineRule="auto"/>
        <w:jc w:val="both"/>
        <w:rPr>
          <w:rFonts w:ascii="Times New Roman" w:eastAsia="Times New Roman" w:hAnsi="Times New Roman" w:cs="Times New Roman"/>
          <w:sz w:val="20"/>
          <w:szCs w:val="20"/>
          <w:lang w:eastAsia="en-GB"/>
        </w:rPr>
      </w:pPr>
    </w:p>
    <w:p w14:paraId="6A9FB04F" w14:textId="77777777" w:rsidR="005D49F0" w:rsidRPr="00BB1154" w:rsidRDefault="005D49F0" w:rsidP="00BB1154">
      <w:pPr>
        <w:pStyle w:val="ListParagraph"/>
        <w:numPr>
          <w:ilvl w:val="0"/>
          <w:numId w:val="6"/>
        </w:numPr>
        <w:spacing w:line="360" w:lineRule="auto"/>
        <w:ind w:right="196"/>
        <w:jc w:val="both"/>
        <w:rPr>
          <w:sz w:val="18"/>
          <w:szCs w:val="18"/>
        </w:rPr>
      </w:pPr>
      <w:r w:rsidRPr="00BB1154">
        <w:rPr>
          <w:sz w:val="18"/>
          <w:szCs w:val="18"/>
          <w:shd w:val="clear" w:color="auto" w:fill="FFFFFF"/>
        </w:rPr>
        <w:t xml:space="preserve">Who U. UNU. Iron deficiency </w:t>
      </w:r>
      <w:proofErr w:type="spellStart"/>
      <w:r w:rsidRPr="00BB1154">
        <w:rPr>
          <w:sz w:val="18"/>
          <w:szCs w:val="18"/>
          <w:shd w:val="clear" w:color="auto" w:fill="FFFFFF"/>
        </w:rPr>
        <w:t>anaemia</w:t>
      </w:r>
      <w:proofErr w:type="spellEnd"/>
      <w:r w:rsidRPr="00BB1154">
        <w:rPr>
          <w:sz w:val="18"/>
          <w:szCs w:val="18"/>
          <w:shd w:val="clear" w:color="auto" w:fill="FFFFFF"/>
        </w:rPr>
        <w:t xml:space="preserve">: assessment, prevention and control, a guide for </w:t>
      </w:r>
      <w:proofErr w:type="spellStart"/>
      <w:r w:rsidRPr="00BB1154">
        <w:rPr>
          <w:sz w:val="18"/>
          <w:szCs w:val="18"/>
          <w:shd w:val="clear" w:color="auto" w:fill="FFFFFF"/>
        </w:rPr>
        <w:t>programme</w:t>
      </w:r>
      <w:proofErr w:type="spellEnd"/>
      <w:r w:rsidRPr="00BB1154">
        <w:rPr>
          <w:sz w:val="18"/>
          <w:szCs w:val="18"/>
          <w:shd w:val="clear" w:color="auto" w:fill="FFFFFF"/>
        </w:rPr>
        <w:t xml:space="preserve"> managers. Geneva: World Health Organization. 2001 Oct</w:t>
      </w:r>
      <w:proofErr w:type="gramStart"/>
      <w:r w:rsidRPr="00BB1154">
        <w:rPr>
          <w:sz w:val="18"/>
          <w:szCs w:val="18"/>
          <w:shd w:val="clear" w:color="auto" w:fill="FFFFFF"/>
        </w:rPr>
        <w:t>:1</w:t>
      </w:r>
      <w:proofErr w:type="gramEnd"/>
      <w:r w:rsidRPr="00BB1154">
        <w:rPr>
          <w:sz w:val="18"/>
          <w:szCs w:val="18"/>
          <w:shd w:val="clear" w:color="auto" w:fill="FFFFFF"/>
        </w:rPr>
        <w:t>-14.</w:t>
      </w:r>
    </w:p>
    <w:p w14:paraId="0B3BC628" w14:textId="77777777" w:rsidR="005D49F0" w:rsidRPr="00BB1154" w:rsidRDefault="005D49F0" w:rsidP="00BB1154">
      <w:pPr>
        <w:pStyle w:val="ListParagraph"/>
        <w:numPr>
          <w:ilvl w:val="0"/>
          <w:numId w:val="6"/>
        </w:numPr>
        <w:spacing w:line="360" w:lineRule="auto"/>
        <w:ind w:right="196"/>
        <w:jc w:val="both"/>
        <w:rPr>
          <w:sz w:val="18"/>
          <w:szCs w:val="18"/>
        </w:rPr>
      </w:pPr>
      <w:r w:rsidRPr="00BB1154">
        <w:rPr>
          <w:sz w:val="18"/>
          <w:szCs w:val="18"/>
        </w:rPr>
        <w:t>Zimmermann MB, Hurrell RF. Nutritional iron deficiency. The Lancet. 2007 Aug 11</w:t>
      </w:r>
      <w:proofErr w:type="gramStart"/>
      <w:r w:rsidRPr="00BB1154">
        <w:rPr>
          <w:sz w:val="18"/>
          <w:szCs w:val="18"/>
        </w:rPr>
        <w:t>;370</w:t>
      </w:r>
      <w:proofErr w:type="gramEnd"/>
      <w:r w:rsidRPr="00BB1154">
        <w:rPr>
          <w:sz w:val="18"/>
          <w:szCs w:val="18"/>
        </w:rPr>
        <w:t>(9586):511-20.</w:t>
      </w:r>
    </w:p>
    <w:p w14:paraId="0F2D9EE3" w14:textId="77777777" w:rsidR="005D49F0" w:rsidRPr="00BB1154" w:rsidRDefault="005D49F0" w:rsidP="00BB1154">
      <w:pPr>
        <w:pStyle w:val="ListParagraph"/>
        <w:numPr>
          <w:ilvl w:val="0"/>
          <w:numId w:val="6"/>
        </w:numPr>
        <w:spacing w:line="360" w:lineRule="auto"/>
        <w:ind w:right="196"/>
        <w:jc w:val="both"/>
        <w:rPr>
          <w:sz w:val="18"/>
          <w:szCs w:val="18"/>
        </w:rPr>
      </w:pPr>
      <w:r w:rsidRPr="00BB1154">
        <w:rPr>
          <w:sz w:val="18"/>
          <w:szCs w:val="18"/>
        </w:rPr>
        <w:t>Alvarez-</w:t>
      </w:r>
      <w:proofErr w:type="spellStart"/>
      <w:r w:rsidRPr="00BB1154">
        <w:rPr>
          <w:sz w:val="18"/>
          <w:szCs w:val="18"/>
        </w:rPr>
        <w:t>Uria</w:t>
      </w:r>
      <w:proofErr w:type="spellEnd"/>
      <w:r w:rsidRPr="00BB1154">
        <w:rPr>
          <w:sz w:val="18"/>
          <w:szCs w:val="18"/>
        </w:rPr>
        <w:t xml:space="preserve"> G, </w:t>
      </w:r>
      <w:proofErr w:type="spellStart"/>
      <w:r w:rsidRPr="00BB1154">
        <w:rPr>
          <w:sz w:val="18"/>
          <w:szCs w:val="18"/>
        </w:rPr>
        <w:t>Naik</w:t>
      </w:r>
      <w:proofErr w:type="spellEnd"/>
      <w:r w:rsidRPr="00BB1154">
        <w:rPr>
          <w:sz w:val="18"/>
          <w:szCs w:val="18"/>
        </w:rPr>
        <w:t xml:space="preserve"> PK, </w:t>
      </w:r>
      <w:proofErr w:type="spellStart"/>
      <w:r w:rsidRPr="00BB1154">
        <w:rPr>
          <w:sz w:val="18"/>
          <w:szCs w:val="18"/>
        </w:rPr>
        <w:t>Midde</w:t>
      </w:r>
      <w:proofErr w:type="spellEnd"/>
      <w:r w:rsidRPr="00BB1154">
        <w:rPr>
          <w:sz w:val="18"/>
          <w:szCs w:val="18"/>
        </w:rPr>
        <w:t xml:space="preserve"> M, </w:t>
      </w:r>
      <w:proofErr w:type="spellStart"/>
      <w:r w:rsidRPr="00BB1154">
        <w:rPr>
          <w:sz w:val="18"/>
          <w:szCs w:val="18"/>
        </w:rPr>
        <w:t>Yalla</w:t>
      </w:r>
      <w:proofErr w:type="spellEnd"/>
      <w:r w:rsidRPr="00BB1154">
        <w:rPr>
          <w:sz w:val="18"/>
          <w:szCs w:val="18"/>
        </w:rPr>
        <w:t xml:space="preserve"> PS, </w:t>
      </w:r>
      <w:proofErr w:type="spellStart"/>
      <w:r w:rsidRPr="00BB1154">
        <w:rPr>
          <w:sz w:val="18"/>
          <w:szCs w:val="18"/>
        </w:rPr>
        <w:t>Pakam</w:t>
      </w:r>
      <w:proofErr w:type="spellEnd"/>
      <w:r w:rsidRPr="00BB1154">
        <w:rPr>
          <w:sz w:val="18"/>
          <w:szCs w:val="18"/>
        </w:rPr>
        <w:t xml:space="preserve"> R. Prevalence and severity of </w:t>
      </w:r>
      <w:proofErr w:type="spellStart"/>
      <w:r w:rsidRPr="00BB1154">
        <w:rPr>
          <w:sz w:val="18"/>
          <w:szCs w:val="18"/>
        </w:rPr>
        <w:t>anaemia</w:t>
      </w:r>
      <w:proofErr w:type="spellEnd"/>
      <w:r w:rsidRPr="00BB1154">
        <w:rPr>
          <w:sz w:val="18"/>
          <w:szCs w:val="18"/>
        </w:rPr>
        <w:t xml:space="preserve"> stratified by age and gender in rural India. Anemia. 2014</w:t>
      </w:r>
      <w:proofErr w:type="gramStart"/>
      <w:r w:rsidRPr="00BB1154">
        <w:rPr>
          <w:sz w:val="18"/>
          <w:szCs w:val="18"/>
        </w:rPr>
        <w:t>;2014</w:t>
      </w:r>
      <w:proofErr w:type="gramEnd"/>
      <w:r w:rsidRPr="00BB1154">
        <w:rPr>
          <w:sz w:val="18"/>
          <w:szCs w:val="18"/>
        </w:rPr>
        <w:t>.</w:t>
      </w:r>
    </w:p>
    <w:p w14:paraId="64352056" w14:textId="77777777" w:rsidR="005D49F0" w:rsidRPr="00BB1154" w:rsidRDefault="005D49F0" w:rsidP="00BB1154">
      <w:pPr>
        <w:numPr>
          <w:ilvl w:val="0"/>
          <w:numId w:val="6"/>
        </w:numPr>
        <w:spacing w:line="360" w:lineRule="auto"/>
        <w:ind w:right="196"/>
        <w:jc w:val="both"/>
        <w:rPr>
          <w:rFonts w:ascii="Times New Roman" w:hAnsi="Times New Roman" w:cs="Times New Roman"/>
          <w:sz w:val="18"/>
          <w:szCs w:val="18"/>
        </w:rPr>
      </w:pPr>
      <w:r w:rsidRPr="00BB1154">
        <w:rPr>
          <w:rFonts w:ascii="Times New Roman" w:hAnsi="Times New Roman" w:cs="Times New Roman"/>
          <w:sz w:val="18"/>
          <w:szCs w:val="18"/>
        </w:rPr>
        <w:t xml:space="preserve">Reyes AL, Gómez FC, </w:t>
      </w:r>
      <w:proofErr w:type="spellStart"/>
      <w:r w:rsidRPr="00BB1154">
        <w:rPr>
          <w:rFonts w:ascii="Times New Roman" w:hAnsi="Times New Roman" w:cs="Times New Roman"/>
          <w:sz w:val="18"/>
          <w:szCs w:val="18"/>
        </w:rPr>
        <w:t>Gálvez</w:t>
      </w:r>
      <w:proofErr w:type="spellEnd"/>
      <w:r w:rsidRPr="00BB1154">
        <w:rPr>
          <w:rFonts w:ascii="Times New Roman" w:hAnsi="Times New Roman" w:cs="Times New Roman"/>
          <w:sz w:val="18"/>
          <w:szCs w:val="18"/>
        </w:rPr>
        <w:t xml:space="preserve"> CC, </w:t>
      </w:r>
      <w:proofErr w:type="spellStart"/>
      <w:r w:rsidRPr="00BB1154">
        <w:rPr>
          <w:rFonts w:ascii="Times New Roman" w:hAnsi="Times New Roman" w:cs="Times New Roman"/>
          <w:sz w:val="18"/>
          <w:szCs w:val="18"/>
        </w:rPr>
        <w:t>Miño</w:t>
      </w:r>
      <w:proofErr w:type="spellEnd"/>
      <w:r w:rsidRPr="00BB1154">
        <w:rPr>
          <w:rFonts w:ascii="Times New Roman" w:hAnsi="Times New Roman" w:cs="Times New Roman"/>
          <w:sz w:val="18"/>
          <w:szCs w:val="18"/>
        </w:rPr>
        <w:t xml:space="preserve"> GF. Iron-deficiency </w:t>
      </w:r>
      <w:proofErr w:type="spellStart"/>
      <w:r w:rsidRPr="00BB1154">
        <w:rPr>
          <w:rFonts w:ascii="Times New Roman" w:hAnsi="Times New Roman" w:cs="Times New Roman"/>
          <w:sz w:val="18"/>
          <w:szCs w:val="18"/>
        </w:rPr>
        <w:t>anemia</w:t>
      </w:r>
      <w:proofErr w:type="spellEnd"/>
      <w:r w:rsidRPr="00BB1154">
        <w:rPr>
          <w:rFonts w:ascii="Times New Roman" w:hAnsi="Times New Roman" w:cs="Times New Roman"/>
          <w:sz w:val="18"/>
          <w:szCs w:val="18"/>
        </w:rPr>
        <w:t xml:space="preserve"> due to chronic gastrointestinal bleeding. </w:t>
      </w:r>
      <w:proofErr w:type="spellStart"/>
      <w:r w:rsidRPr="00BB1154">
        <w:rPr>
          <w:rFonts w:ascii="Times New Roman" w:hAnsi="Times New Roman" w:cs="Times New Roman"/>
          <w:sz w:val="18"/>
          <w:szCs w:val="18"/>
        </w:rPr>
        <w:t>Revistaespanola</w:t>
      </w:r>
      <w:proofErr w:type="spellEnd"/>
      <w:r w:rsidRPr="00BB1154">
        <w:rPr>
          <w:rFonts w:ascii="Times New Roman" w:hAnsi="Times New Roman" w:cs="Times New Roman"/>
          <w:sz w:val="18"/>
          <w:szCs w:val="18"/>
        </w:rPr>
        <w:t xml:space="preserve"> de </w:t>
      </w:r>
      <w:proofErr w:type="spellStart"/>
      <w:r w:rsidRPr="00BB1154">
        <w:rPr>
          <w:rFonts w:ascii="Times New Roman" w:hAnsi="Times New Roman" w:cs="Times New Roman"/>
          <w:sz w:val="18"/>
          <w:szCs w:val="18"/>
        </w:rPr>
        <w:t>enfermedadesdigestivas</w:t>
      </w:r>
      <w:proofErr w:type="spellEnd"/>
      <w:r w:rsidRPr="00BB1154">
        <w:rPr>
          <w:rFonts w:ascii="Times New Roman" w:hAnsi="Times New Roman" w:cs="Times New Roman"/>
          <w:sz w:val="18"/>
          <w:szCs w:val="18"/>
        </w:rPr>
        <w:t xml:space="preserve">: </w:t>
      </w:r>
      <w:proofErr w:type="spellStart"/>
      <w:r w:rsidRPr="00BB1154">
        <w:rPr>
          <w:rFonts w:ascii="Times New Roman" w:hAnsi="Times New Roman" w:cs="Times New Roman"/>
          <w:sz w:val="18"/>
          <w:szCs w:val="18"/>
        </w:rPr>
        <w:t>organooficial</w:t>
      </w:r>
      <w:proofErr w:type="spellEnd"/>
      <w:r w:rsidRPr="00BB1154">
        <w:rPr>
          <w:rFonts w:ascii="Times New Roman" w:hAnsi="Times New Roman" w:cs="Times New Roman"/>
          <w:sz w:val="18"/>
          <w:szCs w:val="18"/>
        </w:rPr>
        <w:t xml:space="preserve"> de la </w:t>
      </w:r>
      <w:proofErr w:type="spellStart"/>
      <w:r w:rsidRPr="00BB1154">
        <w:rPr>
          <w:rFonts w:ascii="Times New Roman" w:hAnsi="Times New Roman" w:cs="Times New Roman"/>
          <w:sz w:val="18"/>
          <w:szCs w:val="18"/>
        </w:rPr>
        <w:t>Sociedad</w:t>
      </w:r>
      <w:proofErr w:type="spellEnd"/>
      <w:r w:rsidRPr="00BB1154">
        <w:rPr>
          <w:rFonts w:ascii="Times New Roman" w:hAnsi="Times New Roman" w:cs="Times New Roman"/>
          <w:sz w:val="18"/>
          <w:szCs w:val="18"/>
        </w:rPr>
        <w:t xml:space="preserve"> Espanola de </w:t>
      </w:r>
      <w:proofErr w:type="spellStart"/>
      <w:r w:rsidRPr="00BB1154">
        <w:rPr>
          <w:rFonts w:ascii="Times New Roman" w:hAnsi="Times New Roman" w:cs="Times New Roman"/>
          <w:sz w:val="18"/>
          <w:szCs w:val="18"/>
        </w:rPr>
        <w:t>PatologiaDigestiva</w:t>
      </w:r>
      <w:proofErr w:type="spellEnd"/>
      <w:r w:rsidRPr="00BB1154">
        <w:rPr>
          <w:rFonts w:ascii="Times New Roman" w:hAnsi="Times New Roman" w:cs="Times New Roman"/>
          <w:sz w:val="18"/>
          <w:szCs w:val="18"/>
        </w:rPr>
        <w:t>. 1999 May</w:t>
      </w:r>
      <w:proofErr w:type="gramStart"/>
      <w:r w:rsidRPr="00BB1154">
        <w:rPr>
          <w:rFonts w:ascii="Times New Roman" w:hAnsi="Times New Roman" w:cs="Times New Roman"/>
          <w:sz w:val="18"/>
          <w:szCs w:val="18"/>
        </w:rPr>
        <w:t>;91</w:t>
      </w:r>
      <w:proofErr w:type="gramEnd"/>
      <w:r w:rsidRPr="00BB1154">
        <w:rPr>
          <w:rFonts w:ascii="Times New Roman" w:hAnsi="Times New Roman" w:cs="Times New Roman"/>
          <w:sz w:val="18"/>
          <w:szCs w:val="18"/>
        </w:rPr>
        <w:t xml:space="preserve">(5):345-58. </w:t>
      </w:r>
    </w:p>
    <w:p w14:paraId="77A200ED" w14:textId="32DC62DD" w:rsidR="005D49F0" w:rsidRPr="00BB1154" w:rsidRDefault="005D49F0" w:rsidP="00BB1154">
      <w:pPr>
        <w:pStyle w:val="ListParagraph"/>
        <w:numPr>
          <w:ilvl w:val="0"/>
          <w:numId w:val="6"/>
        </w:numPr>
        <w:autoSpaceDE w:val="0"/>
        <w:autoSpaceDN w:val="0"/>
        <w:adjustRightInd w:val="0"/>
        <w:spacing w:line="360" w:lineRule="auto"/>
        <w:jc w:val="both"/>
        <w:rPr>
          <w:sz w:val="18"/>
          <w:szCs w:val="18"/>
        </w:rPr>
      </w:pPr>
      <w:proofErr w:type="spellStart"/>
      <w:r w:rsidRPr="00BB1154">
        <w:rPr>
          <w:sz w:val="18"/>
          <w:szCs w:val="18"/>
        </w:rPr>
        <w:t>Serefhanoglu</w:t>
      </w:r>
      <w:proofErr w:type="spellEnd"/>
      <w:r w:rsidRPr="00BB1154">
        <w:rPr>
          <w:sz w:val="18"/>
          <w:szCs w:val="18"/>
        </w:rPr>
        <w:t xml:space="preserve"> S, </w:t>
      </w:r>
      <w:proofErr w:type="spellStart"/>
      <w:r w:rsidRPr="00BB1154">
        <w:rPr>
          <w:sz w:val="18"/>
          <w:szCs w:val="18"/>
        </w:rPr>
        <w:t>Buyukasik</w:t>
      </w:r>
      <w:proofErr w:type="spellEnd"/>
      <w:r w:rsidRPr="00BB1154">
        <w:rPr>
          <w:sz w:val="18"/>
          <w:szCs w:val="18"/>
        </w:rPr>
        <w:t xml:space="preserve"> Y, </w:t>
      </w:r>
      <w:proofErr w:type="spellStart"/>
      <w:r w:rsidRPr="00BB1154">
        <w:rPr>
          <w:sz w:val="18"/>
          <w:szCs w:val="18"/>
        </w:rPr>
        <w:t>Emmungi</w:t>
      </w:r>
      <w:proofErr w:type="spellEnd"/>
      <w:r w:rsidRPr="00BB1154">
        <w:rPr>
          <w:sz w:val="18"/>
          <w:szCs w:val="18"/>
        </w:rPr>
        <w:t xml:space="preserve"> H, </w:t>
      </w:r>
      <w:proofErr w:type="spellStart"/>
      <w:r w:rsidRPr="00BB1154">
        <w:rPr>
          <w:sz w:val="18"/>
          <w:szCs w:val="18"/>
        </w:rPr>
        <w:t>Sayinalp</w:t>
      </w:r>
      <w:proofErr w:type="spellEnd"/>
      <w:r w:rsidRPr="00BB1154">
        <w:rPr>
          <w:sz w:val="18"/>
          <w:szCs w:val="18"/>
        </w:rPr>
        <w:t xml:space="preserve"> N, </w:t>
      </w:r>
      <w:proofErr w:type="spellStart"/>
      <w:r w:rsidRPr="00BB1154">
        <w:rPr>
          <w:sz w:val="18"/>
          <w:szCs w:val="18"/>
        </w:rPr>
        <w:t>Haznedaroglu</w:t>
      </w:r>
      <w:proofErr w:type="spellEnd"/>
      <w:r w:rsidRPr="00BB1154">
        <w:rPr>
          <w:sz w:val="18"/>
          <w:szCs w:val="18"/>
        </w:rPr>
        <w:t xml:space="preserve"> IC, </w:t>
      </w:r>
      <w:proofErr w:type="spellStart"/>
      <w:r w:rsidRPr="00BB1154">
        <w:rPr>
          <w:sz w:val="18"/>
          <w:szCs w:val="18"/>
        </w:rPr>
        <w:t>Goker</w:t>
      </w:r>
      <w:proofErr w:type="spellEnd"/>
      <w:r w:rsidRPr="00BB1154">
        <w:rPr>
          <w:sz w:val="18"/>
          <w:szCs w:val="18"/>
        </w:rPr>
        <w:t xml:space="preserve"> H, et al. Identification of clinical and simple laboratory variables predicting responsible gastrointestinal lesions in patients with iron deficiency anemia.</w:t>
      </w:r>
      <w:r w:rsidRPr="00BB1154">
        <w:rPr>
          <w:i/>
          <w:iCs/>
          <w:sz w:val="18"/>
          <w:szCs w:val="18"/>
        </w:rPr>
        <w:t xml:space="preserve"> Int. J. Med. Sci. </w:t>
      </w:r>
      <w:r w:rsidRPr="00BB1154">
        <w:rPr>
          <w:sz w:val="18"/>
          <w:szCs w:val="18"/>
        </w:rPr>
        <w:t>2011, 8;30-38</w:t>
      </w:r>
    </w:p>
    <w:p w14:paraId="220110AA" w14:textId="44608222" w:rsidR="005D49F0" w:rsidRPr="00BB1154" w:rsidRDefault="005D49F0" w:rsidP="00BB1154">
      <w:pPr>
        <w:pStyle w:val="ListParagraph"/>
        <w:numPr>
          <w:ilvl w:val="0"/>
          <w:numId w:val="6"/>
        </w:numPr>
        <w:autoSpaceDE w:val="0"/>
        <w:autoSpaceDN w:val="0"/>
        <w:adjustRightInd w:val="0"/>
        <w:spacing w:line="360" w:lineRule="auto"/>
        <w:jc w:val="both"/>
        <w:rPr>
          <w:sz w:val="18"/>
          <w:szCs w:val="18"/>
        </w:rPr>
      </w:pPr>
      <w:r w:rsidRPr="00BB1154">
        <w:rPr>
          <w:sz w:val="18"/>
          <w:szCs w:val="18"/>
        </w:rPr>
        <w:t xml:space="preserve">Niv E, Elis A, </w:t>
      </w:r>
      <w:proofErr w:type="spellStart"/>
      <w:r w:rsidRPr="00BB1154">
        <w:rPr>
          <w:sz w:val="18"/>
          <w:szCs w:val="18"/>
        </w:rPr>
        <w:t>Zissin</w:t>
      </w:r>
      <w:proofErr w:type="spellEnd"/>
      <w:r w:rsidRPr="00BB1154">
        <w:rPr>
          <w:sz w:val="18"/>
          <w:szCs w:val="18"/>
        </w:rPr>
        <w:t xml:space="preserve"> R, </w:t>
      </w:r>
      <w:proofErr w:type="spellStart"/>
      <w:r w:rsidRPr="00BB1154">
        <w:rPr>
          <w:sz w:val="18"/>
          <w:szCs w:val="18"/>
        </w:rPr>
        <w:t>Naftali</w:t>
      </w:r>
      <w:proofErr w:type="spellEnd"/>
      <w:r w:rsidRPr="00BB1154">
        <w:rPr>
          <w:sz w:val="18"/>
          <w:szCs w:val="18"/>
        </w:rPr>
        <w:t xml:space="preserve"> T, </w:t>
      </w:r>
      <w:proofErr w:type="spellStart"/>
      <w:r w:rsidRPr="00BB1154">
        <w:rPr>
          <w:sz w:val="18"/>
          <w:szCs w:val="18"/>
        </w:rPr>
        <w:t>Novis</w:t>
      </w:r>
      <w:proofErr w:type="spellEnd"/>
      <w:r w:rsidRPr="00BB1154">
        <w:rPr>
          <w:sz w:val="18"/>
          <w:szCs w:val="18"/>
        </w:rPr>
        <w:t xml:space="preserve"> B, </w:t>
      </w:r>
      <w:proofErr w:type="spellStart"/>
      <w:r w:rsidRPr="00BB1154">
        <w:rPr>
          <w:sz w:val="18"/>
          <w:szCs w:val="18"/>
        </w:rPr>
        <w:t>Lishner</w:t>
      </w:r>
      <w:proofErr w:type="spellEnd"/>
      <w:r w:rsidRPr="00BB1154">
        <w:rPr>
          <w:sz w:val="18"/>
          <w:szCs w:val="18"/>
        </w:rPr>
        <w:t xml:space="preserve"> M. Iron deficiency anemia in patients without gastrointestinal symptoms—a prospective study. Family practice. 2005 Jan 11</w:t>
      </w:r>
      <w:proofErr w:type="gramStart"/>
      <w:r w:rsidRPr="00BB1154">
        <w:rPr>
          <w:sz w:val="18"/>
          <w:szCs w:val="18"/>
        </w:rPr>
        <w:t>;22</w:t>
      </w:r>
      <w:proofErr w:type="gramEnd"/>
      <w:r w:rsidRPr="00BB1154">
        <w:rPr>
          <w:sz w:val="18"/>
          <w:szCs w:val="18"/>
        </w:rPr>
        <w:t xml:space="preserve">(1):58-61. </w:t>
      </w:r>
    </w:p>
    <w:p w14:paraId="0650FBFB" w14:textId="77777777" w:rsidR="005D49F0" w:rsidRPr="00BB1154" w:rsidRDefault="005D49F0" w:rsidP="00BB1154">
      <w:pPr>
        <w:pStyle w:val="ListParagraph"/>
        <w:numPr>
          <w:ilvl w:val="0"/>
          <w:numId w:val="6"/>
        </w:numPr>
        <w:autoSpaceDE w:val="0"/>
        <w:autoSpaceDN w:val="0"/>
        <w:adjustRightInd w:val="0"/>
        <w:spacing w:line="360" w:lineRule="auto"/>
        <w:jc w:val="both"/>
        <w:rPr>
          <w:sz w:val="18"/>
          <w:szCs w:val="18"/>
        </w:rPr>
      </w:pPr>
      <w:r w:rsidRPr="00BB1154">
        <w:rPr>
          <w:sz w:val="18"/>
          <w:szCs w:val="18"/>
          <w:shd w:val="clear" w:color="auto" w:fill="FFFFFF"/>
        </w:rPr>
        <w:t>Majid S, Salih M, Wasaya R, Jafri W. Predictors of gastrointestinal lesions on endoscopy in iron deficiency anemia without gastrointestinal symptoms. BMC gastroenterology. 2008 Dec 1</w:t>
      </w:r>
      <w:proofErr w:type="gramStart"/>
      <w:r w:rsidRPr="00BB1154">
        <w:rPr>
          <w:sz w:val="18"/>
          <w:szCs w:val="18"/>
          <w:shd w:val="clear" w:color="auto" w:fill="FFFFFF"/>
        </w:rPr>
        <w:t>;8</w:t>
      </w:r>
      <w:proofErr w:type="gramEnd"/>
      <w:r w:rsidRPr="00BB1154">
        <w:rPr>
          <w:sz w:val="18"/>
          <w:szCs w:val="18"/>
          <w:shd w:val="clear" w:color="auto" w:fill="FFFFFF"/>
        </w:rPr>
        <w:t>(1):52.</w:t>
      </w:r>
    </w:p>
    <w:p w14:paraId="14B42077" w14:textId="77777777" w:rsidR="005D49F0" w:rsidRPr="00BB1154" w:rsidRDefault="005D49F0" w:rsidP="00BB1154">
      <w:pPr>
        <w:numPr>
          <w:ilvl w:val="0"/>
          <w:numId w:val="6"/>
        </w:numPr>
        <w:spacing w:line="360" w:lineRule="auto"/>
        <w:ind w:right="196"/>
        <w:jc w:val="both"/>
        <w:rPr>
          <w:rFonts w:ascii="Times New Roman" w:hAnsi="Times New Roman" w:cs="Times New Roman"/>
          <w:sz w:val="18"/>
          <w:szCs w:val="18"/>
        </w:rPr>
      </w:pPr>
      <w:r w:rsidRPr="00BB1154">
        <w:rPr>
          <w:rFonts w:ascii="Times New Roman" w:hAnsi="Times New Roman" w:cs="Times New Roman"/>
          <w:sz w:val="18"/>
          <w:szCs w:val="18"/>
        </w:rPr>
        <w:t xml:space="preserve">Dickey W, McMillan SA, McCrum EE, Evans AE. Association between serum levels of total IgA and IgA class </w:t>
      </w:r>
      <w:proofErr w:type="spellStart"/>
      <w:r w:rsidRPr="00BB1154">
        <w:rPr>
          <w:rFonts w:ascii="Times New Roman" w:hAnsi="Times New Roman" w:cs="Times New Roman"/>
          <w:sz w:val="18"/>
          <w:szCs w:val="18"/>
        </w:rPr>
        <w:t>endomysial</w:t>
      </w:r>
      <w:proofErr w:type="spellEnd"/>
      <w:r w:rsidRPr="00BB1154">
        <w:rPr>
          <w:rFonts w:ascii="Times New Roman" w:hAnsi="Times New Roman" w:cs="Times New Roman"/>
          <w:sz w:val="18"/>
          <w:szCs w:val="18"/>
        </w:rPr>
        <w:t xml:space="preserve"> and </w:t>
      </w:r>
      <w:proofErr w:type="spellStart"/>
      <w:r w:rsidRPr="00BB1154">
        <w:rPr>
          <w:rFonts w:ascii="Times New Roman" w:hAnsi="Times New Roman" w:cs="Times New Roman"/>
          <w:sz w:val="18"/>
          <w:szCs w:val="18"/>
        </w:rPr>
        <w:t>antigliadin</w:t>
      </w:r>
      <w:proofErr w:type="spellEnd"/>
      <w:r w:rsidRPr="00BB1154">
        <w:rPr>
          <w:rFonts w:ascii="Times New Roman" w:hAnsi="Times New Roman" w:cs="Times New Roman"/>
          <w:sz w:val="18"/>
          <w:szCs w:val="18"/>
        </w:rPr>
        <w:t xml:space="preserve"> antibodies: implications for coeliac disease screening. European journal of gastroenterology &amp; hepatology. 1997 Jun</w:t>
      </w:r>
      <w:proofErr w:type="gramStart"/>
      <w:r w:rsidRPr="00BB1154">
        <w:rPr>
          <w:rFonts w:ascii="Times New Roman" w:hAnsi="Times New Roman" w:cs="Times New Roman"/>
          <w:sz w:val="18"/>
          <w:szCs w:val="18"/>
        </w:rPr>
        <w:t>;9</w:t>
      </w:r>
      <w:proofErr w:type="gramEnd"/>
      <w:r w:rsidRPr="00BB1154">
        <w:rPr>
          <w:rFonts w:ascii="Times New Roman" w:hAnsi="Times New Roman" w:cs="Times New Roman"/>
          <w:sz w:val="18"/>
          <w:szCs w:val="18"/>
        </w:rPr>
        <w:t xml:space="preserve">(6):559-62. </w:t>
      </w:r>
    </w:p>
    <w:p w14:paraId="54357E02" w14:textId="77777777" w:rsidR="005D49F0" w:rsidRPr="00BB1154" w:rsidRDefault="005D49F0" w:rsidP="00BB1154">
      <w:pPr>
        <w:pStyle w:val="ListParagraph"/>
        <w:numPr>
          <w:ilvl w:val="0"/>
          <w:numId w:val="6"/>
        </w:numPr>
        <w:autoSpaceDE w:val="0"/>
        <w:autoSpaceDN w:val="0"/>
        <w:adjustRightInd w:val="0"/>
        <w:spacing w:line="360" w:lineRule="auto"/>
        <w:jc w:val="both"/>
        <w:rPr>
          <w:sz w:val="18"/>
          <w:szCs w:val="18"/>
        </w:rPr>
      </w:pPr>
      <w:proofErr w:type="spellStart"/>
      <w:r w:rsidRPr="00BB1154">
        <w:rPr>
          <w:sz w:val="18"/>
          <w:szCs w:val="18"/>
          <w:shd w:val="clear" w:color="auto" w:fill="FFFFFF"/>
        </w:rPr>
        <w:t>Kepczyk</w:t>
      </w:r>
      <w:proofErr w:type="spellEnd"/>
      <w:r w:rsidRPr="00BB1154">
        <w:rPr>
          <w:sz w:val="18"/>
          <w:szCs w:val="18"/>
          <w:shd w:val="clear" w:color="auto" w:fill="FFFFFF"/>
        </w:rPr>
        <w:t xml:space="preserve"> MT, </w:t>
      </w:r>
      <w:proofErr w:type="spellStart"/>
      <w:r w:rsidRPr="00BB1154">
        <w:rPr>
          <w:sz w:val="18"/>
          <w:szCs w:val="18"/>
          <w:shd w:val="clear" w:color="auto" w:fill="FFFFFF"/>
        </w:rPr>
        <w:t>Kadakia</w:t>
      </w:r>
      <w:proofErr w:type="spellEnd"/>
      <w:r w:rsidRPr="00BB1154">
        <w:rPr>
          <w:sz w:val="18"/>
          <w:szCs w:val="18"/>
          <w:shd w:val="clear" w:color="auto" w:fill="FFFFFF"/>
        </w:rPr>
        <w:t xml:space="preserve"> CS. Prospective evaluation of gastrointestinal tract in patients with iron-deficiency anemia. Digestive diseases and sciences. 1995 Jun 1</w:t>
      </w:r>
      <w:proofErr w:type="gramStart"/>
      <w:r w:rsidRPr="00BB1154">
        <w:rPr>
          <w:sz w:val="18"/>
          <w:szCs w:val="18"/>
          <w:shd w:val="clear" w:color="auto" w:fill="FFFFFF"/>
        </w:rPr>
        <w:t>;40</w:t>
      </w:r>
      <w:proofErr w:type="gramEnd"/>
      <w:r w:rsidRPr="00BB1154">
        <w:rPr>
          <w:sz w:val="18"/>
          <w:szCs w:val="18"/>
          <w:shd w:val="clear" w:color="auto" w:fill="FFFFFF"/>
        </w:rPr>
        <w:t>(6):1283-9.</w:t>
      </w:r>
    </w:p>
    <w:p w14:paraId="232FF901" w14:textId="77777777" w:rsidR="005D49F0" w:rsidRPr="00BB1154" w:rsidRDefault="005D49F0" w:rsidP="00BB1154">
      <w:pPr>
        <w:pStyle w:val="ListParagraph"/>
        <w:numPr>
          <w:ilvl w:val="0"/>
          <w:numId w:val="6"/>
        </w:numPr>
        <w:autoSpaceDE w:val="0"/>
        <w:autoSpaceDN w:val="0"/>
        <w:adjustRightInd w:val="0"/>
        <w:spacing w:line="360" w:lineRule="auto"/>
        <w:jc w:val="both"/>
        <w:rPr>
          <w:sz w:val="18"/>
          <w:szCs w:val="18"/>
        </w:rPr>
      </w:pPr>
      <w:r w:rsidRPr="00BB1154">
        <w:rPr>
          <w:sz w:val="18"/>
          <w:szCs w:val="18"/>
        </w:rPr>
        <w:t xml:space="preserve">Zukerman G, Benitez J: </w:t>
      </w:r>
      <w:r w:rsidRPr="00BB1154">
        <w:rPr>
          <w:bCs/>
          <w:sz w:val="18"/>
          <w:szCs w:val="18"/>
        </w:rPr>
        <w:t xml:space="preserve">A prospective study of bidirectional endoscopy (colonoscopy and upper endoscopy) in the evaluation of patients with occult gastrointestinal bleeding. </w:t>
      </w:r>
      <w:r w:rsidRPr="00BB1154">
        <w:rPr>
          <w:i/>
          <w:iCs/>
          <w:sz w:val="18"/>
          <w:szCs w:val="18"/>
        </w:rPr>
        <w:t xml:space="preserve">Am J Gastroenterol </w:t>
      </w:r>
      <w:r w:rsidRPr="00BB1154">
        <w:rPr>
          <w:sz w:val="18"/>
          <w:szCs w:val="18"/>
        </w:rPr>
        <w:t xml:space="preserve">1994, </w:t>
      </w:r>
      <w:r w:rsidRPr="00BB1154">
        <w:rPr>
          <w:bCs/>
          <w:sz w:val="18"/>
          <w:szCs w:val="18"/>
        </w:rPr>
        <w:t>87:</w:t>
      </w:r>
      <w:r w:rsidRPr="00BB1154">
        <w:rPr>
          <w:sz w:val="18"/>
          <w:szCs w:val="18"/>
        </w:rPr>
        <w:t>62-</w:t>
      </w:r>
      <w:proofErr w:type="gramStart"/>
      <w:r w:rsidRPr="00BB1154">
        <w:rPr>
          <w:sz w:val="18"/>
          <w:szCs w:val="18"/>
        </w:rPr>
        <w:t>66.</w:t>
      </w:r>
      <w:proofErr w:type="gramEnd"/>
    </w:p>
    <w:p w14:paraId="39DF812A" w14:textId="77777777" w:rsidR="00977BC4" w:rsidRPr="00BB1154" w:rsidRDefault="00977BC4" w:rsidP="00BB1154">
      <w:pPr>
        <w:pStyle w:val="NormalWeb"/>
        <w:shd w:val="clear" w:color="auto" w:fill="FFFFFF"/>
        <w:spacing w:before="0" w:beforeAutospacing="0" w:after="0" w:afterAutospacing="0" w:line="360" w:lineRule="auto"/>
        <w:jc w:val="both"/>
        <w:rPr>
          <w:sz w:val="20"/>
          <w:szCs w:val="20"/>
        </w:rPr>
      </w:pPr>
    </w:p>
    <w:p w14:paraId="2CEC0066" w14:textId="060D2E17" w:rsidR="00483F42" w:rsidRPr="00483F42" w:rsidRDefault="00483F42" w:rsidP="00483F42">
      <w:pPr>
        <w:spacing w:line="360" w:lineRule="auto"/>
        <w:ind w:left="340"/>
        <w:jc w:val="both"/>
        <w:rPr>
          <w:rFonts w:ascii="Cambria" w:eastAsia="Calibri" w:hAnsi="Cambria" w:cs="Times New Roman"/>
          <w:sz w:val="18"/>
          <w:szCs w:val="18"/>
        </w:rPr>
      </w:pPr>
      <w:r w:rsidRPr="00483F42">
        <w:rPr>
          <w:rFonts w:ascii="Cambria" w:eastAsia="Calibri" w:hAnsi="Cambria" w:cs="Times New Roman"/>
          <w:sz w:val="18"/>
          <w:szCs w:val="18"/>
        </w:rPr>
        <w:t xml:space="preserve">Author Declaration:  Source of support: Nil, Conflict of interest: Nil </w:t>
      </w:r>
    </w:p>
    <w:p w14:paraId="74D8109C" w14:textId="77777777" w:rsidR="00483F42" w:rsidRPr="00483F42" w:rsidRDefault="00483F42" w:rsidP="00483F42">
      <w:pPr>
        <w:spacing w:line="360" w:lineRule="auto"/>
        <w:ind w:left="340"/>
        <w:jc w:val="both"/>
        <w:rPr>
          <w:rFonts w:ascii="Cambria" w:eastAsia="Calibri" w:hAnsi="Cambria" w:cs="Times New Roman"/>
          <w:sz w:val="18"/>
          <w:szCs w:val="18"/>
        </w:rPr>
      </w:pPr>
      <w:r w:rsidRPr="00483F42">
        <w:rPr>
          <w:rFonts w:ascii="Cambria" w:eastAsia="Calibri" w:hAnsi="Cambria" w:cs="Times New Roman"/>
          <w:sz w:val="18"/>
          <w:szCs w:val="18"/>
        </w:rPr>
        <w:t xml:space="preserve"> Ethics Committee Approval obtained for this study? YES</w:t>
      </w:r>
    </w:p>
    <w:p w14:paraId="20021C6C" w14:textId="77777777" w:rsidR="00483F42" w:rsidRPr="00483F42" w:rsidRDefault="00483F42" w:rsidP="00483F42">
      <w:pPr>
        <w:spacing w:line="360" w:lineRule="auto"/>
        <w:ind w:left="340"/>
        <w:jc w:val="both"/>
        <w:rPr>
          <w:rFonts w:ascii="Cambria" w:eastAsia="Calibri" w:hAnsi="Cambria" w:cs="Times New Roman"/>
          <w:sz w:val="18"/>
          <w:szCs w:val="18"/>
        </w:rPr>
      </w:pPr>
      <w:r w:rsidRPr="00483F42">
        <w:rPr>
          <w:rFonts w:ascii="Cambria" w:eastAsia="Calibri" w:hAnsi="Cambria" w:cs="Times New Roman"/>
          <w:sz w:val="18"/>
          <w:szCs w:val="18"/>
        </w:rPr>
        <w:t xml:space="preserve"> Was informed consent obtained from the subjects involved in the study?  YES</w:t>
      </w:r>
    </w:p>
    <w:p w14:paraId="0C091682" w14:textId="77777777" w:rsidR="00483F42" w:rsidRPr="00483F42" w:rsidRDefault="00483F42" w:rsidP="00483F42">
      <w:pPr>
        <w:spacing w:line="360" w:lineRule="auto"/>
        <w:ind w:left="340"/>
        <w:jc w:val="both"/>
        <w:rPr>
          <w:rFonts w:ascii="Cambria" w:eastAsia="Calibri" w:hAnsi="Cambria" w:cs="Times New Roman"/>
          <w:sz w:val="18"/>
          <w:szCs w:val="18"/>
        </w:rPr>
      </w:pPr>
      <w:r w:rsidRPr="00483F42">
        <w:rPr>
          <w:rFonts w:ascii="Cambria" w:eastAsia="Calibri" w:hAnsi="Cambria" w:cs="Times New Roman"/>
          <w:sz w:val="18"/>
          <w:szCs w:val="18"/>
        </w:rPr>
        <w:t xml:space="preserve"> Plagiarism Checked: </w:t>
      </w:r>
      <w:proofErr w:type="spellStart"/>
      <w:r w:rsidRPr="00483F42">
        <w:rPr>
          <w:rFonts w:ascii="Cambria" w:eastAsia="Calibri" w:hAnsi="Cambria" w:cs="Times New Roman"/>
          <w:sz w:val="18"/>
          <w:szCs w:val="18"/>
        </w:rPr>
        <w:t>Urkund</w:t>
      </w:r>
      <w:proofErr w:type="spellEnd"/>
      <w:r w:rsidRPr="00483F42">
        <w:rPr>
          <w:rFonts w:ascii="Cambria" w:eastAsia="Calibri" w:hAnsi="Cambria" w:cs="Times New Roman"/>
          <w:sz w:val="18"/>
          <w:szCs w:val="18"/>
        </w:rPr>
        <w:t xml:space="preserve"> Software </w:t>
      </w:r>
    </w:p>
    <w:p w14:paraId="53B12057" w14:textId="77777777" w:rsidR="00483F42" w:rsidRPr="00483F42" w:rsidRDefault="00483F42" w:rsidP="00483F42">
      <w:pPr>
        <w:spacing w:line="360" w:lineRule="auto"/>
        <w:ind w:left="340"/>
        <w:jc w:val="both"/>
        <w:rPr>
          <w:rFonts w:ascii="Cambria" w:eastAsia="Calibri" w:hAnsi="Cambria" w:cs="Times New Roman"/>
          <w:sz w:val="18"/>
          <w:szCs w:val="18"/>
        </w:rPr>
      </w:pPr>
      <w:r w:rsidRPr="00483F42">
        <w:rPr>
          <w:rFonts w:ascii="Cambria" w:eastAsia="Calibri" w:hAnsi="Cambria" w:cs="Times New Roman"/>
          <w:sz w:val="18"/>
          <w:szCs w:val="18"/>
        </w:rPr>
        <w:t xml:space="preserve"> Author work published under a Creative Commons Attribution 4.0 International License</w:t>
      </w:r>
    </w:p>
    <w:p w14:paraId="4D327C67" w14:textId="283D3E20" w:rsidR="00483F42" w:rsidRPr="00483F42" w:rsidRDefault="00483F42" w:rsidP="00483F42">
      <w:pPr>
        <w:spacing w:line="360" w:lineRule="auto"/>
        <w:ind w:left="340"/>
        <w:jc w:val="both"/>
        <w:rPr>
          <w:rFonts w:ascii="Cambria" w:eastAsia="Calibri" w:hAnsi="Cambria" w:cs="Times New Roman"/>
          <w:sz w:val="18"/>
          <w:szCs w:val="18"/>
        </w:rPr>
      </w:pPr>
      <w:bookmarkStart w:id="2" w:name="_GoBack"/>
      <w:bookmarkEnd w:id="2"/>
      <w:r w:rsidRPr="00483F42">
        <w:rPr>
          <w:rFonts w:ascii="Cambria" w:hAnsi="Cambria"/>
          <w:noProof/>
          <w:lang w:eastAsia="en-IN"/>
        </w:rPr>
        <w:drawing>
          <wp:anchor distT="0" distB="0" distL="114300" distR="114300" simplePos="0" relativeHeight="251659264" behindDoc="0" locked="0" layoutInCell="1" allowOverlap="1" wp14:anchorId="412495D5" wp14:editId="30E3A4FD">
            <wp:simplePos x="0" y="0"/>
            <wp:positionH relativeFrom="column">
              <wp:posOffset>243840</wp:posOffset>
            </wp:positionH>
            <wp:positionV relativeFrom="paragraph">
              <wp:posOffset>64770</wp:posOffset>
            </wp:positionV>
            <wp:extent cx="594360" cy="443865"/>
            <wp:effectExtent l="0" t="0" r="0" b="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443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DB4A3F" w14:textId="77777777" w:rsidR="00483F42" w:rsidRPr="00483F42" w:rsidRDefault="00483F42" w:rsidP="00483F42">
      <w:pPr>
        <w:spacing w:line="360" w:lineRule="auto"/>
        <w:ind w:left="340"/>
        <w:jc w:val="both"/>
        <w:rPr>
          <w:rFonts w:ascii="Cambria" w:eastAsia="Calibri" w:hAnsi="Cambria" w:cs="Times New Roman"/>
          <w:sz w:val="18"/>
          <w:szCs w:val="18"/>
        </w:rPr>
      </w:pPr>
    </w:p>
    <w:p w14:paraId="0BBC09AA" w14:textId="77777777" w:rsidR="00483F42" w:rsidRPr="00483F42" w:rsidRDefault="00483F42" w:rsidP="00483F42">
      <w:pPr>
        <w:spacing w:line="360" w:lineRule="auto"/>
        <w:ind w:left="340"/>
        <w:jc w:val="both"/>
        <w:rPr>
          <w:rFonts w:ascii="Cambria" w:eastAsia="Calibri" w:hAnsi="Cambria" w:cs="Times New Roman"/>
          <w:sz w:val="18"/>
          <w:szCs w:val="18"/>
        </w:rPr>
      </w:pPr>
    </w:p>
    <w:p w14:paraId="1037D837" w14:textId="1FE6C284" w:rsidR="00445CB1" w:rsidRPr="00BB1154" w:rsidRDefault="00483F42" w:rsidP="00483F42">
      <w:pPr>
        <w:spacing w:line="360" w:lineRule="auto"/>
        <w:ind w:left="340"/>
        <w:jc w:val="both"/>
        <w:rPr>
          <w:rFonts w:ascii="Times New Roman" w:hAnsi="Times New Roman" w:cs="Times New Roman"/>
          <w:sz w:val="20"/>
          <w:szCs w:val="20"/>
        </w:rPr>
      </w:pPr>
      <w:r w:rsidRPr="00483F42">
        <w:rPr>
          <w:rFonts w:ascii="Cambria" w:eastAsia="Calibri" w:hAnsi="Cambria" w:cs="Times New Roman"/>
          <w:sz w:val="18"/>
          <w:szCs w:val="18"/>
        </w:rPr>
        <w:t xml:space="preserve"> DOI: </w:t>
      </w:r>
      <w:r>
        <w:rPr>
          <w:rFonts w:ascii="Cambria" w:eastAsia="Calibri" w:hAnsi="Cambria" w:cs="Times New Roman"/>
          <w:sz w:val="18"/>
          <w:szCs w:val="18"/>
        </w:rPr>
        <w:t>10.36848/IJBAMR/2020/16215.55805</w:t>
      </w:r>
    </w:p>
    <w:p w14:paraId="4E00905A" w14:textId="77777777" w:rsidR="00A839FA" w:rsidRPr="00BB1154" w:rsidRDefault="00A839FA">
      <w:pPr>
        <w:spacing w:line="360" w:lineRule="auto"/>
        <w:ind w:left="340"/>
        <w:jc w:val="both"/>
        <w:rPr>
          <w:rFonts w:ascii="Times New Roman" w:hAnsi="Times New Roman" w:cs="Times New Roman"/>
          <w:sz w:val="20"/>
          <w:szCs w:val="20"/>
        </w:rPr>
      </w:pPr>
    </w:p>
    <w:sectPr w:rsidR="00A839FA" w:rsidRPr="00BB1154" w:rsidSect="00483F42">
      <w:headerReference w:type="default" r:id="rId9"/>
      <w:footerReference w:type="default" r:id="rId10"/>
      <w:pgSz w:w="12240" w:h="15840"/>
      <w:pgMar w:top="1440" w:right="1440" w:bottom="1440" w:left="1440" w:header="720" w:footer="720" w:gutter="0"/>
      <w:pgNumType w:start="35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7855F" w14:textId="77777777" w:rsidR="00FF15F1" w:rsidRDefault="00FF15F1" w:rsidP="000F6E69">
      <w:r>
        <w:separator/>
      </w:r>
    </w:p>
  </w:endnote>
  <w:endnote w:type="continuationSeparator" w:id="0">
    <w:p w14:paraId="6D94ADED" w14:textId="77777777" w:rsidR="00FF15F1" w:rsidRDefault="00FF15F1" w:rsidP="000F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703"/>
      <w:gridCol w:w="2873"/>
    </w:tblGrid>
    <w:tr w:rsidR="00483F42" w14:paraId="21D69CEA" w14:textId="77777777">
      <w:trPr>
        <w:trHeight w:val="360"/>
      </w:trPr>
      <w:tc>
        <w:tcPr>
          <w:tcW w:w="3500" w:type="pct"/>
        </w:tcPr>
        <w:p w14:paraId="2E7FB8A6" w14:textId="414E8A8F" w:rsidR="00483F42" w:rsidRDefault="00483F42">
          <w:pPr>
            <w:pStyle w:val="Footer"/>
            <w:jc w:val="right"/>
          </w:pPr>
          <w:r w:rsidRPr="00C410D6">
            <w:rPr>
              <w:rFonts w:ascii="Cambria" w:hAnsi="Cambria"/>
              <w:sz w:val="20"/>
              <w:szCs w:val="20"/>
            </w:rPr>
            <w:t>www.ijbamr.com   P ISSN: 2250-284X, E ISSN: 2250-2858</w:t>
          </w:r>
        </w:p>
      </w:tc>
      <w:tc>
        <w:tcPr>
          <w:tcW w:w="1500" w:type="pct"/>
          <w:shd w:val="clear" w:color="auto" w:fill="FFC000" w:themeFill="accent4"/>
        </w:tcPr>
        <w:p w14:paraId="74DB72F8" w14:textId="77777777" w:rsidR="00483F42" w:rsidRDefault="00483F42">
          <w:pPr>
            <w:pStyle w:val="Footer"/>
            <w:jc w:val="right"/>
            <w:rPr>
              <w:color w:val="FFFFFF" w:themeColor="background1"/>
            </w:rPr>
          </w:pPr>
          <w:r>
            <w:fldChar w:fldCharType="begin"/>
          </w:r>
          <w:r>
            <w:instrText xml:space="preserve"> PAGE    \* MERGEFORMAT </w:instrText>
          </w:r>
          <w:r>
            <w:fldChar w:fldCharType="separate"/>
          </w:r>
          <w:r w:rsidR="00A839FA" w:rsidRPr="00A839FA">
            <w:rPr>
              <w:noProof/>
              <w:color w:val="FFFFFF" w:themeColor="background1"/>
            </w:rPr>
            <w:t>359</w:t>
          </w:r>
          <w:r>
            <w:rPr>
              <w:noProof/>
              <w:color w:val="FFFFFF" w:themeColor="background1"/>
            </w:rPr>
            <w:fldChar w:fldCharType="end"/>
          </w:r>
        </w:p>
      </w:tc>
    </w:tr>
  </w:tbl>
  <w:p w14:paraId="360BA833" w14:textId="77777777" w:rsidR="00483F42" w:rsidRDefault="0048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B0E0C" w14:textId="77777777" w:rsidR="00FF15F1" w:rsidRDefault="00FF15F1" w:rsidP="000F6E69">
      <w:r>
        <w:separator/>
      </w:r>
    </w:p>
  </w:footnote>
  <w:footnote w:type="continuationSeparator" w:id="0">
    <w:p w14:paraId="3E94522E" w14:textId="77777777" w:rsidR="00FF15F1" w:rsidRDefault="00FF15F1" w:rsidP="000F6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7C8B5" w14:textId="77777777" w:rsidR="00483F42" w:rsidRDefault="00483F42" w:rsidP="00483F42">
    <w:pPr>
      <w:tabs>
        <w:tab w:val="center" w:pos="4680"/>
        <w:tab w:val="right" w:pos="9360"/>
      </w:tabs>
      <w:ind w:right="-288"/>
      <w:rPr>
        <w:rFonts w:asciiTheme="majorHAnsi" w:hAnsiTheme="majorHAnsi" w:cs="Times New Roman"/>
        <w:sz w:val="20"/>
      </w:rPr>
    </w:pPr>
  </w:p>
  <w:p w14:paraId="140BC5A3" w14:textId="7C5090ED" w:rsidR="00483F42" w:rsidRPr="00C80D27" w:rsidRDefault="00483F42" w:rsidP="00483F42">
    <w:pPr>
      <w:tabs>
        <w:tab w:val="center" w:pos="4513"/>
        <w:tab w:val="right" w:pos="9026"/>
      </w:tabs>
      <w:rPr>
        <w:rFonts w:ascii="Times New Roman" w:eastAsia="Calibri" w:hAnsi="Times New Roman" w:cs="Times New Roman"/>
        <w:sz w:val="20"/>
        <w:szCs w:val="20"/>
      </w:rPr>
    </w:pPr>
    <w:r w:rsidRPr="00C80D27">
      <w:rPr>
        <w:rFonts w:ascii="Times New Roman" w:eastAsia="Calibri" w:hAnsi="Times New Roman" w:cs="Times New Roman"/>
        <w:sz w:val="20"/>
        <w:szCs w:val="20"/>
      </w:rPr>
      <w:t>Indian Journal of Basic and Applied Medical Research; December 2020: Vol.-10, Issue- 1, P.</w:t>
    </w:r>
    <w:r>
      <w:rPr>
        <w:rFonts w:ascii="Times New Roman" w:eastAsia="Calibri" w:hAnsi="Times New Roman" w:cs="Times New Roman"/>
        <w:sz w:val="20"/>
        <w:szCs w:val="20"/>
      </w:rPr>
      <w:t>353 - 359</w:t>
    </w:r>
  </w:p>
  <w:p w14:paraId="22A9B7B0" w14:textId="6D5DBD85" w:rsidR="00483F42" w:rsidRPr="00C80D27" w:rsidRDefault="00483F42" w:rsidP="00483F42">
    <w:pPr>
      <w:tabs>
        <w:tab w:val="center" w:pos="4513"/>
        <w:tab w:val="right" w:pos="9026"/>
      </w:tabs>
      <w:rPr>
        <w:rFonts w:ascii="Times New Roman" w:eastAsia="Calibri" w:hAnsi="Times New Roman" w:cs="Times New Roman"/>
        <w:sz w:val="20"/>
        <w:szCs w:val="20"/>
      </w:rPr>
    </w:pPr>
    <w:r w:rsidRPr="00C80D27">
      <w:rPr>
        <w:rFonts w:ascii="Times New Roman" w:eastAsia="Calibri" w:hAnsi="Times New Roman" w:cs="Times New Roman"/>
        <w:sz w:val="20"/>
        <w:szCs w:val="20"/>
      </w:rPr>
      <w:t xml:space="preserve">DOI: </w:t>
    </w:r>
    <w:r>
      <w:rPr>
        <w:rFonts w:ascii="Times New Roman" w:eastAsia="Calibri" w:hAnsi="Times New Roman" w:cs="Times New Roman"/>
        <w:sz w:val="20"/>
        <w:szCs w:val="20"/>
      </w:rPr>
      <w:t>10.36848/IJBAMR/2020/16215.55805</w:t>
    </w:r>
  </w:p>
  <w:p w14:paraId="465BF4B8" w14:textId="77777777" w:rsidR="00483F42" w:rsidRDefault="00483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FE1"/>
    <w:multiLevelType w:val="hybridMultilevel"/>
    <w:tmpl w:val="3A2C39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C7B7605"/>
    <w:multiLevelType w:val="hybridMultilevel"/>
    <w:tmpl w:val="FB407D2A"/>
    <w:lvl w:ilvl="0" w:tplc="E3D87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2250F2"/>
    <w:multiLevelType w:val="hybridMultilevel"/>
    <w:tmpl w:val="89423DC6"/>
    <w:lvl w:ilvl="0" w:tplc="AA5AC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11B8A"/>
    <w:multiLevelType w:val="hybridMultilevel"/>
    <w:tmpl w:val="8A0A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C71E1"/>
    <w:multiLevelType w:val="hybridMultilevel"/>
    <w:tmpl w:val="3B54984A"/>
    <w:lvl w:ilvl="0" w:tplc="E984004A">
      <w:start w:val="6"/>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6B846889"/>
    <w:multiLevelType w:val="hybridMultilevel"/>
    <w:tmpl w:val="494C5DB8"/>
    <w:lvl w:ilvl="0" w:tplc="F5821DF2">
      <w:start w:val="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912DD6"/>
    <w:multiLevelType w:val="hybridMultilevel"/>
    <w:tmpl w:val="64B2787A"/>
    <w:lvl w:ilvl="0" w:tplc="4F08682A">
      <w:start w:val="1"/>
      <w:numFmt w:val="low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BF3BEC"/>
    <w:multiLevelType w:val="hybridMultilevel"/>
    <w:tmpl w:val="5AA4A7AA"/>
    <w:lvl w:ilvl="0" w:tplc="8E76A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69"/>
    <w:rsid w:val="000F6E69"/>
    <w:rsid w:val="001D527F"/>
    <w:rsid w:val="00223ED4"/>
    <w:rsid w:val="003037FB"/>
    <w:rsid w:val="003F02FD"/>
    <w:rsid w:val="003F350D"/>
    <w:rsid w:val="00445CB1"/>
    <w:rsid w:val="004513E2"/>
    <w:rsid w:val="00460621"/>
    <w:rsid w:val="00461F62"/>
    <w:rsid w:val="00463F0A"/>
    <w:rsid w:val="00483F42"/>
    <w:rsid w:val="005002CC"/>
    <w:rsid w:val="00546B3D"/>
    <w:rsid w:val="005D49F0"/>
    <w:rsid w:val="00621829"/>
    <w:rsid w:val="006D5498"/>
    <w:rsid w:val="00732404"/>
    <w:rsid w:val="00734879"/>
    <w:rsid w:val="00781B8C"/>
    <w:rsid w:val="007F6E9E"/>
    <w:rsid w:val="0089771F"/>
    <w:rsid w:val="00970110"/>
    <w:rsid w:val="00977BC4"/>
    <w:rsid w:val="00A27521"/>
    <w:rsid w:val="00A27D4D"/>
    <w:rsid w:val="00A81679"/>
    <w:rsid w:val="00A839FA"/>
    <w:rsid w:val="00B54F7D"/>
    <w:rsid w:val="00B60EAB"/>
    <w:rsid w:val="00B77749"/>
    <w:rsid w:val="00B812BA"/>
    <w:rsid w:val="00BB1154"/>
    <w:rsid w:val="00C63451"/>
    <w:rsid w:val="00E83D20"/>
    <w:rsid w:val="00EA4415"/>
    <w:rsid w:val="00F4312E"/>
    <w:rsid w:val="00F56207"/>
    <w:rsid w:val="00F960B6"/>
    <w:rsid w:val="00FD4D26"/>
    <w:rsid w:val="00FF15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E69"/>
    <w:pPr>
      <w:tabs>
        <w:tab w:val="center" w:pos="4513"/>
        <w:tab w:val="right" w:pos="9026"/>
      </w:tabs>
    </w:pPr>
  </w:style>
  <w:style w:type="character" w:customStyle="1" w:styleId="HeaderChar">
    <w:name w:val="Header Char"/>
    <w:basedOn w:val="DefaultParagraphFont"/>
    <w:link w:val="Header"/>
    <w:uiPriority w:val="99"/>
    <w:rsid w:val="000F6E69"/>
  </w:style>
  <w:style w:type="paragraph" w:styleId="Footer">
    <w:name w:val="footer"/>
    <w:basedOn w:val="Normal"/>
    <w:link w:val="FooterChar"/>
    <w:uiPriority w:val="99"/>
    <w:unhideWhenUsed/>
    <w:rsid w:val="000F6E69"/>
    <w:pPr>
      <w:tabs>
        <w:tab w:val="center" w:pos="4513"/>
        <w:tab w:val="right" w:pos="9026"/>
      </w:tabs>
    </w:pPr>
  </w:style>
  <w:style w:type="character" w:customStyle="1" w:styleId="FooterChar">
    <w:name w:val="Footer Char"/>
    <w:basedOn w:val="DefaultParagraphFont"/>
    <w:link w:val="Footer"/>
    <w:uiPriority w:val="99"/>
    <w:rsid w:val="000F6E69"/>
  </w:style>
  <w:style w:type="paragraph" w:styleId="NormalWeb">
    <w:name w:val="Normal (Web)"/>
    <w:basedOn w:val="Normal"/>
    <w:uiPriority w:val="99"/>
    <w:unhideWhenUsed/>
    <w:rsid w:val="000F6E69"/>
    <w:pPr>
      <w:spacing w:before="100" w:beforeAutospacing="1" w:after="100" w:afterAutospacing="1"/>
    </w:pPr>
    <w:rPr>
      <w:rFonts w:ascii="Times New Roman" w:eastAsia="Times New Roman" w:hAnsi="Times New Roman" w:cs="Times New Roman"/>
      <w:lang w:eastAsia="en-GB"/>
    </w:rPr>
  </w:style>
  <w:style w:type="paragraph" w:customStyle="1" w:styleId="Paratext">
    <w:name w:val="Para text"/>
    <w:basedOn w:val="BodyTextFirstIndent"/>
    <w:qFormat/>
    <w:rsid w:val="000F6E69"/>
    <w:pPr>
      <w:spacing w:before="240" w:after="240" w:line="360" w:lineRule="auto"/>
      <w:ind w:firstLine="851"/>
      <w:jc w:val="both"/>
    </w:pPr>
    <w:rPr>
      <w:rFonts w:ascii="Times New Roman" w:hAnsi="Times New Roman" w:cs="Times New Roman"/>
    </w:rPr>
  </w:style>
  <w:style w:type="paragraph" w:styleId="BodyText">
    <w:name w:val="Body Text"/>
    <w:basedOn w:val="Normal"/>
    <w:link w:val="BodyTextChar"/>
    <w:uiPriority w:val="99"/>
    <w:semiHidden/>
    <w:unhideWhenUsed/>
    <w:rsid w:val="000F6E69"/>
    <w:pPr>
      <w:spacing w:after="120"/>
    </w:pPr>
  </w:style>
  <w:style w:type="character" w:customStyle="1" w:styleId="BodyTextChar">
    <w:name w:val="Body Text Char"/>
    <w:basedOn w:val="DefaultParagraphFont"/>
    <w:link w:val="BodyText"/>
    <w:uiPriority w:val="99"/>
    <w:semiHidden/>
    <w:rsid w:val="000F6E69"/>
  </w:style>
  <w:style w:type="paragraph" w:styleId="BodyTextFirstIndent">
    <w:name w:val="Body Text First Indent"/>
    <w:basedOn w:val="BodyText"/>
    <w:link w:val="BodyTextFirstIndentChar"/>
    <w:uiPriority w:val="99"/>
    <w:semiHidden/>
    <w:unhideWhenUsed/>
    <w:rsid w:val="000F6E69"/>
    <w:pPr>
      <w:spacing w:after="0"/>
      <w:ind w:firstLine="360"/>
    </w:pPr>
  </w:style>
  <w:style w:type="character" w:customStyle="1" w:styleId="BodyTextFirstIndentChar">
    <w:name w:val="Body Text First Indent Char"/>
    <w:basedOn w:val="BodyTextChar"/>
    <w:link w:val="BodyTextFirstIndent"/>
    <w:uiPriority w:val="99"/>
    <w:semiHidden/>
    <w:rsid w:val="000F6E69"/>
  </w:style>
  <w:style w:type="table" w:styleId="TableGrid">
    <w:name w:val="Table Grid"/>
    <w:basedOn w:val="TableNormal"/>
    <w:uiPriority w:val="59"/>
    <w:rsid w:val="00546B3D"/>
    <w:rPr>
      <w:rFonts w:eastAsiaTheme="minorEastAsia"/>
      <w:sz w:val="22"/>
      <w:szCs w:val="22"/>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1829"/>
    <w:pPr>
      <w:ind w:left="720"/>
      <w:contextualSpacing/>
    </w:pPr>
    <w:rPr>
      <w:rFonts w:ascii="Times New Roman" w:eastAsia="Times New Roman" w:hAnsi="Times New Roman" w:cs="Times New Roman"/>
      <w:lang w:val="en-US"/>
    </w:rPr>
  </w:style>
  <w:style w:type="character" w:styleId="Hyperlink">
    <w:name w:val="Hyperlink"/>
    <w:basedOn w:val="DefaultParagraphFont"/>
    <w:uiPriority w:val="99"/>
    <w:unhideWhenUsed/>
    <w:rsid w:val="00445CB1"/>
    <w:rPr>
      <w:color w:val="0563C1" w:themeColor="hyperlink"/>
      <w:u w:val="single"/>
    </w:rPr>
  </w:style>
  <w:style w:type="character" w:customStyle="1" w:styleId="UnresolvedMention">
    <w:name w:val="Unresolved Mention"/>
    <w:basedOn w:val="DefaultParagraphFont"/>
    <w:uiPriority w:val="99"/>
    <w:semiHidden/>
    <w:unhideWhenUsed/>
    <w:rsid w:val="00445CB1"/>
    <w:rPr>
      <w:color w:val="605E5C"/>
      <w:shd w:val="clear" w:color="auto" w:fill="E1DFDD"/>
    </w:rPr>
  </w:style>
  <w:style w:type="table" w:styleId="LightList-Accent2">
    <w:name w:val="Light List Accent 2"/>
    <w:basedOn w:val="TableNormal"/>
    <w:uiPriority w:val="61"/>
    <w:rsid w:val="00483F42"/>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BalloonText">
    <w:name w:val="Balloon Text"/>
    <w:basedOn w:val="Normal"/>
    <w:link w:val="BalloonTextChar"/>
    <w:uiPriority w:val="99"/>
    <w:semiHidden/>
    <w:unhideWhenUsed/>
    <w:rsid w:val="00483F42"/>
    <w:rPr>
      <w:rFonts w:ascii="Tahoma" w:hAnsi="Tahoma" w:cs="Tahoma"/>
      <w:sz w:val="16"/>
      <w:szCs w:val="16"/>
    </w:rPr>
  </w:style>
  <w:style w:type="character" w:customStyle="1" w:styleId="BalloonTextChar">
    <w:name w:val="Balloon Text Char"/>
    <w:basedOn w:val="DefaultParagraphFont"/>
    <w:link w:val="BalloonText"/>
    <w:uiPriority w:val="99"/>
    <w:semiHidden/>
    <w:rsid w:val="00483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E69"/>
    <w:pPr>
      <w:tabs>
        <w:tab w:val="center" w:pos="4513"/>
        <w:tab w:val="right" w:pos="9026"/>
      </w:tabs>
    </w:pPr>
  </w:style>
  <w:style w:type="character" w:customStyle="1" w:styleId="HeaderChar">
    <w:name w:val="Header Char"/>
    <w:basedOn w:val="DefaultParagraphFont"/>
    <w:link w:val="Header"/>
    <w:uiPriority w:val="99"/>
    <w:rsid w:val="000F6E69"/>
  </w:style>
  <w:style w:type="paragraph" w:styleId="Footer">
    <w:name w:val="footer"/>
    <w:basedOn w:val="Normal"/>
    <w:link w:val="FooterChar"/>
    <w:uiPriority w:val="99"/>
    <w:unhideWhenUsed/>
    <w:rsid w:val="000F6E69"/>
    <w:pPr>
      <w:tabs>
        <w:tab w:val="center" w:pos="4513"/>
        <w:tab w:val="right" w:pos="9026"/>
      </w:tabs>
    </w:pPr>
  </w:style>
  <w:style w:type="character" w:customStyle="1" w:styleId="FooterChar">
    <w:name w:val="Footer Char"/>
    <w:basedOn w:val="DefaultParagraphFont"/>
    <w:link w:val="Footer"/>
    <w:uiPriority w:val="99"/>
    <w:rsid w:val="000F6E69"/>
  </w:style>
  <w:style w:type="paragraph" w:styleId="NormalWeb">
    <w:name w:val="Normal (Web)"/>
    <w:basedOn w:val="Normal"/>
    <w:uiPriority w:val="99"/>
    <w:unhideWhenUsed/>
    <w:rsid w:val="000F6E69"/>
    <w:pPr>
      <w:spacing w:before="100" w:beforeAutospacing="1" w:after="100" w:afterAutospacing="1"/>
    </w:pPr>
    <w:rPr>
      <w:rFonts w:ascii="Times New Roman" w:eastAsia="Times New Roman" w:hAnsi="Times New Roman" w:cs="Times New Roman"/>
      <w:lang w:eastAsia="en-GB"/>
    </w:rPr>
  </w:style>
  <w:style w:type="paragraph" w:customStyle="1" w:styleId="Paratext">
    <w:name w:val="Para text"/>
    <w:basedOn w:val="BodyTextFirstIndent"/>
    <w:qFormat/>
    <w:rsid w:val="000F6E69"/>
    <w:pPr>
      <w:spacing w:before="240" w:after="240" w:line="360" w:lineRule="auto"/>
      <w:ind w:firstLine="851"/>
      <w:jc w:val="both"/>
    </w:pPr>
    <w:rPr>
      <w:rFonts w:ascii="Times New Roman" w:hAnsi="Times New Roman" w:cs="Times New Roman"/>
    </w:rPr>
  </w:style>
  <w:style w:type="paragraph" w:styleId="BodyText">
    <w:name w:val="Body Text"/>
    <w:basedOn w:val="Normal"/>
    <w:link w:val="BodyTextChar"/>
    <w:uiPriority w:val="99"/>
    <w:semiHidden/>
    <w:unhideWhenUsed/>
    <w:rsid w:val="000F6E69"/>
    <w:pPr>
      <w:spacing w:after="120"/>
    </w:pPr>
  </w:style>
  <w:style w:type="character" w:customStyle="1" w:styleId="BodyTextChar">
    <w:name w:val="Body Text Char"/>
    <w:basedOn w:val="DefaultParagraphFont"/>
    <w:link w:val="BodyText"/>
    <w:uiPriority w:val="99"/>
    <w:semiHidden/>
    <w:rsid w:val="000F6E69"/>
  </w:style>
  <w:style w:type="paragraph" w:styleId="BodyTextFirstIndent">
    <w:name w:val="Body Text First Indent"/>
    <w:basedOn w:val="BodyText"/>
    <w:link w:val="BodyTextFirstIndentChar"/>
    <w:uiPriority w:val="99"/>
    <w:semiHidden/>
    <w:unhideWhenUsed/>
    <w:rsid w:val="000F6E69"/>
    <w:pPr>
      <w:spacing w:after="0"/>
      <w:ind w:firstLine="360"/>
    </w:pPr>
  </w:style>
  <w:style w:type="character" w:customStyle="1" w:styleId="BodyTextFirstIndentChar">
    <w:name w:val="Body Text First Indent Char"/>
    <w:basedOn w:val="BodyTextChar"/>
    <w:link w:val="BodyTextFirstIndent"/>
    <w:uiPriority w:val="99"/>
    <w:semiHidden/>
    <w:rsid w:val="000F6E69"/>
  </w:style>
  <w:style w:type="table" w:styleId="TableGrid">
    <w:name w:val="Table Grid"/>
    <w:basedOn w:val="TableNormal"/>
    <w:uiPriority w:val="59"/>
    <w:rsid w:val="00546B3D"/>
    <w:rPr>
      <w:rFonts w:eastAsiaTheme="minorEastAsia"/>
      <w:sz w:val="22"/>
      <w:szCs w:val="22"/>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1829"/>
    <w:pPr>
      <w:ind w:left="720"/>
      <w:contextualSpacing/>
    </w:pPr>
    <w:rPr>
      <w:rFonts w:ascii="Times New Roman" w:eastAsia="Times New Roman" w:hAnsi="Times New Roman" w:cs="Times New Roman"/>
      <w:lang w:val="en-US"/>
    </w:rPr>
  </w:style>
  <w:style w:type="character" w:styleId="Hyperlink">
    <w:name w:val="Hyperlink"/>
    <w:basedOn w:val="DefaultParagraphFont"/>
    <w:uiPriority w:val="99"/>
    <w:unhideWhenUsed/>
    <w:rsid w:val="00445CB1"/>
    <w:rPr>
      <w:color w:val="0563C1" w:themeColor="hyperlink"/>
      <w:u w:val="single"/>
    </w:rPr>
  </w:style>
  <w:style w:type="character" w:customStyle="1" w:styleId="UnresolvedMention">
    <w:name w:val="Unresolved Mention"/>
    <w:basedOn w:val="DefaultParagraphFont"/>
    <w:uiPriority w:val="99"/>
    <w:semiHidden/>
    <w:unhideWhenUsed/>
    <w:rsid w:val="00445CB1"/>
    <w:rPr>
      <w:color w:val="605E5C"/>
      <w:shd w:val="clear" w:color="auto" w:fill="E1DFDD"/>
    </w:rPr>
  </w:style>
  <w:style w:type="table" w:styleId="LightList-Accent2">
    <w:name w:val="Light List Accent 2"/>
    <w:basedOn w:val="TableNormal"/>
    <w:uiPriority w:val="61"/>
    <w:rsid w:val="00483F42"/>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BalloonText">
    <w:name w:val="Balloon Text"/>
    <w:basedOn w:val="Normal"/>
    <w:link w:val="BalloonTextChar"/>
    <w:uiPriority w:val="99"/>
    <w:semiHidden/>
    <w:unhideWhenUsed/>
    <w:rsid w:val="00483F42"/>
    <w:rPr>
      <w:rFonts w:ascii="Tahoma" w:hAnsi="Tahoma" w:cs="Tahoma"/>
      <w:sz w:val="16"/>
      <w:szCs w:val="16"/>
    </w:rPr>
  </w:style>
  <w:style w:type="character" w:customStyle="1" w:styleId="BalloonTextChar">
    <w:name w:val="Balloon Text Char"/>
    <w:basedOn w:val="DefaultParagraphFont"/>
    <w:link w:val="BalloonText"/>
    <w:uiPriority w:val="99"/>
    <w:semiHidden/>
    <w:rsid w:val="00483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556">
      <w:bodyDiv w:val="1"/>
      <w:marLeft w:val="0"/>
      <w:marRight w:val="0"/>
      <w:marTop w:val="0"/>
      <w:marBottom w:val="0"/>
      <w:divBdr>
        <w:top w:val="none" w:sz="0" w:space="0" w:color="auto"/>
        <w:left w:val="none" w:sz="0" w:space="0" w:color="auto"/>
        <w:bottom w:val="none" w:sz="0" w:space="0" w:color="auto"/>
        <w:right w:val="none" w:sz="0" w:space="0" w:color="auto"/>
      </w:divBdr>
      <w:divsChild>
        <w:div w:id="929043127">
          <w:marLeft w:val="0"/>
          <w:marRight w:val="0"/>
          <w:marTop w:val="0"/>
          <w:marBottom w:val="0"/>
          <w:divBdr>
            <w:top w:val="none" w:sz="0" w:space="0" w:color="auto"/>
            <w:left w:val="none" w:sz="0" w:space="0" w:color="auto"/>
            <w:bottom w:val="none" w:sz="0" w:space="0" w:color="auto"/>
            <w:right w:val="none" w:sz="0" w:space="0" w:color="auto"/>
          </w:divBdr>
          <w:divsChild>
            <w:div w:id="1312128514">
              <w:marLeft w:val="0"/>
              <w:marRight w:val="0"/>
              <w:marTop w:val="0"/>
              <w:marBottom w:val="0"/>
              <w:divBdr>
                <w:top w:val="none" w:sz="0" w:space="0" w:color="auto"/>
                <w:left w:val="none" w:sz="0" w:space="0" w:color="auto"/>
                <w:bottom w:val="none" w:sz="0" w:space="0" w:color="auto"/>
                <w:right w:val="none" w:sz="0" w:space="0" w:color="auto"/>
              </w:divBdr>
              <w:divsChild>
                <w:div w:id="913204363">
                  <w:marLeft w:val="0"/>
                  <w:marRight w:val="0"/>
                  <w:marTop w:val="0"/>
                  <w:marBottom w:val="0"/>
                  <w:divBdr>
                    <w:top w:val="none" w:sz="0" w:space="0" w:color="auto"/>
                    <w:left w:val="none" w:sz="0" w:space="0" w:color="auto"/>
                    <w:bottom w:val="none" w:sz="0" w:space="0" w:color="auto"/>
                    <w:right w:val="none" w:sz="0" w:space="0" w:color="auto"/>
                  </w:divBdr>
                  <w:divsChild>
                    <w:div w:id="5712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5753">
      <w:bodyDiv w:val="1"/>
      <w:marLeft w:val="0"/>
      <w:marRight w:val="0"/>
      <w:marTop w:val="0"/>
      <w:marBottom w:val="0"/>
      <w:divBdr>
        <w:top w:val="none" w:sz="0" w:space="0" w:color="auto"/>
        <w:left w:val="none" w:sz="0" w:space="0" w:color="auto"/>
        <w:bottom w:val="none" w:sz="0" w:space="0" w:color="auto"/>
        <w:right w:val="none" w:sz="0" w:space="0" w:color="auto"/>
      </w:divBdr>
      <w:divsChild>
        <w:div w:id="1060322722">
          <w:marLeft w:val="0"/>
          <w:marRight w:val="0"/>
          <w:marTop w:val="0"/>
          <w:marBottom w:val="0"/>
          <w:divBdr>
            <w:top w:val="none" w:sz="0" w:space="0" w:color="auto"/>
            <w:left w:val="none" w:sz="0" w:space="0" w:color="auto"/>
            <w:bottom w:val="none" w:sz="0" w:space="0" w:color="auto"/>
            <w:right w:val="none" w:sz="0" w:space="0" w:color="auto"/>
          </w:divBdr>
          <w:divsChild>
            <w:div w:id="315384447">
              <w:marLeft w:val="0"/>
              <w:marRight w:val="0"/>
              <w:marTop w:val="0"/>
              <w:marBottom w:val="0"/>
              <w:divBdr>
                <w:top w:val="none" w:sz="0" w:space="0" w:color="auto"/>
                <w:left w:val="none" w:sz="0" w:space="0" w:color="auto"/>
                <w:bottom w:val="none" w:sz="0" w:space="0" w:color="auto"/>
                <w:right w:val="none" w:sz="0" w:space="0" w:color="auto"/>
              </w:divBdr>
              <w:divsChild>
                <w:div w:id="1850219519">
                  <w:marLeft w:val="0"/>
                  <w:marRight w:val="0"/>
                  <w:marTop w:val="0"/>
                  <w:marBottom w:val="0"/>
                  <w:divBdr>
                    <w:top w:val="none" w:sz="0" w:space="0" w:color="auto"/>
                    <w:left w:val="none" w:sz="0" w:space="0" w:color="auto"/>
                    <w:bottom w:val="none" w:sz="0" w:space="0" w:color="auto"/>
                    <w:right w:val="none" w:sz="0" w:space="0" w:color="auto"/>
                  </w:divBdr>
                  <w:divsChild>
                    <w:div w:id="398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8393">
      <w:bodyDiv w:val="1"/>
      <w:marLeft w:val="0"/>
      <w:marRight w:val="0"/>
      <w:marTop w:val="0"/>
      <w:marBottom w:val="0"/>
      <w:divBdr>
        <w:top w:val="none" w:sz="0" w:space="0" w:color="auto"/>
        <w:left w:val="none" w:sz="0" w:space="0" w:color="auto"/>
        <w:bottom w:val="none" w:sz="0" w:space="0" w:color="auto"/>
        <w:right w:val="none" w:sz="0" w:space="0" w:color="auto"/>
      </w:divBdr>
      <w:divsChild>
        <w:div w:id="1462115524">
          <w:marLeft w:val="0"/>
          <w:marRight w:val="0"/>
          <w:marTop w:val="0"/>
          <w:marBottom w:val="0"/>
          <w:divBdr>
            <w:top w:val="none" w:sz="0" w:space="0" w:color="auto"/>
            <w:left w:val="none" w:sz="0" w:space="0" w:color="auto"/>
            <w:bottom w:val="none" w:sz="0" w:space="0" w:color="auto"/>
            <w:right w:val="none" w:sz="0" w:space="0" w:color="auto"/>
          </w:divBdr>
          <w:divsChild>
            <w:div w:id="1857183663">
              <w:marLeft w:val="0"/>
              <w:marRight w:val="0"/>
              <w:marTop w:val="0"/>
              <w:marBottom w:val="0"/>
              <w:divBdr>
                <w:top w:val="none" w:sz="0" w:space="0" w:color="auto"/>
                <w:left w:val="none" w:sz="0" w:space="0" w:color="auto"/>
                <w:bottom w:val="none" w:sz="0" w:space="0" w:color="auto"/>
                <w:right w:val="none" w:sz="0" w:space="0" w:color="auto"/>
              </w:divBdr>
              <w:divsChild>
                <w:div w:id="1618946067">
                  <w:marLeft w:val="0"/>
                  <w:marRight w:val="0"/>
                  <w:marTop w:val="0"/>
                  <w:marBottom w:val="0"/>
                  <w:divBdr>
                    <w:top w:val="none" w:sz="0" w:space="0" w:color="auto"/>
                    <w:left w:val="none" w:sz="0" w:space="0" w:color="auto"/>
                    <w:bottom w:val="none" w:sz="0" w:space="0" w:color="auto"/>
                    <w:right w:val="none" w:sz="0" w:space="0" w:color="auto"/>
                  </w:divBdr>
                  <w:divsChild>
                    <w:div w:id="17525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1376">
      <w:bodyDiv w:val="1"/>
      <w:marLeft w:val="0"/>
      <w:marRight w:val="0"/>
      <w:marTop w:val="0"/>
      <w:marBottom w:val="0"/>
      <w:divBdr>
        <w:top w:val="none" w:sz="0" w:space="0" w:color="auto"/>
        <w:left w:val="none" w:sz="0" w:space="0" w:color="auto"/>
        <w:bottom w:val="none" w:sz="0" w:space="0" w:color="auto"/>
        <w:right w:val="none" w:sz="0" w:space="0" w:color="auto"/>
      </w:divBdr>
      <w:divsChild>
        <w:div w:id="2076932535">
          <w:marLeft w:val="0"/>
          <w:marRight w:val="0"/>
          <w:marTop w:val="0"/>
          <w:marBottom w:val="0"/>
          <w:divBdr>
            <w:top w:val="none" w:sz="0" w:space="0" w:color="auto"/>
            <w:left w:val="none" w:sz="0" w:space="0" w:color="auto"/>
            <w:bottom w:val="none" w:sz="0" w:space="0" w:color="auto"/>
            <w:right w:val="none" w:sz="0" w:space="0" w:color="auto"/>
          </w:divBdr>
          <w:divsChild>
            <w:div w:id="1690184657">
              <w:marLeft w:val="0"/>
              <w:marRight w:val="0"/>
              <w:marTop w:val="0"/>
              <w:marBottom w:val="0"/>
              <w:divBdr>
                <w:top w:val="none" w:sz="0" w:space="0" w:color="auto"/>
                <w:left w:val="none" w:sz="0" w:space="0" w:color="auto"/>
                <w:bottom w:val="none" w:sz="0" w:space="0" w:color="auto"/>
                <w:right w:val="none" w:sz="0" w:space="0" w:color="auto"/>
              </w:divBdr>
              <w:divsChild>
                <w:div w:id="2100237">
                  <w:marLeft w:val="0"/>
                  <w:marRight w:val="0"/>
                  <w:marTop w:val="0"/>
                  <w:marBottom w:val="0"/>
                  <w:divBdr>
                    <w:top w:val="none" w:sz="0" w:space="0" w:color="auto"/>
                    <w:left w:val="none" w:sz="0" w:space="0" w:color="auto"/>
                    <w:bottom w:val="none" w:sz="0" w:space="0" w:color="auto"/>
                    <w:right w:val="none" w:sz="0" w:space="0" w:color="auto"/>
                  </w:divBdr>
                  <w:divsChild>
                    <w:div w:id="6102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15981">
      <w:bodyDiv w:val="1"/>
      <w:marLeft w:val="0"/>
      <w:marRight w:val="0"/>
      <w:marTop w:val="0"/>
      <w:marBottom w:val="0"/>
      <w:divBdr>
        <w:top w:val="none" w:sz="0" w:space="0" w:color="auto"/>
        <w:left w:val="none" w:sz="0" w:space="0" w:color="auto"/>
        <w:bottom w:val="none" w:sz="0" w:space="0" w:color="auto"/>
        <w:right w:val="none" w:sz="0" w:space="0" w:color="auto"/>
      </w:divBdr>
      <w:divsChild>
        <w:div w:id="1399859890">
          <w:marLeft w:val="0"/>
          <w:marRight w:val="0"/>
          <w:marTop w:val="0"/>
          <w:marBottom w:val="0"/>
          <w:divBdr>
            <w:top w:val="none" w:sz="0" w:space="0" w:color="auto"/>
            <w:left w:val="none" w:sz="0" w:space="0" w:color="auto"/>
            <w:bottom w:val="none" w:sz="0" w:space="0" w:color="auto"/>
            <w:right w:val="none" w:sz="0" w:space="0" w:color="auto"/>
          </w:divBdr>
          <w:divsChild>
            <w:div w:id="1463114864">
              <w:marLeft w:val="0"/>
              <w:marRight w:val="0"/>
              <w:marTop w:val="0"/>
              <w:marBottom w:val="0"/>
              <w:divBdr>
                <w:top w:val="none" w:sz="0" w:space="0" w:color="auto"/>
                <w:left w:val="none" w:sz="0" w:space="0" w:color="auto"/>
                <w:bottom w:val="none" w:sz="0" w:space="0" w:color="auto"/>
                <w:right w:val="none" w:sz="0" w:space="0" w:color="auto"/>
              </w:divBdr>
              <w:divsChild>
                <w:div w:id="777218161">
                  <w:marLeft w:val="0"/>
                  <w:marRight w:val="0"/>
                  <w:marTop w:val="0"/>
                  <w:marBottom w:val="0"/>
                  <w:divBdr>
                    <w:top w:val="none" w:sz="0" w:space="0" w:color="auto"/>
                    <w:left w:val="none" w:sz="0" w:space="0" w:color="auto"/>
                    <w:bottom w:val="none" w:sz="0" w:space="0" w:color="auto"/>
                    <w:right w:val="none" w:sz="0" w:space="0" w:color="auto"/>
                  </w:divBdr>
                  <w:divsChild>
                    <w:div w:id="9050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261800">
      <w:bodyDiv w:val="1"/>
      <w:marLeft w:val="0"/>
      <w:marRight w:val="0"/>
      <w:marTop w:val="0"/>
      <w:marBottom w:val="0"/>
      <w:divBdr>
        <w:top w:val="none" w:sz="0" w:space="0" w:color="auto"/>
        <w:left w:val="none" w:sz="0" w:space="0" w:color="auto"/>
        <w:bottom w:val="none" w:sz="0" w:space="0" w:color="auto"/>
        <w:right w:val="none" w:sz="0" w:space="0" w:color="auto"/>
      </w:divBdr>
      <w:divsChild>
        <w:div w:id="562839777">
          <w:marLeft w:val="0"/>
          <w:marRight w:val="0"/>
          <w:marTop w:val="0"/>
          <w:marBottom w:val="0"/>
          <w:divBdr>
            <w:top w:val="none" w:sz="0" w:space="0" w:color="auto"/>
            <w:left w:val="none" w:sz="0" w:space="0" w:color="auto"/>
            <w:bottom w:val="none" w:sz="0" w:space="0" w:color="auto"/>
            <w:right w:val="none" w:sz="0" w:space="0" w:color="auto"/>
          </w:divBdr>
          <w:divsChild>
            <w:div w:id="266278631">
              <w:marLeft w:val="0"/>
              <w:marRight w:val="0"/>
              <w:marTop w:val="0"/>
              <w:marBottom w:val="0"/>
              <w:divBdr>
                <w:top w:val="none" w:sz="0" w:space="0" w:color="auto"/>
                <w:left w:val="none" w:sz="0" w:space="0" w:color="auto"/>
                <w:bottom w:val="none" w:sz="0" w:space="0" w:color="auto"/>
                <w:right w:val="none" w:sz="0" w:space="0" w:color="auto"/>
              </w:divBdr>
              <w:divsChild>
                <w:div w:id="55470058">
                  <w:marLeft w:val="0"/>
                  <w:marRight w:val="0"/>
                  <w:marTop w:val="0"/>
                  <w:marBottom w:val="0"/>
                  <w:divBdr>
                    <w:top w:val="none" w:sz="0" w:space="0" w:color="auto"/>
                    <w:left w:val="none" w:sz="0" w:space="0" w:color="auto"/>
                    <w:bottom w:val="none" w:sz="0" w:space="0" w:color="auto"/>
                    <w:right w:val="none" w:sz="0" w:space="0" w:color="auto"/>
                  </w:divBdr>
                  <w:divsChild>
                    <w:div w:id="19344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56866">
      <w:bodyDiv w:val="1"/>
      <w:marLeft w:val="0"/>
      <w:marRight w:val="0"/>
      <w:marTop w:val="0"/>
      <w:marBottom w:val="0"/>
      <w:divBdr>
        <w:top w:val="none" w:sz="0" w:space="0" w:color="auto"/>
        <w:left w:val="none" w:sz="0" w:space="0" w:color="auto"/>
        <w:bottom w:val="none" w:sz="0" w:space="0" w:color="auto"/>
        <w:right w:val="none" w:sz="0" w:space="0" w:color="auto"/>
      </w:divBdr>
      <w:divsChild>
        <w:div w:id="666635690">
          <w:marLeft w:val="0"/>
          <w:marRight w:val="0"/>
          <w:marTop w:val="0"/>
          <w:marBottom w:val="0"/>
          <w:divBdr>
            <w:top w:val="none" w:sz="0" w:space="0" w:color="auto"/>
            <w:left w:val="none" w:sz="0" w:space="0" w:color="auto"/>
            <w:bottom w:val="none" w:sz="0" w:space="0" w:color="auto"/>
            <w:right w:val="none" w:sz="0" w:space="0" w:color="auto"/>
          </w:divBdr>
          <w:divsChild>
            <w:div w:id="1937596667">
              <w:marLeft w:val="0"/>
              <w:marRight w:val="0"/>
              <w:marTop w:val="0"/>
              <w:marBottom w:val="0"/>
              <w:divBdr>
                <w:top w:val="none" w:sz="0" w:space="0" w:color="auto"/>
                <w:left w:val="none" w:sz="0" w:space="0" w:color="auto"/>
                <w:bottom w:val="none" w:sz="0" w:space="0" w:color="auto"/>
                <w:right w:val="none" w:sz="0" w:space="0" w:color="auto"/>
              </w:divBdr>
              <w:divsChild>
                <w:div w:id="1405835450">
                  <w:marLeft w:val="0"/>
                  <w:marRight w:val="0"/>
                  <w:marTop w:val="0"/>
                  <w:marBottom w:val="0"/>
                  <w:divBdr>
                    <w:top w:val="none" w:sz="0" w:space="0" w:color="auto"/>
                    <w:left w:val="none" w:sz="0" w:space="0" w:color="auto"/>
                    <w:bottom w:val="none" w:sz="0" w:space="0" w:color="auto"/>
                    <w:right w:val="none" w:sz="0" w:space="0" w:color="auto"/>
                  </w:divBdr>
                  <w:divsChild>
                    <w:div w:id="101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13633">
      <w:bodyDiv w:val="1"/>
      <w:marLeft w:val="0"/>
      <w:marRight w:val="0"/>
      <w:marTop w:val="0"/>
      <w:marBottom w:val="0"/>
      <w:divBdr>
        <w:top w:val="none" w:sz="0" w:space="0" w:color="auto"/>
        <w:left w:val="none" w:sz="0" w:space="0" w:color="auto"/>
        <w:bottom w:val="none" w:sz="0" w:space="0" w:color="auto"/>
        <w:right w:val="none" w:sz="0" w:space="0" w:color="auto"/>
      </w:divBdr>
      <w:divsChild>
        <w:div w:id="948506656">
          <w:marLeft w:val="0"/>
          <w:marRight w:val="0"/>
          <w:marTop w:val="0"/>
          <w:marBottom w:val="0"/>
          <w:divBdr>
            <w:top w:val="none" w:sz="0" w:space="0" w:color="auto"/>
            <w:left w:val="none" w:sz="0" w:space="0" w:color="auto"/>
            <w:bottom w:val="none" w:sz="0" w:space="0" w:color="auto"/>
            <w:right w:val="none" w:sz="0" w:space="0" w:color="auto"/>
          </w:divBdr>
          <w:divsChild>
            <w:div w:id="1647322730">
              <w:marLeft w:val="0"/>
              <w:marRight w:val="0"/>
              <w:marTop w:val="0"/>
              <w:marBottom w:val="0"/>
              <w:divBdr>
                <w:top w:val="none" w:sz="0" w:space="0" w:color="auto"/>
                <w:left w:val="none" w:sz="0" w:space="0" w:color="auto"/>
                <w:bottom w:val="none" w:sz="0" w:space="0" w:color="auto"/>
                <w:right w:val="none" w:sz="0" w:space="0" w:color="auto"/>
              </w:divBdr>
              <w:divsChild>
                <w:div w:id="320961190">
                  <w:marLeft w:val="0"/>
                  <w:marRight w:val="0"/>
                  <w:marTop w:val="0"/>
                  <w:marBottom w:val="0"/>
                  <w:divBdr>
                    <w:top w:val="none" w:sz="0" w:space="0" w:color="auto"/>
                    <w:left w:val="none" w:sz="0" w:space="0" w:color="auto"/>
                    <w:bottom w:val="none" w:sz="0" w:space="0" w:color="auto"/>
                    <w:right w:val="none" w:sz="0" w:space="0" w:color="auto"/>
                  </w:divBdr>
                  <w:divsChild>
                    <w:div w:id="1350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3743">
      <w:bodyDiv w:val="1"/>
      <w:marLeft w:val="0"/>
      <w:marRight w:val="0"/>
      <w:marTop w:val="0"/>
      <w:marBottom w:val="0"/>
      <w:divBdr>
        <w:top w:val="none" w:sz="0" w:space="0" w:color="auto"/>
        <w:left w:val="none" w:sz="0" w:space="0" w:color="auto"/>
        <w:bottom w:val="none" w:sz="0" w:space="0" w:color="auto"/>
        <w:right w:val="none" w:sz="0" w:space="0" w:color="auto"/>
      </w:divBdr>
      <w:divsChild>
        <w:div w:id="509106781">
          <w:marLeft w:val="0"/>
          <w:marRight w:val="0"/>
          <w:marTop w:val="0"/>
          <w:marBottom w:val="0"/>
          <w:divBdr>
            <w:top w:val="none" w:sz="0" w:space="0" w:color="auto"/>
            <w:left w:val="none" w:sz="0" w:space="0" w:color="auto"/>
            <w:bottom w:val="none" w:sz="0" w:space="0" w:color="auto"/>
            <w:right w:val="none" w:sz="0" w:space="0" w:color="auto"/>
          </w:divBdr>
          <w:divsChild>
            <w:div w:id="1019963834">
              <w:marLeft w:val="0"/>
              <w:marRight w:val="0"/>
              <w:marTop w:val="0"/>
              <w:marBottom w:val="0"/>
              <w:divBdr>
                <w:top w:val="none" w:sz="0" w:space="0" w:color="auto"/>
                <w:left w:val="none" w:sz="0" w:space="0" w:color="auto"/>
                <w:bottom w:val="none" w:sz="0" w:space="0" w:color="auto"/>
                <w:right w:val="none" w:sz="0" w:space="0" w:color="auto"/>
              </w:divBdr>
              <w:divsChild>
                <w:div w:id="248006733">
                  <w:marLeft w:val="0"/>
                  <w:marRight w:val="0"/>
                  <w:marTop w:val="0"/>
                  <w:marBottom w:val="0"/>
                  <w:divBdr>
                    <w:top w:val="none" w:sz="0" w:space="0" w:color="auto"/>
                    <w:left w:val="none" w:sz="0" w:space="0" w:color="auto"/>
                    <w:bottom w:val="none" w:sz="0" w:space="0" w:color="auto"/>
                    <w:right w:val="none" w:sz="0" w:space="0" w:color="auto"/>
                  </w:divBdr>
                  <w:divsChild>
                    <w:div w:id="15051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1412">
      <w:bodyDiv w:val="1"/>
      <w:marLeft w:val="0"/>
      <w:marRight w:val="0"/>
      <w:marTop w:val="0"/>
      <w:marBottom w:val="0"/>
      <w:divBdr>
        <w:top w:val="none" w:sz="0" w:space="0" w:color="auto"/>
        <w:left w:val="none" w:sz="0" w:space="0" w:color="auto"/>
        <w:bottom w:val="none" w:sz="0" w:space="0" w:color="auto"/>
        <w:right w:val="none" w:sz="0" w:space="0" w:color="auto"/>
      </w:divBdr>
      <w:divsChild>
        <w:div w:id="420762141">
          <w:marLeft w:val="0"/>
          <w:marRight w:val="0"/>
          <w:marTop w:val="0"/>
          <w:marBottom w:val="0"/>
          <w:divBdr>
            <w:top w:val="none" w:sz="0" w:space="0" w:color="auto"/>
            <w:left w:val="none" w:sz="0" w:space="0" w:color="auto"/>
            <w:bottom w:val="none" w:sz="0" w:space="0" w:color="auto"/>
            <w:right w:val="none" w:sz="0" w:space="0" w:color="auto"/>
          </w:divBdr>
          <w:divsChild>
            <w:div w:id="788158010">
              <w:marLeft w:val="0"/>
              <w:marRight w:val="0"/>
              <w:marTop w:val="0"/>
              <w:marBottom w:val="0"/>
              <w:divBdr>
                <w:top w:val="none" w:sz="0" w:space="0" w:color="auto"/>
                <w:left w:val="none" w:sz="0" w:space="0" w:color="auto"/>
                <w:bottom w:val="none" w:sz="0" w:space="0" w:color="auto"/>
                <w:right w:val="none" w:sz="0" w:space="0" w:color="auto"/>
              </w:divBdr>
              <w:divsChild>
                <w:div w:id="1144392379">
                  <w:marLeft w:val="0"/>
                  <w:marRight w:val="0"/>
                  <w:marTop w:val="0"/>
                  <w:marBottom w:val="0"/>
                  <w:divBdr>
                    <w:top w:val="none" w:sz="0" w:space="0" w:color="auto"/>
                    <w:left w:val="none" w:sz="0" w:space="0" w:color="auto"/>
                    <w:bottom w:val="none" w:sz="0" w:space="0" w:color="auto"/>
                    <w:right w:val="none" w:sz="0" w:space="0" w:color="auto"/>
                  </w:divBdr>
                  <w:divsChild>
                    <w:div w:id="10307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3535">
      <w:bodyDiv w:val="1"/>
      <w:marLeft w:val="0"/>
      <w:marRight w:val="0"/>
      <w:marTop w:val="0"/>
      <w:marBottom w:val="0"/>
      <w:divBdr>
        <w:top w:val="none" w:sz="0" w:space="0" w:color="auto"/>
        <w:left w:val="none" w:sz="0" w:space="0" w:color="auto"/>
        <w:bottom w:val="none" w:sz="0" w:space="0" w:color="auto"/>
        <w:right w:val="none" w:sz="0" w:space="0" w:color="auto"/>
      </w:divBdr>
      <w:divsChild>
        <w:div w:id="1803186366">
          <w:marLeft w:val="0"/>
          <w:marRight w:val="0"/>
          <w:marTop w:val="0"/>
          <w:marBottom w:val="0"/>
          <w:divBdr>
            <w:top w:val="none" w:sz="0" w:space="0" w:color="auto"/>
            <w:left w:val="none" w:sz="0" w:space="0" w:color="auto"/>
            <w:bottom w:val="none" w:sz="0" w:space="0" w:color="auto"/>
            <w:right w:val="none" w:sz="0" w:space="0" w:color="auto"/>
          </w:divBdr>
          <w:divsChild>
            <w:div w:id="1288850213">
              <w:marLeft w:val="0"/>
              <w:marRight w:val="0"/>
              <w:marTop w:val="0"/>
              <w:marBottom w:val="0"/>
              <w:divBdr>
                <w:top w:val="none" w:sz="0" w:space="0" w:color="auto"/>
                <w:left w:val="none" w:sz="0" w:space="0" w:color="auto"/>
                <w:bottom w:val="none" w:sz="0" w:space="0" w:color="auto"/>
                <w:right w:val="none" w:sz="0" w:space="0" w:color="auto"/>
              </w:divBdr>
              <w:divsChild>
                <w:div w:id="237713567">
                  <w:marLeft w:val="0"/>
                  <w:marRight w:val="0"/>
                  <w:marTop w:val="0"/>
                  <w:marBottom w:val="0"/>
                  <w:divBdr>
                    <w:top w:val="none" w:sz="0" w:space="0" w:color="auto"/>
                    <w:left w:val="none" w:sz="0" w:space="0" w:color="auto"/>
                    <w:bottom w:val="none" w:sz="0" w:space="0" w:color="auto"/>
                    <w:right w:val="none" w:sz="0" w:space="0" w:color="auto"/>
                  </w:divBdr>
                  <w:divsChild>
                    <w:div w:id="10940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021606">
      <w:bodyDiv w:val="1"/>
      <w:marLeft w:val="0"/>
      <w:marRight w:val="0"/>
      <w:marTop w:val="0"/>
      <w:marBottom w:val="0"/>
      <w:divBdr>
        <w:top w:val="none" w:sz="0" w:space="0" w:color="auto"/>
        <w:left w:val="none" w:sz="0" w:space="0" w:color="auto"/>
        <w:bottom w:val="none" w:sz="0" w:space="0" w:color="auto"/>
        <w:right w:val="none" w:sz="0" w:space="0" w:color="auto"/>
      </w:divBdr>
      <w:divsChild>
        <w:div w:id="1790665594">
          <w:marLeft w:val="0"/>
          <w:marRight w:val="0"/>
          <w:marTop w:val="0"/>
          <w:marBottom w:val="0"/>
          <w:divBdr>
            <w:top w:val="none" w:sz="0" w:space="0" w:color="auto"/>
            <w:left w:val="none" w:sz="0" w:space="0" w:color="auto"/>
            <w:bottom w:val="none" w:sz="0" w:space="0" w:color="auto"/>
            <w:right w:val="none" w:sz="0" w:space="0" w:color="auto"/>
          </w:divBdr>
          <w:divsChild>
            <w:div w:id="987906516">
              <w:marLeft w:val="0"/>
              <w:marRight w:val="0"/>
              <w:marTop w:val="0"/>
              <w:marBottom w:val="0"/>
              <w:divBdr>
                <w:top w:val="none" w:sz="0" w:space="0" w:color="auto"/>
                <w:left w:val="none" w:sz="0" w:space="0" w:color="auto"/>
                <w:bottom w:val="none" w:sz="0" w:space="0" w:color="auto"/>
                <w:right w:val="none" w:sz="0" w:space="0" w:color="auto"/>
              </w:divBdr>
              <w:divsChild>
                <w:div w:id="1204514775">
                  <w:marLeft w:val="0"/>
                  <w:marRight w:val="0"/>
                  <w:marTop w:val="0"/>
                  <w:marBottom w:val="0"/>
                  <w:divBdr>
                    <w:top w:val="none" w:sz="0" w:space="0" w:color="auto"/>
                    <w:left w:val="none" w:sz="0" w:space="0" w:color="auto"/>
                    <w:bottom w:val="none" w:sz="0" w:space="0" w:color="auto"/>
                    <w:right w:val="none" w:sz="0" w:space="0" w:color="auto"/>
                  </w:divBdr>
                  <w:divsChild>
                    <w:div w:id="7748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6678">
      <w:bodyDiv w:val="1"/>
      <w:marLeft w:val="0"/>
      <w:marRight w:val="0"/>
      <w:marTop w:val="0"/>
      <w:marBottom w:val="0"/>
      <w:divBdr>
        <w:top w:val="none" w:sz="0" w:space="0" w:color="auto"/>
        <w:left w:val="none" w:sz="0" w:space="0" w:color="auto"/>
        <w:bottom w:val="none" w:sz="0" w:space="0" w:color="auto"/>
        <w:right w:val="none" w:sz="0" w:space="0" w:color="auto"/>
      </w:divBdr>
      <w:divsChild>
        <w:div w:id="778181313">
          <w:marLeft w:val="0"/>
          <w:marRight w:val="0"/>
          <w:marTop w:val="0"/>
          <w:marBottom w:val="0"/>
          <w:divBdr>
            <w:top w:val="none" w:sz="0" w:space="0" w:color="auto"/>
            <w:left w:val="none" w:sz="0" w:space="0" w:color="auto"/>
            <w:bottom w:val="none" w:sz="0" w:space="0" w:color="auto"/>
            <w:right w:val="none" w:sz="0" w:space="0" w:color="auto"/>
          </w:divBdr>
          <w:divsChild>
            <w:div w:id="245456987">
              <w:marLeft w:val="0"/>
              <w:marRight w:val="0"/>
              <w:marTop w:val="0"/>
              <w:marBottom w:val="0"/>
              <w:divBdr>
                <w:top w:val="none" w:sz="0" w:space="0" w:color="auto"/>
                <w:left w:val="none" w:sz="0" w:space="0" w:color="auto"/>
                <w:bottom w:val="none" w:sz="0" w:space="0" w:color="auto"/>
                <w:right w:val="none" w:sz="0" w:space="0" w:color="auto"/>
              </w:divBdr>
              <w:divsChild>
                <w:div w:id="654719567">
                  <w:marLeft w:val="0"/>
                  <w:marRight w:val="0"/>
                  <w:marTop w:val="0"/>
                  <w:marBottom w:val="0"/>
                  <w:divBdr>
                    <w:top w:val="none" w:sz="0" w:space="0" w:color="auto"/>
                    <w:left w:val="none" w:sz="0" w:space="0" w:color="auto"/>
                    <w:bottom w:val="none" w:sz="0" w:space="0" w:color="auto"/>
                    <w:right w:val="none" w:sz="0" w:space="0" w:color="auto"/>
                  </w:divBdr>
                  <w:divsChild>
                    <w:div w:id="5178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chinnilav14@gmail.com</dc:creator>
  <cp:lastModifiedBy>RDRL</cp:lastModifiedBy>
  <cp:revision>5</cp:revision>
  <cp:lastPrinted>2021-02-15T17:04:00Z</cp:lastPrinted>
  <dcterms:created xsi:type="dcterms:W3CDTF">2021-02-15T16:58:00Z</dcterms:created>
  <dcterms:modified xsi:type="dcterms:W3CDTF">2021-02-18T10:45:00Z</dcterms:modified>
</cp:coreProperties>
</file>