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D3" w:rsidRPr="00F54AA8" w:rsidRDefault="00F374D3" w:rsidP="00F54AA8">
      <w:pPr>
        <w:spacing w:after="0" w:line="360" w:lineRule="auto"/>
        <w:jc w:val="both"/>
        <w:rPr>
          <w:rFonts w:asciiTheme="majorHAnsi" w:hAnsiTheme="majorHAnsi" w:cs="Times New Roman"/>
          <w:b/>
          <w:color w:val="000000"/>
          <w:sz w:val="20"/>
          <w:szCs w:val="20"/>
        </w:rPr>
      </w:pPr>
      <w:r w:rsidRPr="00F54AA8">
        <w:rPr>
          <w:rFonts w:asciiTheme="majorHAnsi" w:hAnsiTheme="majorHAnsi" w:cs="Times New Roman"/>
          <w:b/>
          <w:color w:val="000000"/>
          <w:sz w:val="24"/>
          <w:szCs w:val="24"/>
          <w:highlight w:val="lightGray"/>
        </w:rPr>
        <w:t>Original article</w:t>
      </w:r>
      <w:r w:rsidRPr="00F54AA8">
        <w:rPr>
          <w:rFonts w:asciiTheme="majorHAnsi" w:hAnsiTheme="majorHAnsi" w:cs="Times New Roman"/>
          <w:b/>
          <w:color w:val="000000"/>
          <w:sz w:val="20"/>
          <w:szCs w:val="20"/>
          <w:highlight w:val="lightGray"/>
        </w:rPr>
        <w:t>:</w:t>
      </w:r>
    </w:p>
    <w:p w:rsidR="00F374D3" w:rsidRPr="00F54AA8" w:rsidRDefault="00F374D3" w:rsidP="00F54AA8">
      <w:pPr>
        <w:spacing w:after="0" w:line="360" w:lineRule="auto"/>
        <w:jc w:val="both"/>
        <w:rPr>
          <w:rFonts w:asciiTheme="majorHAnsi" w:hAnsiTheme="majorHAnsi" w:cs="Times New Roman"/>
          <w:b/>
          <w:color w:val="0070C0"/>
          <w:sz w:val="28"/>
          <w:szCs w:val="28"/>
        </w:rPr>
      </w:pPr>
      <w:r w:rsidRPr="00F54AA8">
        <w:rPr>
          <w:rFonts w:asciiTheme="majorHAnsi" w:hAnsiTheme="majorHAnsi" w:cs="Times New Roman"/>
          <w:b/>
          <w:color w:val="0070C0"/>
          <w:sz w:val="28"/>
          <w:szCs w:val="28"/>
        </w:rPr>
        <w:t xml:space="preserve">Study of long term outcomes of acute renal failure </w:t>
      </w:r>
    </w:p>
    <w:p w:rsidR="00F374D3" w:rsidRPr="00F54AA8" w:rsidRDefault="00F54AA8" w:rsidP="00F54AA8">
      <w:pPr>
        <w:spacing w:after="0" w:line="360" w:lineRule="auto"/>
        <w:jc w:val="both"/>
        <w:rPr>
          <w:rFonts w:asciiTheme="majorHAnsi" w:hAnsiTheme="majorHAnsi" w:cs="Times New Roman"/>
          <w:b/>
          <w:color w:val="000000"/>
          <w:sz w:val="20"/>
          <w:szCs w:val="20"/>
        </w:rPr>
      </w:pPr>
      <w:r>
        <w:rPr>
          <w:rFonts w:asciiTheme="majorHAnsi" w:hAnsiTheme="majorHAnsi" w:cs="Times New Roman"/>
          <w:b/>
          <w:color w:val="000000"/>
          <w:sz w:val="20"/>
          <w:szCs w:val="20"/>
        </w:rPr>
        <w:t>*</w:t>
      </w:r>
      <w:r w:rsidR="00F374D3" w:rsidRPr="00F54AA8">
        <w:rPr>
          <w:rFonts w:asciiTheme="majorHAnsi" w:hAnsiTheme="majorHAnsi" w:cs="Times New Roman"/>
          <w:b/>
          <w:color w:val="000000"/>
          <w:sz w:val="20"/>
          <w:szCs w:val="20"/>
        </w:rPr>
        <w:t xml:space="preserve">Dr </w:t>
      </w:r>
      <w:proofErr w:type="spellStart"/>
      <w:r w:rsidR="00F374D3" w:rsidRPr="00F54AA8">
        <w:rPr>
          <w:rFonts w:asciiTheme="majorHAnsi" w:hAnsiTheme="majorHAnsi" w:cs="Times New Roman"/>
          <w:b/>
          <w:color w:val="000000"/>
          <w:sz w:val="20"/>
          <w:szCs w:val="20"/>
        </w:rPr>
        <w:t>Sai</w:t>
      </w:r>
      <w:proofErr w:type="spellEnd"/>
      <w:r w:rsidR="00F374D3" w:rsidRPr="00F54AA8">
        <w:rPr>
          <w:rFonts w:asciiTheme="majorHAnsi" w:hAnsiTheme="majorHAnsi" w:cs="Times New Roman"/>
          <w:b/>
          <w:color w:val="000000"/>
          <w:sz w:val="20"/>
          <w:szCs w:val="20"/>
        </w:rPr>
        <w:t xml:space="preserve"> </w:t>
      </w:r>
      <w:proofErr w:type="spellStart"/>
      <w:r w:rsidR="00F374D3" w:rsidRPr="00F54AA8">
        <w:rPr>
          <w:rFonts w:asciiTheme="majorHAnsi" w:hAnsiTheme="majorHAnsi" w:cs="Times New Roman"/>
          <w:b/>
          <w:color w:val="000000"/>
          <w:sz w:val="20"/>
          <w:szCs w:val="20"/>
        </w:rPr>
        <w:t>Sekhar</w:t>
      </w:r>
      <w:proofErr w:type="spellEnd"/>
      <w:r w:rsidR="00F374D3" w:rsidRPr="00F54AA8">
        <w:rPr>
          <w:rFonts w:asciiTheme="majorHAnsi" w:hAnsiTheme="majorHAnsi" w:cs="Times New Roman"/>
          <w:b/>
          <w:color w:val="000000"/>
          <w:sz w:val="20"/>
          <w:szCs w:val="20"/>
        </w:rPr>
        <w:t xml:space="preserve"> </w:t>
      </w:r>
      <w:proofErr w:type="gramStart"/>
      <w:r w:rsidR="00F374D3" w:rsidRPr="00F54AA8">
        <w:rPr>
          <w:rFonts w:asciiTheme="majorHAnsi" w:hAnsiTheme="majorHAnsi" w:cs="Times New Roman"/>
          <w:b/>
          <w:color w:val="000000"/>
          <w:sz w:val="20"/>
          <w:szCs w:val="20"/>
        </w:rPr>
        <w:t>P ,</w:t>
      </w:r>
      <w:proofErr w:type="gramEnd"/>
      <w:r w:rsidR="00F374D3" w:rsidRPr="00F54AA8">
        <w:rPr>
          <w:rFonts w:asciiTheme="majorHAnsi" w:hAnsiTheme="majorHAnsi" w:cs="Times New Roman"/>
          <w:b/>
          <w:color w:val="000000"/>
          <w:sz w:val="20"/>
          <w:szCs w:val="20"/>
        </w:rPr>
        <w:t xml:space="preserve"> Dr Y </w:t>
      </w:r>
      <w:proofErr w:type="spellStart"/>
      <w:r w:rsidR="00F374D3" w:rsidRPr="00F54AA8">
        <w:rPr>
          <w:rFonts w:asciiTheme="majorHAnsi" w:hAnsiTheme="majorHAnsi" w:cs="Times New Roman"/>
          <w:b/>
          <w:color w:val="000000"/>
          <w:sz w:val="20"/>
          <w:szCs w:val="20"/>
        </w:rPr>
        <w:t>Kondal</w:t>
      </w:r>
      <w:proofErr w:type="spellEnd"/>
      <w:r w:rsidR="00F374D3" w:rsidRPr="00F54AA8">
        <w:rPr>
          <w:rFonts w:asciiTheme="majorHAnsi" w:hAnsiTheme="majorHAnsi" w:cs="Times New Roman"/>
          <w:b/>
          <w:color w:val="000000"/>
          <w:sz w:val="20"/>
          <w:szCs w:val="20"/>
        </w:rPr>
        <w:t xml:space="preserve"> </w:t>
      </w:r>
      <w:proofErr w:type="spellStart"/>
      <w:r w:rsidR="00F374D3" w:rsidRPr="00F54AA8">
        <w:rPr>
          <w:rFonts w:asciiTheme="majorHAnsi" w:hAnsiTheme="majorHAnsi" w:cs="Times New Roman"/>
          <w:b/>
          <w:color w:val="000000"/>
          <w:sz w:val="20"/>
          <w:szCs w:val="20"/>
        </w:rPr>
        <w:t>Rao</w:t>
      </w:r>
      <w:proofErr w:type="spellEnd"/>
      <w:r w:rsidR="00F374D3" w:rsidRPr="00F54AA8">
        <w:rPr>
          <w:rFonts w:asciiTheme="majorHAnsi" w:hAnsiTheme="majorHAnsi" w:cs="Times New Roman"/>
          <w:b/>
          <w:color w:val="000000"/>
          <w:sz w:val="20"/>
          <w:szCs w:val="20"/>
        </w:rPr>
        <w:t xml:space="preserve"> , Dr S Surya </w:t>
      </w:r>
      <w:proofErr w:type="spellStart"/>
      <w:r w:rsidR="00F374D3" w:rsidRPr="00F54AA8">
        <w:rPr>
          <w:rFonts w:asciiTheme="majorHAnsi" w:hAnsiTheme="majorHAnsi" w:cs="Times New Roman"/>
          <w:b/>
          <w:color w:val="000000"/>
          <w:sz w:val="20"/>
          <w:szCs w:val="20"/>
        </w:rPr>
        <w:t>Prakasa</w:t>
      </w:r>
      <w:proofErr w:type="spellEnd"/>
      <w:r w:rsidR="00F374D3" w:rsidRPr="00F54AA8">
        <w:rPr>
          <w:rFonts w:asciiTheme="majorHAnsi" w:hAnsiTheme="majorHAnsi" w:cs="Times New Roman"/>
          <w:b/>
          <w:color w:val="000000"/>
          <w:sz w:val="20"/>
          <w:szCs w:val="20"/>
        </w:rPr>
        <w:t xml:space="preserve"> </w:t>
      </w:r>
      <w:proofErr w:type="spellStart"/>
      <w:r w:rsidR="00F374D3" w:rsidRPr="00F54AA8">
        <w:rPr>
          <w:rFonts w:asciiTheme="majorHAnsi" w:hAnsiTheme="majorHAnsi" w:cs="Times New Roman"/>
          <w:b/>
          <w:color w:val="000000"/>
          <w:sz w:val="20"/>
          <w:szCs w:val="20"/>
        </w:rPr>
        <w:t>Rao</w:t>
      </w:r>
      <w:proofErr w:type="spellEnd"/>
    </w:p>
    <w:p w:rsidR="00F374D3" w:rsidRPr="00F54AA8" w:rsidRDefault="00F374D3" w:rsidP="00F54AA8">
      <w:pPr>
        <w:tabs>
          <w:tab w:val="left" w:pos="1920"/>
        </w:tabs>
        <w:spacing w:after="0" w:line="360" w:lineRule="auto"/>
        <w:jc w:val="both"/>
        <w:rPr>
          <w:rFonts w:asciiTheme="majorHAnsi" w:hAnsiTheme="majorHAnsi" w:cs="Times New Roman"/>
          <w:color w:val="000000"/>
          <w:sz w:val="20"/>
          <w:szCs w:val="20"/>
        </w:rPr>
      </w:pPr>
      <w:r w:rsidRPr="00F54AA8">
        <w:rPr>
          <w:rFonts w:asciiTheme="majorHAnsi" w:hAnsiTheme="majorHAnsi" w:cs="Times New Roman"/>
          <w:color w:val="000000"/>
          <w:sz w:val="20"/>
          <w:szCs w:val="20"/>
        </w:rPr>
        <w:t xml:space="preserve"> </w:t>
      </w:r>
      <w:r w:rsidR="00F54AA8">
        <w:rPr>
          <w:rFonts w:asciiTheme="majorHAnsi" w:hAnsiTheme="majorHAnsi" w:cs="Times New Roman"/>
          <w:color w:val="000000"/>
          <w:sz w:val="20"/>
          <w:szCs w:val="20"/>
        </w:rPr>
        <w:tab/>
      </w:r>
      <w:bookmarkStart w:id="0" w:name="_GoBack"/>
      <w:bookmarkEnd w:id="0"/>
    </w:p>
    <w:p w:rsidR="00F374D3" w:rsidRPr="00F54AA8" w:rsidRDefault="00F374D3" w:rsidP="00F54AA8">
      <w:pPr>
        <w:spacing w:after="0" w:line="360" w:lineRule="auto"/>
        <w:rPr>
          <w:rFonts w:asciiTheme="majorHAnsi" w:hAnsiTheme="majorHAnsi" w:cs="Times New Roman"/>
          <w:color w:val="000000"/>
          <w:sz w:val="18"/>
          <w:szCs w:val="18"/>
        </w:rPr>
      </w:pPr>
      <w:r w:rsidRPr="00F54AA8">
        <w:rPr>
          <w:rFonts w:asciiTheme="majorHAnsi" w:hAnsiTheme="majorHAnsi" w:cs="Times New Roman"/>
          <w:color w:val="000000"/>
          <w:sz w:val="18"/>
          <w:szCs w:val="18"/>
        </w:rPr>
        <w:t xml:space="preserve">General Medicine, NRI Institute of Medical </w:t>
      </w:r>
      <w:r w:rsidR="00F54AA8" w:rsidRPr="00F54AA8">
        <w:rPr>
          <w:rFonts w:asciiTheme="majorHAnsi" w:hAnsiTheme="majorHAnsi" w:cs="Times New Roman"/>
          <w:color w:val="000000"/>
          <w:sz w:val="18"/>
          <w:szCs w:val="18"/>
        </w:rPr>
        <w:t>Sciences</w:t>
      </w:r>
      <w:r w:rsidR="00F54AA8" w:rsidRPr="00F54AA8">
        <w:rPr>
          <w:rFonts w:asciiTheme="majorHAnsi" w:hAnsiTheme="majorHAnsi"/>
        </w:rPr>
        <w:t>,</w:t>
      </w:r>
      <w:r w:rsidRPr="00F54AA8">
        <w:rPr>
          <w:rFonts w:asciiTheme="majorHAnsi" w:hAnsiTheme="majorHAnsi"/>
        </w:rPr>
        <w:t xml:space="preserve"> </w:t>
      </w:r>
      <w:proofErr w:type="spellStart"/>
      <w:r w:rsidRPr="00F54AA8">
        <w:rPr>
          <w:rFonts w:asciiTheme="majorHAnsi" w:hAnsiTheme="majorHAnsi" w:cs="Times New Roman"/>
          <w:color w:val="000000"/>
          <w:sz w:val="18"/>
          <w:szCs w:val="18"/>
        </w:rPr>
        <w:t>Thagarapuvalasa</w:t>
      </w:r>
      <w:proofErr w:type="spellEnd"/>
      <w:r w:rsidRPr="00F54AA8">
        <w:rPr>
          <w:rFonts w:asciiTheme="majorHAnsi" w:hAnsiTheme="majorHAnsi" w:cs="Times New Roman"/>
          <w:color w:val="000000"/>
          <w:sz w:val="18"/>
          <w:szCs w:val="18"/>
        </w:rPr>
        <w:t>, Andhra Pradesh 531163</w:t>
      </w:r>
    </w:p>
    <w:p w:rsidR="00F374D3" w:rsidRPr="00F54AA8" w:rsidRDefault="00F54AA8" w:rsidP="00F54AA8">
      <w:pPr>
        <w:spacing w:after="0" w:line="360" w:lineRule="auto"/>
        <w:rPr>
          <w:rFonts w:asciiTheme="majorHAnsi" w:hAnsiTheme="majorHAnsi" w:cs="Times New Roman"/>
          <w:color w:val="000000"/>
          <w:sz w:val="18"/>
          <w:szCs w:val="18"/>
        </w:rPr>
      </w:pPr>
      <w:r>
        <w:rPr>
          <w:rFonts w:asciiTheme="majorHAnsi" w:hAnsiTheme="majorHAnsi" w:cs="Times New Roman"/>
          <w:color w:val="000000"/>
          <w:sz w:val="18"/>
          <w:szCs w:val="18"/>
        </w:rPr>
        <w:t>*</w:t>
      </w:r>
      <w:r w:rsidR="00F374D3" w:rsidRPr="00F54AA8">
        <w:rPr>
          <w:rFonts w:asciiTheme="majorHAnsi" w:hAnsiTheme="majorHAnsi" w:cs="Times New Roman"/>
          <w:color w:val="000000"/>
          <w:sz w:val="18"/>
          <w:szCs w:val="18"/>
        </w:rPr>
        <w:t xml:space="preserve">Corresponding </w:t>
      </w:r>
      <w:r w:rsidRPr="00F54AA8">
        <w:rPr>
          <w:rFonts w:asciiTheme="majorHAnsi" w:hAnsiTheme="majorHAnsi" w:cs="Times New Roman"/>
          <w:color w:val="000000"/>
          <w:sz w:val="18"/>
          <w:szCs w:val="18"/>
        </w:rPr>
        <w:t>author:</w:t>
      </w:r>
      <w:r w:rsidR="00F374D3" w:rsidRPr="00F54AA8">
        <w:rPr>
          <w:rFonts w:asciiTheme="majorHAnsi" w:hAnsiTheme="majorHAnsi" w:cs="Times New Roman"/>
          <w:color w:val="000000"/>
          <w:sz w:val="18"/>
          <w:szCs w:val="18"/>
        </w:rPr>
        <w:t xml:space="preserve"> Dr </w:t>
      </w:r>
      <w:proofErr w:type="spellStart"/>
      <w:r w:rsidR="00F374D3" w:rsidRPr="00F54AA8">
        <w:rPr>
          <w:rFonts w:asciiTheme="majorHAnsi" w:hAnsiTheme="majorHAnsi" w:cs="Times New Roman"/>
          <w:color w:val="000000"/>
          <w:sz w:val="18"/>
          <w:szCs w:val="18"/>
        </w:rPr>
        <w:t>Sai</w:t>
      </w:r>
      <w:proofErr w:type="spellEnd"/>
      <w:r w:rsidR="00F374D3" w:rsidRPr="00F54AA8">
        <w:rPr>
          <w:rFonts w:asciiTheme="majorHAnsi" w:hAnsiTheme="majorHAnsi" w:cs="Times New Roman"/>
          <w:color w:val="000000"/>
          <w:sz w:val="18"/>
          <w:szCs w:val="18"/>
        </w:rPr>
        <w:t xml:space="preserve"> </w:t>
      </w:r>
      <w:proofErr w:type="spellStart"/>
      <w:r w:rsidR="00F374D3" w:rsidRPr="00F54AA8">
        <w:rPr>
          <w:rFonts w:asciiTheme="majorHAnsi" w:hAnsiTheme="majorHAnsi" w:cs="Times New Roman"/>
          <w:color w:val="000000"/>
          <w:sz w:val="18"/>
          <w:szCs w:val="18"/>
        </w:rPr>
        <w:t>Sekhar</w:t>
      </w:r>
      <w:proofErr w:type="spellEnd"/>
      <w:r w:rsidR="00F374D3" w:rsidRPr="00F54AA8">
        <w:rPr>
          <w:rFonts w:asciiTheme="majorHAnsi" w:hAnsiTheme="majorHAnsi" w:cs="Times New Roman"/>
          <w:color w:val="000000"/>
          <w:sz w:val="18"/>
          <w:szCs w:val="18"/>
        </w:rPr>
        <w:t xml:space="preserve"> </w:t>
      </w:r>
      <w:proofErr w:type="gramStart"/>
      <w:r w:rsidR="00F374D3" w:rsidRPr="00F54AA8">
        <w:rPr>
          <w:rFonts w:asciiTheme="majorHAnsi" w:hAnsiTheme="majorHAnsi" w:cs="Times New Roman"/>
          <w:color w:val="000000"/>
          <w:sz w:val="18"/>
          <w:szCs w:val="18"/>
        </w:rPr>
        <w:t>P</w:t>
      </w:r>
      <w:r>
        <w:rPr>
          <w:rFonts w:asciiTheme="majorHAnsi" w:hAnsiTheme="majorHAnsi" w:cs="Times New Roman"/>
          <w:color w:val="000000"/>
          <w:sz w:val="18"/>
          <w:szCs w:val="18"/>
        </w:rPr>
        <w:t xml:space="preserve"> ,</w:t>
      </w:r>
      <w:proofErr w:type="gramEnd"/>
      <w:r>
        <w:rPr>
          <w:rFonts w:asciiTheme="majorHAnsi" w:hAnsiTheme="majorHAnsi" w:cs="Times New Roman"/>
          <w:color w:val="000000"/>
          <w:sz w:val="18"/>
          <w:szCs w:val="18"/>
        </w:rPr>
        <w:t xml:space="preserve"> Assistant Professor , </w:t>
      </w:r>
      <w:r w:rsidRPr="00F54AA8">
        <w:rPr>
          <w:rFonts w:asciiTheme="majorHAnsi" w:hAnsiTheme="majorHAnsi" w:cs="Times New Roman"/>
          <w:color w:val="000000"/>
          <w:sz w:val="18"/>
          <w:szCs w:val="18"/>
        </w:rPr>
        <w:t xml:space="preserve">General Medicine, NRI Institute of Medical Sciences, </w:t>
      </w:r>
      <w:proofErr w:type="spellStart"/>
      <w:r w:rsidRPr="00F54AA8">
        <w:rPr>
          <w:rFonts w:asciiTheme="majorHAnsi" w:hAnsiTheme="majorHAnsi" w:cs="Times New Roman"/>
          <w:color w:val="000000"/>
          <w:sz w:val="18"/>
          <w:szCs w:val="18"/>
        </w:rPr>
        <w:t>Thagarapuvalasa</w:t>
      </w:r>
      <w:proofErr w:type="spellEnd"/>
      <w:r w:rsidRPr="00F54AA8">
        <w:rPr>
          <w:rFonts w:asciiTheme="majorHAnsi" w:hAnsiTheme="majorHAnsi" w:cs="Times New Roman"/>
          <w:color w:val="000000"/>
          <w:sz w:val="18"/>
          <w:szCs w:val="18"/>
        </w:rPr>
        <w:t>, Andhra Pradesh 531163</w:t>
      </w:r>
    </w:p>
    <w:p w:rsidR="00F374D3" w:rsidRDefault="00F374D3" w:rsidP="00F374D3">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p>
    <w:p w:rsidR="00F54AA8" w:rsidRPr="00536BDA" w:rsidRDefault="00F54AA8" w:rsidP="00F54AA8">
      <w:pPr>
        <w:spacing w:after="0" w:line="360" w:lineRule="auto"/>
        <w:jc w:val="both"/>
        <w:rPr>
          <w:rFonts w:ascii="Times New Roman" w:hAnsi="Times New Roman" w:cs="Times New Roman"/>
          <w:b/>
          <w:sz w:val="18"/>
          <w:szCs w:val="18"/>
        </w:rPr>
      </w:pPr>
      <w:r w:rsidRPr="00536BDA">
        <w:rPr>
          <w:rFonts w:ascii="Times New Roman" w:hAnsi="Times New Roman" w:cs="Times New Roman"/>
          <w:b/>
          <w:sz w:val="18"/>
          <w:szCs w:val="18"/>
        </w:rPr>
        <w:t>Abstract:</w:t>
      </w:r>
    </w:p>
    <w:p w:rsidR="00F54AA8" w:rsidRPr="00536BDA" w:rsidRDefault="00F54AA8" w:rsidP="00F54AA8">
      <w:pPr>
        <w:spacing w:after="0" w:line="360" w:lineRule="auto"/>
        <w:jc w:val="both"/>
        <w:rPr>
          <w:rFonts w:ascii="Times New Roman" w:hAnsi="Times New Roman" w:cs="Times New Roman"/>
          <w:b/>
          <w:color w:val="FFFF00"/>
          <w:sz w:val="18"/>
          <w:szCs w:val="18"/>
        </w:rPr>
      </w:pPr>
      <w:r w:rsidRPr="00536BDA">
        <w:rPr>
          <w:rFonts w:ascii="Times New Roman" w:hAnsi="Times New Roman" w:cs="Times New Roman"/>
          <w:b/>
          <w:sz w:val="18"/>
          <w:szCs w:val="18"/>
        </w:rPr>
        <w:t>Introduction:</w:t>
      </w:r>
      <w:r w:rsidRPr="00536BDA">
        <w:rPr>
          <w:rFonts w:ascii="Times New Roman" w:hAnsi="Times New Roman" w:cs="Times New Roman"/>
          <w:b/>
          <w:color w:val="FFFF00"/>
          <w:sz w:val="18"/>
          <w:szCs w:val="18"/>
        </w:rPr>
        <w:t xml:space="preserve"> </w:t>
      </w:r>
      <w:r w:rsidRPr="00536BDA">
        <w:rPr>
          <w:rFonts w:ascii="Times New Roman" w:hAnsi="Times New Roman" w:cs="Times New Roman"/>
          <w:sz w:val="18"/>
          <w:szCs w:val="18"/>
        </w:rPr>
        <w:t>Acute kidney injury (AKI) is a major public health problem affecting millions of patients worldwide and leading to decreased survival, increased progression to underlying chronic kidney disease (CKD).</w:t>
      </w:r>
      <w:r w:rsidRPr="00536BDA">
        <w:rPr>
          <w:rFonts w:ascii="Times New Roman" w:hAnsi="Times New Roman" w:cs="Times New Roman"/>
          <w:b/>
          <w:sz w:val="18"/>
          <w:szCs w:val="18"/>
        </w:rPr>
        <w:t xml:space="preserve"> </w:t>
      </w:r>
    </w:p>
    <w:p w:rsidR="00F54AA8" w:rsidRPr="00536BDA" w:rsidRDefault="00F54AA8" w:rsidP="00F54AA8">
      <w:pPr>
        <w:spacing w:after="0" w:line="360" w:lineRule="auto"/>
        <w:jc w:val="both"/>
        <w:rPr>
          <w:rFonts w:ascii="Times New Roman" w:hAnsi="Times New Roman" w:cs="Times New Roman"/>
          <w:b/>
          <w:sz w:val="18"/>
          <w:szCs w:val="18"/>
        </w:rPr>
      </w:pPr>
      <w:r w:rsidRPr="00536BDA">
        <w:rPr>
          <w:rFonts w:ascii="Times New Roman" w:hAnsi="Times New Roman" w:cs="Times New Roman"/>
          <w:b/>
          <w:sz w:val="18"/>
          <w:szCs w:val="18"/>
        </w:rPr>
        <w:t xml:space="preserve">Materials and methods: </w:t>
      </w:r>
      <w:r w:rsidRPr="00536BDA">
        <w:rPr>
          <w:rFonts w:ascii="Times New Roman" w:hAnsi="Times New Roman" w:cs="Times New Roman"/>
          <w:bCs/>
          <w:sz w:val="18"/>
          <w:szCs w:val="18"/>
        </w:rPr>
        <w:t xml:space="preserve">This was </w:t>
      </w:r>
      <w:r w:rsidRPr="00536BDA">
        <w:rPr>
          <w:rFonts w:ascii="Times New Roman" w:hAnsi="Times New Roman" w:cs="Times New Roman"/>
          <w:sz w:val="18"/>
          <w:szCs w:val="18"/>
        </w:rPr>
        <w:t xml:space="preserve">Prospective follow up study conducted at NRI INSTITUTE OF MEDICAL SCIENCES for two years duration.  Study subjects were individuals who are aged above 15 years </w:t>
      </w:r>
      <w:proofErr w:type="gramStart"/>
      <w:r w:rsidRPr="00536BDA">
        <w:rPr>
          <w:rFonts w:ascii="Times New Roman" w:hAnsi="Times New Roman" w:cs="Times New Roman"/>
          <w:sz w:val="18"/>
          <w:szCs w:val="18"/>
        </w:rPr>
        <w:t>and  diagnosed</w:t>
      </w:r>
      <w:proofErr w:type="gramEnd"/>
      <w:r w:rsidRPr="00536BDA">
        <w:rPr>
          <w:rFonts w:ascii="Times New Roman" w:hAnsi="Times New Roman" w:cs="Times New Roman"/>
          <w:sz w:val="18"/>
          <w:szCs w:val="18"/>
        </w:rPr>
        <w:t xml:space="preserve"> to have AKI according to AKIN (or) RIFLE criteria.</w:t>
      </w:r>
    </w:p>
    <w:p w:rsidR="00F54AA8" w:rsidRPr="00536BDA" w:rsidRDefault="00F54AA8" w:rsidP="00F54AA8">
      <w:pPr>
        <w:spacing w:after="0" w:line="360" w:lineRule="auto"/>
        <w:jc w:val="both"/>
        <w:rPr>
          <w:rFonts w:ascii="Times New Roman" w:hAnsi="Times New Roman" w:cs="Times New Roman"/>
          <w:sz w:val="18"/>
          <w:szCs w:val="18"/>
        </w:rPr>
      </w:pPr>
      <w:r w:rsidRPr="00536BDA">
        <w:rPr>
          <w:rFonts w:ascii="Times New Roman" w:hAnsi="Times New Roman" w:cs="Times New Roman"/>
          <w:b/>
          <w:sz w:val="18"/>
          <w:szCs w:val="18"/>
        </w:rPr>
        <w:t>Results and Conclusion:</w:t>
      </w:r>
      <w:r w:rsidRPr="00536BDA">
        <w:rPr>
          <w:rFonts w:ascii="Times New Roman" w:hAnsi="Times New Roman" w:cs="Times New Roman"/>
          <w:sz w:val="18"/>
          <w:szCs w:val="18"/>
        </w:rPr>
        <w:t xml:space="preserve"> About 97.5% of study population got completely recovered from AKI by the end of 1 year. There was significant drop in serum urea, </w:t>
      </w:r>
      <w:proofErr w:type="spellStart"/>
      <w:r w:rsidRPr="00536BDA">
        <w:rPr>
          <w:rFonts w:ascii="Times New Roman" w:hAnsi="Times New Roman" w:cs="Times New Roman"/>
          <w:sz w:val="18"/>
          <w:szCs w:val="18"/>
        </w:rPr>
        <w:t>creatinine</w:t>
      </w:r>
      <w:proofErr w:type="spellEnd"/>
      <w:r w:rsidRPr="00536BDA">
        <w:rPr>
          <w:rFonts w:ascii="Times New Roman" w:hAnsi="Times New Roman" w:cs="Times New Roman"/>
          <w:sz w:val="18"/>
          <w:szCs w:val="18"/>
        </w:rPr>
        <w:t xml:space="preserve"> levels, </w:t>
      </w:r>
      <w:proofErr w:type="gramStart"/>
      <w:r w:rsidRPr="00536BDA">
        <w:rPr>
          <w:rFonts w:ascii="Times New Roman" w:hAnsi="Times New Roman" w:cs="Times New Roman"/>
          <w:sz w:val="18"/>
          <w:szCs w:val="18"/>
        </w:rPr>
        <w:t>electrolyte</w:t>
      </w:r>
      <w:proofErr w:type="gramEnd"/>
      <w:r w:rsidRPr="00536BDA">
        <w:rPr>
          <w:rFonts w:ascii="Times New Roman" w:hAnsi="Times New Roman" w:cs="Times New Roman"/>
          <w:sz w:val="18"/>
          <w:szCs w:val="18"/>
        </w:rPr>
        <w:t xml:space="preserve"> imbalances. </w:t>
      </w:r>
      <w:proofErr w:type="gramStart"/>
      <w:r w:rsidRPr="00536BDA">
        <w:rPr>
          <w:rFonts w:ascii="Times New Roman" w:hAnsi="Times New Roman" w:cs="Times New Roman"/>
          <w:sz w:val="18"/>
          <w:szCs w:val="18"/>
        </w:rPr>
        <w:t>,</w:t>
      </w:r>
      <w:proofErr w:type="spellStart"/>
      <w:r w:rsidRPr="00536BDA">
        <w:rPr>
          <w:rFonts w:ascii="Times New Roman" w:hAnsi="Times New Roman" w:cs="Times New Roman"/>
          <w:sz w:val="18"/>
          <w:szCs w:val="18"/>
        </w:rPr>
        <w:t>eGFR</w:t>
      </w:r>
      <w:proofErr w:type="spellEnd"/>
      <w:proofErr w:type="gramEnd"/>
      <w:r w:rsidRPr="00536BDA">
        <w:rPr>
          <w:rFonts w:ascii="Times New Roman" w:hAnsi="Times New Roman" w:cs="Times New Roman"/>
          <w:sz w:val="18"/>
          <w:szCs w:val="18"/>
        </w:rPr>
        <w:t xml:space="preserve"> is normalized in majority of patients  through-out the study period and also between every follow-up which statistically highly significant. None among the study population had progressed to dialysis dependency.</w:t>
      </w:r>
    </w:p>
    <w:p w:rsidR="00F54AA8" w:rsidRPr="00536BDA" w:rsidRDefault="00F54AA8" w:rsidP="00F54AA8">
      <w:pPr>
        <w:spacing w:after="0" w:line="360" w:lineRule="auto"/>
        <w:jc w:val="both"/>
        <w:rPr>
          <w:rFonts w:ascii="Times New Roman" w:hAnsi="Times New Roman" w:cs="Times New Roman"/>
          <w:sz w:val="18"/>
          <w:szCs w:val="18"/>
        </w:rPr>
      </w:pPr>
      <w:r w:rsidRPr="00536BDA">
        <w:rPr>
          <w:rFonts w:ascii="Times New Roman" w:hAnsi="Times New Roman" w:cs="Times New Roman"/>
          <w:b/>
          <w:sz w:val="18"/>
          <w:szCs w:val="18"/>
        </w:rPr>
        <w:t>Keywords:</w:t>
      </w:r>
      <w:r w:rsidRPr="00536BDA">
        <w:rPr>
          <w:rFonts w:ascii="Times New Roman" w:hAnsi="Times New Roman" w:cs="Times New Roman"/>
          <w:b/>
          <w:sz w:val="18"/>
          <w:szCs w:val="18"/>
        </w:rPr>
        <w:t xml:space="preserve"> </w:t>
      </w:r>
      <w:r w:rsidRPr="00536BDA">
        <w:rPr>
          <w:rFonts w:ascii="Times New Roman" w:hAnsi="Times New Roman" w:cs="Times New Roman"/>
          <w:sz w:val="18"/>
          <w:szCs w:val="18"/>
        </w:rPr>
        <w:t xml:space="preserve">Acute kidney </w:t>
      </w:r>
      <w:proofErr w:type="gramStart"/>
      <w:r w:rsidRPr="00536BDA">
        <w:rPr>
          <w:rFonts w:ascii="Times New Roman" w:hAnsi="Times New Roman" w:cs="Times New Roman"/>
          <w:sz w:val="18"/>
          <w:szCs w:val="18"/>
        </w:rPr>
        <w:t>injury ,</w:t>
      </w:r>
      <w:proofErr w:type="gramEnd"/>
      <w:r w:rsidRPr="00536BDA">
        <w:rPr>
          <w:rFonts w:ascii="Times New Roman" w:hAnsi="Times New Roman" w:cs="Times New Roman"/>
          <w:sz w:val="18"/>
          <w:szCs w:val="18"/>
        </w:rPr>
        <w:t xml:space="preserve"> RIFLE criteria.</w:t>
      </w:r>
    </w:p>
    <w:p w:rsidR="00F374D3" w:rsidRDefault="00F374D3" w:rsidP="00F374D3">
      <w:pPr>
        <w:spacing w:after="0" w:line="360" w:lineRule="auto"/>
        <w:jc w:val="both"/>
        <w:rPr>
          <w:rFonts w:ascii="Times New Roman" w:hAnsi="Times New Roman" w:cs="Times New Roman"/>
          <w:b/>
          <w:sz w:val="20"/>
          <w:szCs w:val="20"/>
        </w:rPr>
      </w:pPr>
    </w:p>
    <w:p w:rsidR="00F374D3" w:rsidRDefault="002F7824" w:rsidP="00F374D3">
      <w:pPr>
        <w:spacing w:after="0" w:line="360" w:lineRule="auto"/>
        <w:jc w:val="both"/>
        <w:rPr>
          <w:rFonts w:ascii="Times New Roman" w:hAnsi="Times New Roman" w:cs="Times New Roman"/>
          <w:b/>
          <w:color w:val="FFFF00"/>
          <w:sz w:val="20"/>
          <w:szCs w:val="20"/>
        </w:rPr>
      </w:pPr>
      <w:r w:rsidRPr="00F374D3">
        <w:rPr>
          <w:rFonts w:ascii="Times New Roman" w:hAnsi="Times New Roman" w:cs="Times New Roman"/>
          <w:b/>
          <w:sz w:val="20"/>
          <w:szCs w:val="20"/>
        </w:rPr>
        <w:t>I</w:t>
      </w:r>
      <w:r w:rsidR="00F374D3" w:rsidRPr="00F374D3">
        <w:rPr>
          <w:rFonts w:ascii="Times New Roman" w:hAnsi="Times New Roman" w:cs="Times New Roman"/>
          <w:b/>
          <w:sz w:val="20"/>
          <w:szCs w:val="20"/>
        </w:rPr>
        <w:t>ntroduction:</w:t>
      </w:r>
    </w:p>
    <w:p w:rsidR="00F374D3" w:rsidRDefault="002F7824" w:rsidP="00F374D3">
      <w:pPr>
        <w:spacing w:after="0" w:line="360" w:lineRule="auto"/>
        <w:jc w:val="both"/>
        <w:rPr>
          <w:rFonts w:ascii="Times New Roman" w:hAnsi="Times New Roman" w:cs="Times New Roman"/>
          <w:b/>
          <w:color w:val="FFFF00"/>
          <w:sz w:val="20"/>
          <w:szCs w:val="20"/>
        </w:rPr>
      </w:pPr>
      <w:r w:rsidRPr="00F374D3">
        <w:rPr>
          <w:rFonts w:ascii="Times New Roman" w:hAnsi="Times New Roman" w:cs="Times New Roman"/>
          <w:sz w:val="20"/>
          <w:szCs w:val="20"/>
        </w:rPr>
        <w:t>Acute kidney injury (AKI) is a major public health problem affecting millions of patients worldwide and leading to decreased survival, increased progression to underlying chronic kidney disease (CKD). AKI is not a single disease but rather a syndrome comprising multiple clinical conditions. Outcomes in AKI are influenced by the underlying disease causing the condition, as well as by the severity and duration of renal impairment and by the baseline condition of the patient. The detrimental effects of AKI are not limited to classical well-known symptoms such as fluid overload and electrolyte abnormalities. AKI can also lead to problems that are not readily appreciated at the bedside and can extend well beyond the ICU stay. This study will is done to look for long-term outcome in survivors of AKI based on definition and classification criteria for AKI given by AKIN and RIFLE systems</w:t>
      </w:r>
      <w:proofErr w:type="gramStart"/>
      <w:r w:rsidRPr="00F374D3">
        <w:rPr>
          <w:rFonts w:ascii="Times New Roman" w:hAnsi="Times New Roman" w:cs="Times New Roman"/>
          <w:sz w:val="20"/>
          <w:szCs w:val="20"/>
        </w:rPr>
        <w:t>.</w:t>
      </w:r>
      <w:r w:rsidRPr="00F374D3">
        <w:rPr>
          <w:rFonts w:ascii="Times New Roman" w:hAnsi="Times New Roman" w:cs="Times New Roman"/>
          <w:sz w:val="20"/>
          <w:szCs w:val="20"/>
          <w:vertAlign w:val="superscript"/>
        </w:rPr>
        <w:t>[</w:t>
      </w:r>
      <w:proofErr w:type="gramEnd"/>
      <w:r w:rsidRPr="00F374D3">
        <w:rPr>
          <w:rFonts w:ascii="Times New Roman" w:hAnsi="Times New Roman" w:cs="Times New Roman"/>
          <w:sz w:val="20"/>
          <w:szCs w:val="20"/>
          <w:vertAlign w:val="superscript"/>
        </w:rPr>
        <w:t>1]</w:t>
      </w:r>
    </w:p>
    <w:p w:rsidR="002F7824" w:rsidRPr="00F374D3" w:rsidRDefault="00F374D3" w:rsidP="00F374D3">
      <w:pPr>
        <w:spacing w:after="0" w:line="360" w:lineRule="auto"/>
        <w:jc w:val="both"/>
        <w:rPr>
          <w:rFonts w:ascii="Times New Roman" w:hAnsi="Times New Roman" w:cs="Times New Roman"/>
          <w:b/>
          <w:color w:val="FFFF00"/>
          <w:sz w:val="20"/>
          <w:szCs w:val="20"/>
        </w:rPr>
      </w:pPr>
      <w:r>
        <w:rPr>
          <w:rFonts w:ascii="Times New Roman" w:hAnsi="Times New Roman" w:cs="Times New Roman"/>
          <w:b/>
          <w:color w:val="FFFF00"/>
          <w:sz w:val="20"/>
          <w:szCs w:val="20"/>
        </w:rPr>
        <w:t xml:space="preserve">             </w:t>
      </w:r>
      <w:r w:rsidR="002F7824" w:rsidRPr="00F374D3">
        <w:rPr>
          <w:rFonts w:ascii="Times New Roman" w:hAnsi="Times New Roman" w:cs="Times New Roman"/>
          <w:sz w:val="20"/>
          <w:szCs w:val="20"/>
        </w:rPr>
        <w:t xml:space="preserve">The incidence of acute kidney injury (AKI) is increasing in hospitalized patients. The Acute Dialysis Quality Initiative (ADQI) consensus defines complete renal recovery as return to baseline classification within the RIFLE criteria and partial recovery as a change in RIFLE status in patient free of dialysis. In spite of this, few studies have evaluated renal recovery in the context of this recommendation. </w:t>
      </w:r>
      <w:r w:rsidR="00471C13" w:rsidRPr="00F374D3">
        <w:rPr>
          <w:rFonts w:ascii="Times New Roman" w:hAnsi="Times New Roman" w:cs="Times New Roman"/>
          <w:sz w:val="20"/>
          <w:szCs w:val="20"/>
          <w:vertAlign w:val="superscript"/>
        </w:rPr>
        <w:t>[2-8]</w:t>
      </w:r>
      <w:r w:rsidR="002F7824" w:rsidRPr="00F374D3">
        <w:rPr>
          <w:rFonts w:ascii="Times New Roman" w:hAnsi="Times New Roman" w:cs="Times New Roman"/>
          <w:sz w:val="20"/>
          <w:szCs w:val="20"/>
          <w:vertAlign w:val="superscript"/>
        </w:rPr>
        <w:t xml:space="preserve"> </w:t>
      </w:r>
      <w:r w:rsidR="002F7824" w:rsidRPr="00F374D3">
        <w:rPr>
          <w:rFonts w:ascii="Times New Roman" w:hAnsi="Times New Roman" w:cs="Times New Roman"/>
          <w:sz w:val="20"/>
          <w:szCs w:val="20"/>
        </w:rPr>
        <w:t xml:space="preserve">Ali et al found that 68% of their population had full renal recovery and 5% had partial recovery based on the return of serum </w:t>
      </w:r>
      <w:proofErr w:type="spellStart"/>
      <w:r w:rsidR="002F7824" w:rsidRPr="00F374D3">
        <w:rPr>
          <w:rFonts w:ascii="Times New Roman" w:hAnsi="Times New Roman" w:cs="Times New Roman"/>
          <w:sz w:val="20"/>
          <w:szCs w:val="20"/>
        </w:rPr>
        <w:t>creatinine</w:t>
      </w:r>
      <w:proofErr w:type="spellEnd"/>
      <w:r w:rsidR="002F7824" w:rsidRPr="00F374D3">
        <w:rPr>
          <w:rFonts w:ascii="Times New Roman" w:hAnsi="Times New Roman" w:cs="Times New Roman"/>
          <w:sz w:val="20"/>
          <w:szCs w:val="20"/>
        </w:rPr>
        <w:t xml:space="preserve"> to its baseline value. </w:t>
      </w:r>
      <w:r w:rsidR="00471C13" w:rsidRPr="00F374D3">
        <w:rPr>
          <w:rFonts w:ascii="Times New Roman" w:hAnsi="Times New Roman" w:cs="Times New Roman"/>
          <w:sz w:val="20"/>
          <w:szCs w:val="20"/>
          <w:vertAlign w:val="superscript"/>
        </w:rPr>
        <w:t>[9</w:t>
      </w:r>
      <w:r w:rsidR="002F7824" w:rsidRPr="00F374D3">
        <w:rPr>
          <w:rFonts w:ascii="Times New Roman" w:hAnsi="Times New Roman" w:cs="Times New Roman"/>
          <w:sz w:val="20"/>
          <w:szCs w:val="20"/>
          <w:vertAlign w:val="superscript"/>
        </w:rPr>
        <w:t>]</w:t>
      </w:r>
      <w:r w:rsidR="002F7824" w:rsidRPr="00F374D3">
        <w:rPr>
          <w:rFonts w:ascii="Times New Roman" w:hAnsi="Times New Roman" w:cs="Times New Roman"/>
          <w:sz w:val="20"/>
          <w:szCs w:val="20"/>
        </w:rPr>
        <w:t xml:space="preserve"> The factors associated with renal recovery or with progression to ESRD after an episode of AKI are not well established. Despite increasing recognition that renal recovery after AKI is an important outcome, surprisingly little data defining this outcome is available. In our study we included 80 patients who are diagnosed to have acute </w:t>
      </w:r>
      <w:r w:rsidR="002F7824" w:rsidRPr="00F374D3">
        <w:rPr>
          <w:rFonts w:ascii="Times New Roman" w:hAnsi="Times New Roman" w:cs="Times New Roman"/>
          <w:sz w:val="20"/>
          <w:szCs w:val="20"/>
        </w:rPr>
        <w:lastRenderedPageBreak/>
        <w:t>kidney injury (including both the patients with and without renal replacement therapy) and followed up periodically for about one year from the date of discharge describing the pattern of renal recovery accordingly.</w:t>
      </w:r>
    </w:p>
    <w:p w:rsidR="00B61870" w:rsidRPr="00F374D3" w:rsidRDefault="00B61870" w:rsidP="00F374D3">
      <w:pPr>
        <w:spacing w:after="0" w:line="360" w:lineRule="auto"/>
        <w:jc w:val="both"/>
        <w:rPr>
          <w:rFonts w:ascii="Times New Roman" w:hAnsi="Times New Roman" w:cs="Times New Roman"/>
          <w:b/>
          <w:sz w:val="20"/>
          <w:szCs w:val="20"/>
        </w:rPr>
      </w:pPr>
      <w:r w:rsidRPr="00F374D3">
        <w:rPr>
          <w:rFonts w:ascii="Times New Roman" w:hAnsi="Times New Roman" w:cs="Times New Roman"/>
          <w:b/>
          <w:sz w:val="20"/>
          <w:szCs w:val="20"/>
        </w:rPr>
        <w:t>M</w:t>
      </w:r>
      <w:r w:rsidR="00F374D3" w:rsidRPr="00F374D3">
        <w:rPr>
          <w:rFonts w:ascii="Times New Roman" w:hAnsi="Times New Roman" w:cs="Times New Roman"/>
          <w:b/>
          <w:sz w:val="20"/>
          <w:szCs w:val="20"/>
        </w:rPr>
        <w:t>aterials and methods:</w:t>
      </w:r>
    </w:p>
    <w:p w:rsidR="00B61870" w:rsidRPr="00F374D3" w:rsidRDefault="00F374D3" w:rsidP="00F374D3">
      <w:pPr>
        <w:spacing w:after="0" w:line="360" w:lineRule="auto"/>
        <w:jc w:val="both"/>
        <w:rPr>
          <w:rFonts w:ascii="Times New Roman" w:hAnsi="Times New Roman" w:cs="Times New Roman"/>
          <w:sz w:val="20"/>
          <w:szCs w:val="20"/>
        </w:rPr>
      </w:pPr>
      <w:r>
        <w:rPr>
          <w:rFonts w:ascii="Times New Roman" w:hAnsi="Times New Roman" w:cs="Times New Roman"/>
          <w:bCs/>
          <w:sz w:val="20"/>
          <w:szCs w:val="20"/>
        </w:rPr>
        <w:t xml:space="preserve">This was </w:t>
      </w:r>
      <w:r>
        <w:rPr>
          <w:rFonts w:ascii="Times New Roman" w:hAnsi="Times New Roman" w:cs="Times New Roman"/>
          <w:sz w:val="20"/>
          <w:szCs w:val="20"/>
        </w:rPr>
        <w:t xml:space="preserve">Prospective follow up study conducted at </w:t>
      </w:r>
      <w:r w:rsidR="00B61870" w:rsidRPr="00F374D3">
        <w:rPr>
          <w:rFonts w:ascii="Times New Roman" w:hAnsi="Times New Roman" w:cs="Times New Roman"/>
          <w:sz w:val="20"/>
          <w:szCs w:val="20"/>
        </w:rPr>
        <w:t>NRI INSTITUTE OF ME</w:t>
      </w:r>
      <w:r>
        <w:rPr>
          <w:rFonts w:ascii="Times New Roman" w:hAnsi="Times New Roman" w:cs="Times New Roman"/>
          <w:sz w:val="20"/>
          <w:szCs w:val="20"/>
        </w:rPr>
        <w:t>DICAL SCIENCES for two years duration.  Study subjects were i</w:t>
      </w:r>
      <w:r w:rsidR="00B61870" w:rsidRPr="00F374D3">
        <w:rPr>
          <w:rFonts w:ascii="Times New Roman" w:hAnsi="Times New Roman" w:cs="Times New Roman"/>
          <w:sz w:val="20"/>
          <w:szCs w:val="20"/>
        </w:rPr>
        <w:t xml:space="preserve">ndividuals who are aged above 15 years </w:t>
      </w:r>
      <w:proofErr w:type="gramStart"/>
      <w:r w:rsidR="00B61870" w:rsidRPr="00F374D3">
        <w:rPr>
          <w:rFonts w:ascii="Times New Roman" w:hAnsi="Times New Roman" w:cs="Times New Roman"/>
          <w:sz w:val="20"/>
          <w:szCs w:val="20"/>
        </w:rPr>
        <w:t xml:space="preserve">and </w:t>
      </w:r>
      <w:r>
        <w:rPr>
          <w:rFonts w:ascii="Times New Roman" w:hAnsi="Times New Roman" w:cs="Times New Roman"/>
          <w:sz w:val="20"/>
          <w:szCs w:val="20"/>
        </w:rPr>
        <w:t xml:space="preserve"> </w:t>
      </w:r>
      <w:r w:rsidR="00B61870" w:rsidRPr="00F374D3">
        <w:rPr>
          <w:rFonts w:ascii="Times New Roman" w:hAnsi="Times New Roman" w:cs="Times New Roman"/>
          <w:sz w:val="20"/>
          <w:szCs w:val="20"/>
        </w:rPr>
        <w:t>diagnosed</w:t>
      </w:r>
      <w:proofErr w:type="gramEnd"/>
      <w:r w:rsidR="00B61870" w:rsidRPr="00F374D3">
        <w:rPr>
          <w:rFonts w:ascii="Times New Roman" w:hAnsi="Times New Roman" w:cs="Times New Roman"/>
          <w:sz w:val="20"/>
          <w:szCs w:val="20"/>
        </w:rPr>
        <w:t xml:space="preserve"> to have AKI according to AKIN (or) RIFLE criteria.</w:t>
      </w:r>
    </w:p>
    <w:p w:rsidR="00B61870" w:rsidRPr="00F374D3" w:rsidRDefault="00B61870"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bCs/>
          <w:kern w:val="24"/>
          <w:sz w:val="20"/>
          <w:szCs w:val="20"/>
        </w:rPr>
        <w:t>INCLUSION CRITERIA</w:t>
      </w:r>
      <w:r w:rsidR="00127A07" w:rsidRPr="00F374D3">
        <w:rPr>
          <w:rFonts w:ascii="Times New Roman" w:hAnsi="Times New Roman" w:cs="Times New Roman"/>
          <w:bCs/>
          <w:kern w:val="24"/>
          <w:sz w:val="20"/>
          <w:szCs w:val="20"/>
        </w:rPr>
        <w:t>:</w:t>
      </w:r>
    </w:p>
    <w:p w:rsidR="00B61870" w:rsidRPr="00F374D3" w:rsidRDefault="00B61870"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kern w:val="24"/>
          <w:sz w:val="20"/>
          <w:szCs w:val="20"/>
        </w:rPr>
        <w:t>Patients who were diagnosed with AKI according to AKIN</w:t>
      </w:r>
    </w:p>
    <w:p w:rsidR="00B61870" w:rsidRPr="00F374D3" w:rsidRDefault="00B61870"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bCs/>
          <w:kern w:val="24"/>
          <w:sz w:val="20"/>
          <w:szCs w:val="20"/>
        </w:rPr>
        <w:t>EXCLUSION CRITERIA</w:t>
      </w:r>
      <w:r w:rsidR="00127A07" w:rsidRPr="00F374D3">
        <w:rPr>
          <w:rFonts w:ascii="Times New Roman" w:hAnsi="Times New Roman" w:cs="Times New Roman"/>
          <w:bCs/>
          <w:kern w:val="24"/>
          <w:sz w:val="20"/>
          <w:szCs w:val="20"/>
        </w:rPr>
        <w:t>:</w:t>
      </w:r>
    </w:p>
    <w:p w:rsidR="00B61870" w:rsidRPr="00F374D3" w:rsidRDefault="00B61870" w:rsidP="00F374D3">
      <w:pPr>
        <w:pStyle w:val="ListParagraph"/>
        <w:numPr>
          <w:ilvl w:val="0"/>
          <w:numId w:val="2"/>
        </w:numPr>
        <w:spacing w:after="0" w:line="360" w:lineRule="auto"/>
        <w:jc w:val="both"/>
        <w:rPr>
          <w:sz w:val="20"/>
          <w:szCs w:val="20"/>
        </w:rPr>
      </w:pPr>
      <w:r w:rsidRPr="00F374D3">
        <w:rPr>
          <w:kern w:val="24"/>
          <w:sz w:val="20"/>
          <w:szCs w:val="20"/>
          <w:lang w:val="en-US"/>
        </w:rPr>
        <w:t>Patients with acute worsening of chronic kidney disease.</w:t>
      </w:r>
    </w:p>
    <w:p w:rsidR="00B61870" w:rsidRPr="00F374D3" w:rsidRDefault="00B61870" w:rsidP="00F374D3">
      <w:pPr>
        <w:pStyle w:val="ListParagraph"/>
        <w:numPr>
          <w:ilvl w:val="0"/>
          <w:numId w:val="2"/>
        </w:numPr>
        <w:spacing w:after="0" w:line="360" w:lineRule="auto"/>
        <w:jc w:val="both"/>
        <w:rPr>
          <w:sz w:val="20"/>
          <w:szCs w:val="20"/>
        </w:rPr>
      </w:pPr>
      <w:r w:rsidRPr="00F374D3">
        <w:rPr>
          <w:kern w:val="24"/>
          <w:sz w:val="20"/>
          <w:szCs w:val="20"/>
          <w:lang w:val="en-US"/>
        </w:rPr>
        <w:t>Patients who are already diagnosed with chronic kidney disease and on treatment.</w:t>
      </w:r>
    </w:p>
    <w:p w:rsidR="00B61870" w:rsidRPr="00F374D3" w:rsidRDefault="00B61870" w:rsidP="00F374D3">
      <w:pPr>
        <w:pStyle w:val="ListParagraph"/>
        <w:numPr>
          <w:ilvl w:val="0"/>
          <w:numId w:val="2"/>
        </w:numPr>
        <w:spacing w:after="0" w:line="360" w:lineRule="auto"/>
        <w:jc w:val="both"/>
        <w:rPr>
          <w:sz w:val="20"/>
          <w:szCs w:val="20"/>
        </w:rPr>
      </w:pPr>
      <w:r w:rsidRPr="00F374D3">
        <w:rPr>
          <w:kern w:val="24"/>
          <w:sz w:val="20"/>
          <w:szCs w:val="20"/>
          <w:lang w:val="en-US"/>
        </w:rPr>
        <w:t>Patients with co-morbid conditions like diabetes mellitus</w:t>
      </w:r>
      <w:r w:rsidRPr="00F374D3">
        <w:rPr>
          <w:color w:val="000000"/>
          <w:kern w:val="24"/>
          <w:sz w:val="20"/>
          <w:szCs w:val="20"/>
          <w:lang w:val="en-US"/>
        </w:rPr>
        <w:t xml:space="preserve">, essential hypertension and structural kidney diseases like polycystic kidney disease, medullary sponge kidney etc. are excluded. </w:t>
      </w:r>
    </w:p>
    <w:p w:rsidR="00B61870" w:rsidRPr="00F374D3" w:rsidRDefault="00B61870" w:rsidP="00F374D3">
      <w:pPr>
        <w:spacing w:after="0" w:line="360" w:lineRule="auto"/>
        <w:jc w:val="both"/>
        <w:rPr>
          <w:rFonts w:ascii="Times New Roman" w:hAnsi="Times New Roman" w:cs="Times New Roman"/>
          <w:sz w:val="20"/>
          <w:szCs w:val="20"/>
        </w:rPr>
      </w:pPr>
    </w:p>
    <w:p w:rsidR="00B61870" w:rsidRPr="00F374D3" w:rsidRDefault="00B61870"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bCs/>
          <w:sz w:val="20"/>
          <w:szCs w:val="20"/>
        </w:rPr>
        <w:t xml:space="preserve">METHODOLOGY:  </w:t>
      </w:r>
    </w:p>
    <w:p w:rsidR="00065F92" w:rsidRPr="00F374D3" w:rsidRDefault="00B61870"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 xml:space="preserve">This study included follow-up study of 80 survivors of AKI  patients with serum urea, serum </w:t>
      </w:r>
      <w:proofErr w:type="spellStart"/>
      <w:r w:rsidRPr="00F374D3">
        <w:rPr>
          <w:rFonts w:ascii="Times New Roman" w:hAnsi="Times New Roman" w:cs="Times New Roman"/>
          <w:sz w:val="20"/>
          <w:szCs w:val="20"/>
        </w:rPr>
        <w:t>creatinine</w:t>
      </w:r>
      <w:proofErr w:type="spellEnd"/>
      <w:r w:rsidRPr="00F374D3">
        <w:rPr>
          <w:rFonts w:ascii="Times New Roman" w:hAnsi="Times New Roman" w:cs="Times New Roman"/>
          <w:sz w:val="20"/>
          <w:szCs w:val="20"/>
        </w:rPr>
        <w:t xml:space="preserve">, serum electrolytes (low Hco3, </w:t>
      </w:r>
      <w:proofErr w:type="spellStart"/>
      <w:r w:rsidRPr="00F374D3">
        <w:rPr>
          <w:rFonts w:ascii="Times New Roman" w:hAnsi="Times New Roman" w:cs="Times New Roman"/>
          <w:sz w:val="20"/>
          <w:szCs w:val="20"/>
        </w:rPr>
        <w:t>hyperkalemia</w:t>
      </w:r>
      <w:proofErr w:type="spellEnd"/>
      <w:r w:rsidRPr="00F374D3">
        <w:rPr>
          <w:rFonts w:ascii="Times New Roman" w:hAnsi="Times New Roman" w:cs="Times New Roman"/>
          <w:sz w:val="20"/>
          <w:szCs w:val="20"/>
        </w:rPr>
        <w:t xml:space="preserve">, </w:t>
      </w:r>
      <w:proofErr w:type="spellStart"/>
      <w:r w:rsidRPr="00F374D3">
        <w:rPr>
          <w:rFonts w:ascii="Times New Roman" w:hAnsi="Times New Roman" w:cs="Times New Roman"/>
          <w:sz w:val="20"/>
          <w:szCs w:val="20"/>
        </w:rPr>
        <w:t>hyponatremia</w:t>
      </w:r>
      <w:proofErr w:type="spellEnd"/>
      <w:r w:rsidRPr="00F374D3">
        <w:rPr>
          <w:rFonts w:ascii="Times New Roman" w:hAnsi="Times New Roman" w:cs="Times New Roman"/>
          <w:sz w:val="20"/>
          <w:szCs w:val="20"/>
        </w:rPr>
        <w:t xml:space="preserve">), </w:t>
      </w:r>
      <w:proofErr w:type="spellStart"/>
      <w:r w:rsidRPr="00F374D3">
        <w:rPr>
          <w:rFonts w:ascii="Times New Roman" w:hAnsi="Times New Roman" w:cs="Times New Roman"/>
          <w:sz w:val="20"/>
          <w:szCs w:val="20"/>
        </w:rPr>
        <w:t>Haemogram</w:t>
      </w:r>
      <w:proofErr w:type="spellEnd"/>
      <w:r w:rsidRPr="00F374D3">
        <w:rPr>
          <w:rFonts w:ascii="Times New Roman" w:hAnsi="Times New Roman" w:cs="Times New Roman"/>
          <w:sz w:val="20"/>
          <w:szCs w:val="20"/>
        </w:rPr>
        <w:t xml:space="preserve"> (abnormal haemoglobin, leukocytosis, thrombocytopenia), Urine routine examination (</w:t>
      </w:r>
      <w:proofErr w:type="spellStart"/>
      <w:r w:rsidRPr="00F374D3">
        <w:rPr>
          <w:rFonts w:ascii="Times New Roman" w:hAnsi="Times New Roman" w:cs="Times New Roman"/>
          <w:sz w:val="20"/>
          <w:szCs w:val="20"/>
        </w:rPr>
        <w:t>pyuria</w:t>
      </w:r>
      <w:proofErr w:type="spellEnd"/>
      <w:r w:rsidRPr="00F374D3">
        <w:rPr>
          <w:rFonts w:ascii="Times New Roman" w:hAnsi="Times New Roman" w:cs="Times New Roman"/>
          <w:sz w:val="20"/>
          <w:szCs w:val="20"/>
        </w:rPr>
        <w:t xml:space="preserve">, </w:t>
      </w:r>
      <w:proofErr w:type="spellStart"/>
      <w:r w:rsidRPr="00F374D3">
        <w:rPr>
          <w:rFonts w:ascii="Times New Roman" w:hAnsi="Times New Roman" w:cs="Times New Roman"/>
          <w:sz w:val="20"/>
          <w:szCs w:val="20"/>
        </w:rPr>
        <w:t>hematuria</w:t>
      </w:r>
      <w:proofErr w:type="spellEnd"/>
      <w:r w:rsidRPr="00F374D3">
        <w:rPr>
          <w:rFonts w:ascii="Times New Roman" w:hAnsi="Times New Roman" w:cs="Times New Roman"/>
          <w:sz w:val="20"/>
          <w:szCs w:val="20"/>
        </w:rPr>
        <w:t xml:space="preserve"> and proteinuria), Renal biopsy (where-ever indicated), Ultrasonography of abdomen and pelvis (as required), at admission, at discharge, at three months, at six months and at one year from  </w:t>
      </w:r>
      <w:r w:rsidR="008B0395" w:rsidRPr="00F374D3">
        <w:rPr>
          <w:rFonts w:ascii="Times New Roman" w:hAnsi="Times New Roman" w:cs="Times New Roman"/>
          <w:sz w:val="20"/>
          <w:szCs w:val="20"/>
        </w:rPr>
        <w:t xml:space="preserve">NRI INSTITUTE OF MEDICAL SCIENCES, VISAKHAPATNAM </w:t>
      </w:r>
      <w:r w:rsidR="00065F92" w:rsidRPr="00F374D3">
        <w:rPr>
          <w:rFonts w:ascii="Times New Roman" w:hAnsi="Times New Roman" w:cs="Times New Roman"/>
          <w:sz w:val="20"/>
          <w:szCs w:val="20"/>
        </w:rPr>
        <w:t xml:space="preserve">from AUGUST 2018  To  JULY 2019. </w:t>
      </w:r>
    </w:p>
    <w:p w:rsidR="00F54AA8" w:rsidRDefault="00F54AA8" w:rsidP="00F374D3">
      <w:pPr>
        <w:spacing w:after="0" w:line="360" w:lineRule="auto"/>
        <w:jc w:val="both"/>
        <w:rPr>
          <w:rFonts w:ascii="Times New Roman" w:eastAsia="Batang" w:hAnsi="Times New Roman" w:cs="Times New Roman"/>
          <w:b/>
          <w:sz w:val="20"/>
          <w:szCs w:val="20"/>
        </w:rPr>
      </w:pPr>
    </w:p>
    <w:p w:rsidR="00065F92" w:rsidRPr="00F374D3" w:rsidRDefault="00065F92" w:rsidP="00F374D3">
      <w:pPr>
        <w:spacing w:after="0" w:line="360" w:lineRule="auto"/>
        <w:jc w:val="both"/>
        <w:rPr>
          <w:rFonts w:ascii="Times New Roman" w:eastAsia="Batang" w:hAnsi="Times New Roman" w:cs="Times New Roman"/>
          <w:b/>
          <w:sz w:val="20"/>
          <w:szCs w:val="20"/>
        </w:rPr>
      </w:pPr>
      <w:r w:rsidRPr="00F374D3">
        <w:rPr>
          <w:rFonts w:ascii="Times New Roman" w:eastAsia="Batang" w:hAnsi="Times New Roman" w:cs="Times New Roman"/>
          <w:b/>
          <w:sz w:val="20"/>
          <w:szCs w:val="20"/>
        </w:rPr>
        <w:t>O</w:t>
      </w:r>
      <w:r w:rsidR="00F54AA8" w:rsidRPr="00F374D3">
        <w:rPr>
          <w:rFonts w:ascii="Times New Roman" w:eastAsia="Batang" w:hAnsi="Times New Roman" w:cs="Times New Roman"/>
          <w:b/>
          <w:sz w:val="20"/>
          <w:szCs w:val="20"/>
        </w:rPr>
        <w:t>bservations and results:</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This is a prospective follow-up study done in</w:t>
      </w:r>
      <w:r w:rsidR="00381C95" w:rsidRPr="00F374D3">
        <w:rPr>
          <w:rFonts w:ascii="Times New Roman" w:hAnsi="Times New Roman" w:cs="Times New Roman"/>
          <w:sz w:val="20"/>
          <w:szCs w:val="20"/>
        </w:rPr>
        <w:t xml:space="preserve"> NRI INSTITUTE OF MEDICAL SCIENCES, VISAKHAPATNAM</w:t>
      </w:r>
      <w:r w:rsidRPr="00F374D3">
        <w:rPr>
          <w:rFonts w:ascii="Times New Roman" w:hAnsi="Times New Roman" w:cs="Times New Roman"/>
          <w:sz w:val="20"/>
          <w:szCs w:val="20"/>
        </w:rPr>
        <w:t xml:space="preserve">. The data was collected as per </w:t>
      </w:r>
      <w:proofErr w:type="spellStart"/>
      <w:r w:rsidRPr="00F374D3">
        <w:rPr>
          <w:rFonts w:ascii="Times New Roman" w:hAnsi="Times New Roman" w:cs="Times New Roman"/>
          <w:sz w:val="20"/>
          <w:szCs w:val="20"/>
        </w:rPr>
        <w:t>proforma</w:t>
      </w:r>
      <w:proofErr w:type="spellEnd"/>
      <w:r w:rsidRPr="00F374D3">
        <w:rPr>
          <w:rFonts w:ascii="Times New Roman" w:hAnsi="Times New Roman" w:cs="Times New Roman"/>
          <w:sz w:val="20"/>
          <w:szCs w:val="20"/>
        </w:rPr>
        <w:t xml:space="preserve"> and analysed. The results of study are depicted below.</w:t>
      </w:r>
    </w:p>
    <w:p w:rsidR="00065F92" w:rsidRPr="00F374D3" w:rsidRDefault="00065F92" w:rsidP="00F374D3">
      <w:pPr>
        <w:spacing w:after="0" w:line="360" w:lineRule="auto"/>
        <w:jc w:val="both"/>
        <w:rPr>
          <w:rFonts w:ascii="Times New Roman" w:hAnsi="Times New Roman" w:cs="Times New Roman"/>
          <w:b/>
          <w:sz w:val="20"/>
          <w:szCs w:val="20"/>
        </w:rPr>
      </w:pPr>
    </w:p>
    <w:p w:rsidR="00065F92" w:rsidRPr="00F374D3" w:rsidRDefault="00065F92" w:rsidP="00F374D3">
      <w:pPr>
        <w:spacing w:after="0" w:line="360" w:lineRule="auto"/>
        <w:jc w:val="both"/>
        <w:rPr>
          <w:rFonts w:ascii="Times New Roman" w:hAnsi="Times New Roman" w:cs="Times New Roman"/>
          <w:b/>
          <w:sz w:val="20"/>
          <w:szCs w:val="20"/>
        </w:rPr>
      </w:pPr>
      <w:r w:rsidRPr="00F374D3">
        <w:rPr>
          <w:rFonts w:ascii="Times New Roman" w:hAnsi="Times New Roman" w:cs="Times New Roman"/>
          <w:b/>
          <w:sz w:val="20"/>
          <w:szCs w:val="20"/>
        </w:rPr>
        <w:t>TABLE 1: GENDER DISTRIBUTION</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3" w:type="dxa"/>
          <w:right w:w="93" w:type="dxa"/>
        </w:tblCellMar>
        <w:tblLook w:val="0000" w:firstRow="0" w:lastRow="0" w:firstColumn="0" w:lastColumn="0" w:noHBand="0" w:noVBand="0"/>
      </w:tblPr>
      <w:tblGrid>
        <w:gridCol w:w="2421"/>
        <w:gridCol w:w="4002"/>
        <w:gridCol w:w="3123"/>
      </w:tblGrid>
      <w:tr w:rsidR="00065F92" w:rsidRPr="00F374D3" w:rsidTr="00065F92">
        <w:trPr>
          <w:trHeight w:val="282"/>
          <w:jc w:val="center"/>
        </w:trPr>
        <w:tc>
          <w:tcPr>
            <w:tcW w:w="1268" w:type="pct"/>
            <w:shd w:val="clear" w:color="000000" w:fill="FFFFFF"/>
            <w:vAlign w:val="bottom"/>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SEX</w:t>
            </w:r>
          </w:p>
        </w:tc>
        <w:tc>
          <w:tcPr>
            <w:tcW w:w="2096" w:type="pct"/>
            <w:shd w:val="clear" w:color="000000" w:fill="FFFFFF"/>
            <w:vAlign w:val="bottom"/>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FREQUENCY</w:t>
            </w:r>
          </w:p>
        </w:tc>
        <w:tc>
          <w:tcPr>
            <w:tcW w:w="1636" w:type="pct"/>
            <w:shd w:val="clear" w:color="000000" w:fill="FFFFFF"/>
            <w:vAlign w:val="bottom"/>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PERCENT</w:t>
            </w:r>
          </w:p>
        </w:tc>
      </w:tr>
      <w:tr w:rsidR="00065F92" w:rsidRPr="00F374D3" w:rsidTr="00065F92">
        <w:trPr>
          <w:trHeight w:val="153"/>
          <w:jc w:val="center"/>
        </w:trPr>
        <w:tc>
          <w:tcPr>
            <w:tcW w:w="1268" w:type="pct"/>
            <w:shd w:val="clear" w:color="000000" w:fill="FFFFFF"/>
          </w:tcPr>
          <w:p w:rsidR="00065F92" w:rsidRPr="00F374D3" w:rsidRDefault="00065F92" w:rsidP="00F374D3">
            <w:pPr>
              <w:autoSpaceDE w:val="0"/>
              <w:autoSpaceDN w:val="0"/>
              <w:adjustRightInd w:val="0"/>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 xml:space="preserve"> F</w:t>
            </w:r>
          </w:p>
        </w:tc>
        <w:tc>
          <w:tcPr>
            <w:tcW w:w="2096" w:type="pct"/>
            <w:shd w:val="clear" w:color="000000" w:fill="FFFFFF"/>
            <w:vAlign w:val="bottom"/>
          </w:tcPr>
          <w:p w:rsidR="00065F92" w:rsidRPr="00F374D3" w:rsidRDefault="00BD07CC"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31</w:t>
            </w:r>
          </w:p>
        </w:tc>
        <w:tc>
          <w:tcPr>
            <w:tcW w:w="1636" w:type="pct"/>
            <w:shd w:val="clear" w:color="000000" w:fill="FFFFFF"/>
            <w:vAlign w:val="bottom"/>
          </w:tcPr>
          <w:p w:rsidR="00065F92" w:rsidRPr="00F374D3" w:rsidRDefault="00BD07CC"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39</w:t>
            </w:r>
          </w:p>
        </w:tc>
      </w:tr>
      <w:tr w:rsidR="00065F92" w:rsidRPr="00F374D3" w:rsidTr="00065F92">
        <w:trPr>
          <w:trHeight w:val="153"/>
          <w:jc w:val="center"/>
        </w:trPr>
        <w:tc>
          <w:tcPr>
            <w:tcW w:w="1268" w:type="pct"/>
            <w:shd w:val="clear" w:color="000000" w:fill="FFFFFF"/>
          </w:tcPr>
          <w:p w:rsidR="00065F92" w:rsidRPr="00F374D3" w:rsidRDefault="00065F92" w:rsidP="00F374D3">
            <w:pPr>
              <w:autoSpaceDE w:val="0"/>
              <w:autoSpaceDN w:val="0"/>
              <w:adjustRightInd w:val="0"/>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 xml:space="preserve"> M</w:t>
            </w:r>
          </w:p>
        </w:tc>
        <w:tc>
          <w:tcPr>
            <w:tcW w:w="2096" w:type="pct"/>
            <w:shd w:val="clear" w:color="000000" w:fill="FFFFFF"/>
            <w:vAlign w:val="bottom"/>
          </w:tcPr>
          <w:p w:rsidR="00065F92" w:rsidRPr="00F374D3" w:rsidRDefault="00BD07CC"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49</w:t>
            </w:r>
          </w:p>
        </w:tc>
        <w:tc>
          <w:tcPr>
            <w:tcW w:w="1636" w:type="pct"/>
            <w:shd w:val="clear" w:color="000000" w:fill="FFFFFF"/>
            <w:vAlign w:val="bottom"/>
          </w:tcPr>
          <w:p w:rsidR="00065F92" w:rsidRPr="00F374D3" w:rsidRDefault="00BD07CC"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61</w:t>
            </w:r>
          </w:p>
        </w:tc>
      </w:tr>
      <w:tr w:rsidR="00065F92" w:rsidRPr="00F374D3" w:rsidTr="00065F92">
        <w:trPr>
          <w:trHeight w:val="354"/>
          <w:jc w:val="center"/>
        </w:trPr>
        <w:tc>
          <w:tcPr>
            <w:tcW w:w="1268" w:type="pct"/>
            <w:shd w:val="clear" w:color="000000" w:fill="FFFFFF"/>
          </w:tcPr>
          <w:p w:rsidR="00065F92" w:rsidRPr="00F374D3" w:rsidRDefault="00065F92" w:rsidP="00F374D3">
            <w:pPr>
              <w:autoSpaceDE w:val="0"/>
              <w:autoSpaceDN w:val="0"/>
              <w:adjustRightInd w:val="0"/>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 xml:space="preserve"> TOTAL</w:t>
            </w:r>
          </w:p>
        </w:tc>
        <w:tc>
          <w:tcPr>
            <w:tcW w:w="2096" w:type="pct"/>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80</w:t>
            </w:r>
          </w:p>
        </w:tc>
        <w:tc>
          <w:tcPr>
            <w:tcW w:w="1636" w:type="pct"/>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100</w:t>
            </w:r>
          </w:p>
        </w:tc>
      </w:tr>
    </w:tbl>
    <w:p w:rsidR="00065F92" w:rsidRPr="00F374D3" w:rsidRDefault="00065F92" w:rsidP="00F374D3">
      <w:pPr>
        <w:spacing w:after="0" w:line="360" w:lineRule="auto"/>
        <w:jc w:val="both"/>
        <w:rPr>
          <w:rFonts w:ascii="Times New Roman" w:hAnsi="Times New Roman" w:cs="Times New Roman"/>
          <w:b/>
          <w:sz w:val="20"/>
          <w:szCs w:val="20"/>
        </w:rPr>
      </w:pPr>
    </w:p>
    <w:p w:rsidR="00F54AA8" w:rsidRDefault="00F54AA8" w:rsidP="00F374D3">
      <w:pPr>
        <w:spacing w:after="0" w:line="360" w:lineRule="auto"/>
        <w:jc w:val="both"/>
        <w:rPr>
          <w:rFonts w:ascii="Times New Roman" w:hAnsi="Times New Roman" w:cs="Times New Roman"/>
          <w:b/>
          <w:sz w:val="20"/>
          <w:szCs w:val="20"/>
        </w:rPr>
      </w:pPr>
    </w:p>
    <w:p w:rsidR="00F54AA8" w:rsidRDefault="00F54AA8" w:rsidP="00F374D3">
      <w:pPr>
        <w:spacing w:after="0" w:line="360" w:lineRule="auto"/>
        <w:jc w:val="both"/>
        <w:rPr>
          <w:rFonts w:ascii="Times New Roman" w:hAnsi="Times New Roman" w:cs="Times New Roman"/>
          <w:b/>
          <w:sz w:val="20"/>
          <w:szCs w:val="20"/>
        </w:rPr>
      </w:pPr>
    </w:p>
    <w:p w:rsidR="00F54AA8" w:rsidRDefault="00F54AA8" w:rsidP="00F374D3">
      <w:pPr>
        <w:spacing w:after="0" w:line="360" w:lineRule="auto"/>
        <w:jc w:val="both"/>
        <w:rPr>
          <w:rFonts w:ascii="Times New Roman" w:hAnsi="Times New Roman" w:cs="Times New Roman"/>
          <w:b/>
          <w:sz w:val="20"/>
          <w:szCs w:val="20"/>
        </w:rPr>
      </w:pPr>
    </w:p>
    <w:p w:rsidR="00F54AA8" w:rsidRDefault="00F54AA8" w:rsidP="00F374D3">
      <w:pPr>
        <w:spacing w:after="0" w:line="360" w:lineRule="auto"/>
        <w:jc w:val="both"/>
        <w:rPr>
          <w:rFonts w:ascii="Times New Roman" w:hAnsi="Times New Roman" w:cs="Times New Roman"/>
          <w:b/>
          <w:sz w:val="20"/>
          <w:szCs w:val="20"/>
        </w:rPr>
      </w:pPr>
    </w:p>
    <w:p w:rsidR="00F54AA8" w:rsidRDefault="00F54AA8" w:rsidP="00F374D3">
      <w:pPr>
        <w:spacing w:after="0" w:line="360" w:lineRule="auto"/>
        <w:jc w:val="both"/>
        <w:rPr>
          <w:rFonts w:ascii="Times New Roman" w:hAnsi="Times New Roman" w:cs="Times New Roman"/>
          <w:b/>
          <w:sz w:val="20"/>
          <w:szCs w:val="20"/>
        </w:rPr>
      </w:pPr>
    </w:p>
    <w:p w:rsidR="00F54AA8" w:rsidRDefault="00F54AA8" w:rsidP="00F374D3">
      <w:pPr>
        <w:spacing w:after="0" w:line="360" w:lineRule="auto"/>
        <w:jc w:val="both"/>
        <w:rPr>
          <w:rFonts w:ascii="Times New Roman" w:hAnsi="Times New Roman" w:cs="Times New Roman"/>
          <w:b/>
          <w:sz w:val="20"/>
          <w:szCs w:val="20"/>
        </w:rPr>
      </w:pPr>
    </w:p>
    <w:p w:rsidR="00065F92" w:rsidRPr="00F374D3" w:rsidRDefault="00381C95" w:rsidP="00F374D3">
      <w:pPr>
        <w:spacing w:after="0" w:line="360" w:lineRule="auto"/>
        <w:jc w:val="both"/>
        <w:rPr>
          <w:rFonts w:ascii="Times New Roman" w:hAnsi="Times New Roman" w:cs="Times New Roman"/>
          <w:b/>
          <w:sz w:val="20"/>
          <w:szCs w:val="20"/>
        </w:rPr>
      </w:pPr>
      <w:r w:rsidRPr="00F374D3">
        <w:rPr>
          <w:rFonts w:ascii="Times New Roman" w:hAnsi="Times New Roman" w:cs="Times New Roman"/>
          <w:b/>
          <w:sz w:val="20"/>
          <w:szCs w:val="20"/>
        </w:rPr>
        <w:t>TABLE 2</w:t>
      </w:r>
      <w:r w:rsidR="00065F92" w:rsidRPr="00F374D3">
        <w:rPr>
          <w:rFonts w:ascii="Times New Roman" w:hAnsi="Times New Roman" w:cs="Times New Roman"/>
          <w:b/>
          <w:sz w:val="20"/>
          <w:szCs w:val="20"/>
        </w:rPr>
        <w:t>: Incidence of AKI based on etiology</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3" w:type="dxa"/>
          <w:right w:w="93" w:type="dxa"/>
        </w:tblCellMar>
        <w:tblLook w:val="0000" w:firstRow="0" w:lastRow="0" w:firstColumn="0" w:lastColumn="0" w:noHBand="0" w:noVBand="0"/>
      </w:tblPr>
      <w:tblGrid>
        <w:gridCol w:w="5472"/>
        <w:gridCol w:w="2266"/>
        <w:gridCol w:w="1808"/>
      </w:tblGrid>
      <w:tr w:rsidR="00065F92" w:rsidRPr="00F374D3" w:rsidTr="00065F92">
        <w:trPr>
          <w:trHeight w:val="50"/>
        </w:trPr>
        <w:tc>
          <w:tcPr>
            <w:tcW w:w="2866" w:type="pct"/>
            <w:shd w:val="clear" w:color="000000" w:fill="FFFFFF"/>
            <w:vAlign w:val="bottom"/>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DIAGNOSIS</w:t>
            </w:r>
          </w:p>
        </w:tc>
        <w:tc>
          <w:tcPr>
            <w:tcW w:w="1187" w:type="pct"/>
            <w:shd w:val="clear" w:color="000000" w:fill="FFFFFF"/>
            <w:vAlign w:val="bottom"/>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FREQUENCY</w:t>
            </w:r>
          </w:p>
        </w:tc>
        <w:tc>
          <w:tcPr>
            <w:tcW w:w="947" w:type="pct"/>
            <w:shd w:val="clear" w:color="000000" w:fill="FFFFFF"/>
            <w:vAlign w:val="bottom"/>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PERCENT</w:t>
            </w:r>
          </w:p>
        </w:tc>
      </w:tr>
      <w:tr w:rsidR="00065F92" w:rsidRPr="00F374D3" w:rsidTr="00065F92">
        <w:trPr>
          <w:trHeight w:val="313"/>
        </w:trPr>
        <w:tc>
          <w:tcPr>
            <w:tcW w:w="2866" w:type="pct"/>
            <w:shd w:val="clear" w:color="000000" w:fill="FFFFFF"/>
          </w:tcPr>
          <w:p w:rsidR="00065F92" w:rsidRPr="00F374D3" w:rsidRDefault="00065F92" w:rsidP="00F374D3">
            <w:pPr>
              <w:autoSpaceDE w:val="0"/>
              <w:autoSpaceDN w:val="0"/>
              <w:adjustRightInd w:val="0"/>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ACUTE GASTROENTERITIS</w:t>
            </w:r>
          </w:p>
        </w:tc>
        <w:tc>
          <w:tcPr>
            <w:tcW w:w="1187" w:type="pct"/>
            <w:shd w:val="clear" w:color="000000" w:fill="FFFFFF"/>
            <w:vAlign w:val="bottom"/>
          </w:tcPr>
          <w:p w:rsidR="00065F92" w:rsidRPr="00F374D3" w:rsidRDefault="003B4A47"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4</w:t>
            </w:r>
          </w:p>
        </w:tc>
        <w:tc>
          <w:tcPr>
            <w:tcW w:w="947" w:type="pct"/>
            <w:shd w:val="clear" w:color="000000" w:fill="FFFFFF"/>
            <w:vAlign w:val="bottom"/>
          </w:tcPr>
          <w:p w:rsidR="00065F92" w:rsidRPr="00F374D3" w:rsidRDefault="003B4A47"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5</w:t>
            </w:r>
          </w:p>
        </w:tc>
      </w:tr>
      <w:tr w:rsidR="00065F92" w:rsidRPr="00F374D3" w:rsidTr="00065F92">
        <w:trPr>
          <w:trHeight w:val="313"/>
        </w:trPr>
        <w:tc>
          <w:tcPr>
            <w:tcW w:w="2866" w:type="pct"/>
            <w:shd w:val="clear" w:color="000000" w:fill="FFFFFF"/>
          </w:tcPr>
          <w:p w:rsidR="00065F92" w:rsidRPr="00F374D3" w:rsidRDefault="00065F92" w:rsidP="00F374D3">
            <w:pPr>
              <w:autoSpaceDE w:val="0"/>
              <w:autoSpaceDN w:val="0"/>
              <w:adjustRightInd w:val="0"/>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ACUTE TUBULAR NECROSIS</w:t>
            </w:r>
          </w:p>
        </w:tc>
        <w:tc>
          <w:tcPr>
            <w:tcW w:w="1187" w:type="pct"/>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3</w:t>
            </w:r>
          </w:p>
        </w:tc>
        <w:tc>
          <w:tcPr>
            <w:tcW w:w="947" w:type="pct"/>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3.75</w:t>
            </w:r>
          </w:p>
        </w:tc>
      </w:tr>
      <w:tr w:rsidR="00065F92" w:rsidRPr="00F374D3" w:rsidTr="00065F92">
        <w:trPr>
          <w:trHeight w:val="313"/>
        </w:trPr>
        <w:tc>
          <w:tcPr>
            <w:tcW w:w="2866" w:type="pct"/>
            <w:shd w:val="clear" w:color="000000" w:fill="FFFFFF"/>
          </w:tcPr>
          <w:p w:rsidR="00065F92" w:rsidRPr="00F374D3" w:rsidRDefault="00065F92" w:rsidP="00F374D3">
            <w:pPr>
              <w:autoSpaceDE w:val="0"/>
              <w:autoSpaceDN w:val="0"/>
              <w:adjustRightInd w:val="0"/>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LEPTOSPIROSIS</w:t>
            </w:r>
          </w:p>
        </w:tc>
        <w:tc>
          <w:tcPr>
            <w:tcW w:w="1187" w:type="pct"/>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w:t>
            </w:r>
            <w:r w:rsidR="003B4A47" w:rsidRPr="00F374D3">
              <w:rPr>
                <w:rFonts w:ascii="Times New Roman" w:hAnsi="Times New Roman" w:cs="Times New Roman"/>
                <w:color w:val="000000"/>
                <w:sz w:val="20"/>
                <w:szCs w:val="20"/>
              </w:rPr>
              <w:t>8</w:t>
            </w:r>
          </w:p>
        </w:tc>
        <w:tc>
          <w:tcPr>
            <w:tcW w:w="947" w:type="pct"/>
            <w:shd w:val="clear" w:color="000000" w:fill="FFFFFF"/>
            <w:vAlign w:val="bottom"/>
          </w:tcPr>
          <w:p w:rsidR="00065F92" w:rsidRPr="00F374D3" w:rsidRDefault="003B4A47"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21.25</w:t>
            </w:r>
          </w:p>
        </w:tc>
      </w:tr>
      <w:tr w:rsidR="00065F92" w:rsidRPr="00F374D3" w:rsidTr="00065F92">
        <w:trPr>
          <w:trHeight w:val="313"/>
        </w:trPr>
        <w:tc>
          <w:tcPr>
            <w:tcW w:w="2866" w:type="pct"/>
            <w:shd w:val="clear" w:color="000000" w:fill="FFFFFF"/>
          </w:tcPr>
          <w:p w:rsidR="00065F92" w:rsidRPr="00F374D3" w:rsidRDefault="00065F92" w:rsidP="00F374D3">
            <w:pPr>
              <w:autoSpaceDE w:val="0"/>
              <w:autoSpaceDN w:val="0"/>
              <w:adjustRightInd w:val="0"/>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LOWER LIMB CELLULITIS</w:t>
            </w:r>
          </w:p>
        </w:tc>
        <w:tc>
          <w:tcPr>
            <w:tcW w:w="1187" w:type="pct"/>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w:t>
            </w:r>
          </w:p>
        </w:tc>
        <w:tc>
          <w:tcPr>
            <w:tcW w:w="947" w:type="pct"/>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1.25</w:t>
            </w:r>
          </w:p>
        </w:tc>
      </w:tr>
      <w:tr w:rsidR="00065F92" w:rsidRPr="00F374D3" w:rsidTr="00065F92">
        <w:trPr>
          <w:trHeight w:val="452"/>
        </w:trPr>
        <w:tc>
          <w:tcPr>
            <w:tcW w:w="2866" w:type="pct"/>
            <w:shd w:val="clear" w:color="000000" w:fill="FFFFFF"/>
          </w:tcPr>
          <w:p w:rsidR="00065F92" w:rsidRPr="00F374D3" w:rsidRDefault="00065F92" w:rsidP="00F374D3">
            <w:pPr>
              <w:autoSpaceDE w:val="0"/>
              <w:autoSpaceDN w:val="0"/>
              <w:adjustRightInd w:val="0"/>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MALARIA</w:t>
            </w:r>
          </w:p>
        </w:tc>
        <w:tc>
          <w:tcPr>
            <w:tcW w:w="1187" w:type="pct"/>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9</w:t>
            </w:r>
          </w:p>
        </w:tc>
        <w:tc>
          <w:tcPr>
            <w:tcW w:w="947" w:type="pct"/>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11.25</w:t>
            </w:r>
          </w:p>
        </w:tc>
      </w:tr>
      <w:tr w:rsidR="00065F92" w:rsidRPr="00F374D3" w:rsidTr="00065F92">
        <w:trPr>
          <w:trHeight w:val="403"/>
        </w:trPr>
        <w:tc>
          <w:tcPr>
            <w:tcW w:w="2866" w:type="pct"/>
            <w:shd w:val="clear" w:color="000000" w:fill="FFFFFF"/>
          </w:tcPr>
          <w:p w:rsidR="00065F92" w:rsidRPr="00F374D3" w:rsidRDefault="00065F92" w:rsidP="00F374D3">
            <w:pPr>
              <w:autoSpaceDE w:val="0"/>
              <w:autoSpaceDN w:val="0"/>
              <w:adjustRightInd w:val="0"/>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 xml:space="preserve">NEPHROTIC SYNDROME </w:t>
            </w:r>
          </w:p>
        </w:tc>
        <w:tc>
          <w:tcPr>
            <w:tcW w:w="1187" w:type="pct"/>
            <w:shd w:val="clear" w:color="000000" w:fill="FFFFFF"/>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2</w:t>
            </w:r>
          </w:p>
        </w:tc>
        <w:tc>
          <w:tcPr>
            <w:tcW w:w="947" w:type="pct"/>
            <w:shd w:val="clear" w:color="000000" w:fill="FFFFFF"/>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2.5</w:t>
            </w:r>
          </w:p>
        </w:tc>
      </w:tr>
      <w:tr w:rsidR="00065F92" w:rsidRPr="00F374D3" w:rsidTr="00065F92">
        <w:trPr>
          <w:trHeight w:val="313"/>
        </w:trPr>
        <w:tc>
          <w:tcPr>
            <w:tcW w:w="2866" w:type="pct"/>
            <w:shd w:val="clear" w:color="000000" w:fill="FFFFFF"/>
          </w:tcPr>
          <w:p w:rsidR="00065F92" w:rsidRPr="00F374D3" w:rsidRDefault="00065F92" w:rsidP="00F374D3">
            <w:pPr>
              <w:autoSpaceDE w:val="0"/>
              <w:autoSpaceDN w:val="0"/>
              <w:adjustRightInd w:val="0"/>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 xml:space="preserve">PANCREATITIS </w:t>
            </w:r>
          </w:p>
        </w:tc>
        <w:tc>
          <w:tcPr>
            <w:tcW w:w="1187" w:type="pct"/>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3</w:t>
            </w:r>
          </w:p>
        </w:tc>
        <w:tc>
          <w:tcPr>
            <w:tcW w:w="947" w:type="pct"/>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3.75</w:t>
            </w:r>
          </w:p>
        </w:tc>
      </w:tr>
      <w:tr w:rsidR="00065F92" w:rsidRPr="00F374D3" w:rsidTr="00065F92">
        <w:trPr>
          <w:trHeight w:val="313"/>
        </w:trPr>
        <w:tc>
          <w:tcPr>
            <w:tcW w:w="2866" w:type="pct"/>
            <w:shd w:val="clear" w:color="000000" w:fill="FFFFFF"/>
          </w:tcPr>
          <w:p w:rsidR="00065F92" w:rsidRPr="00F374D3" w:rsidRDefault="00065F92" w:rsidP="00F374D3">
            <w:pPr>
              <w:autoSpaceDE w:val="0"/>
              <w:autoSpaceDN w:val="0"/>
              <w:adjustRightInd w:val="0"/>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 xml:space="preserve">SCRUB TYPHUS </w:t>
            </w:r>
          </w:p>
        </w:tc>
        <w:tc>
          <w:tcPr>
            <w:tcW w:w="1187" w:type="pct"/>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2</w:t>
            </w:r>
          </w:p>
        </w:tc>
        <w:tc>
          <w:tcPr>
            <w:tcW w:w="947" w:type="pct"/>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2.5</w:t>
            </w:r>
          </w:p>
        </w:tc>
      </w:tr>
      <w:tr w:rsidR="00065F92" w:rsidRPr="00F374D3" w:rsidTr="00065F92">
        <w:trPr>
          <w:trHeight w:val="313"/>
        </w:trPr>
        <w:tc>
          <w:tcPr>
            <w:tcW w:w="2866" w:type="pct"/>
            <w:shd w:val="clear" w:color="000000" w:fill="FFFFFF"/>
          </w:tcPr>
          <w:p w:rsidR="00065F92" w:rsidRPr="00F374D3" w:rsidRDefault="00065F92" w:rsidP="00F374D3">
            <w:pPr>
              <w:autoSpaceDE w:val="0"/>
              <w:autoSpaceDN w:val="0"/>
              <w:adjustRightInd w:val="0"/>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SEPSIS</w:t>
            </w:r>
          </w:p>
        </w:tc>
        <w:tc>
          <w:tcPr>
            <w:tcW w:w="1187" w:type="pct"/>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34</w:t>
            </w:r>
          </w:p>
        </w:tc>
        <w:tc>
          <w:tcPr>
            <w:tcW w:w="947" w:type="pct"/>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42.5</w:t>
            </w:r>
          </w:p>
        </w:tc>
      </w:tr>
      <w:tr w:rsidR="00065F92" w:rsidRPr="00F374D3" w:rsidTr="00065F92">
        <w:trPr>
          <w:trHeight w:val="313"/>
        </w:trPr>
        <w:tc>
          <w:tcPr>
            <w:tcW w:w="2866" w:type="pct"/>
            <w:shd w:val="clear" w:color="000000" w:fill="FFFFFF"/>
          </w:tcPr>
          <w:p w:rsidR="00065F92" w:rsidRPr="00F374D3" w:rsidRDefault="00065F92" w:rsidP="00F374D3">
            <w:pPr>
              <w:autoSpaceDE w:val="0"/>
              <w:autoSpaceDN w:val="0"/>
              <w:adjustRightInd w:val="0"/>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SNAKE BITE</w:t>
            </w:r>
          </w:p>
        </w:tc>
        <w:tc>
          <w:tcPr>
            <w:tcW w:w="1187" w:type="pct"/>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5</w:t>
            </w:r>
          </w:p>
        </w:tc>
        <w:tc>
          <w:tcPr>
            <w:tcW w:w="947" w:type="pct"/>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6.25</w:t>
            </w:r>
          </w:p>
        </w:tc>
      </w:tr>
      <w:tr w:rsidR="00065F92" w:rsidRPr="00F374D3" w:rsidTr="00065F92">
        <w:trPr>
          <w:trHeight w:val="313"/>
        </w:trPr>
        <w:tc>
          <w:tcPr>
            <w:tcW w:w="2866" w:type="pct"/>
            <w:shd w:val="clear" w:color="000000" w:fill="FFFFFF"/>
          </w:tcPr>
          <w:p w:rsidR="00065F92" w:rsidRPr="00F374D3" w:rsidRDefault="00065F92" w:rsidP="00F374D3">
            <w:pPr>
              <w:autoSpaceDE w:val="0"/>
              <w:autoSpaceDN w:val="0"/>
              <w:adjustRightInd w:val="0"/>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TOTAL</w:t>
            </w:r>
          </w:p>
        </w:tc>
        <w:tc>
          <w:tcPr>
            <w:tcW w:w="1187" w:type="pct"/>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80</w:t>
            </w:r>
          </w:p>
        </w:tc>
        <w:tc>
          <w:tcPr>
            <w:tcW w:w="947" w:type="pct"/>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100</w:t>
            </w:r>
          </w:p>
        </w:tc>
      </w:tr>
    </w:tbl>
    <w:p w:rsidR="00F374D3" w:rsidRPr="00F374D3" w:rsidRDefault="00F374D3"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 xml:space="preserve">Based on the above study and data analysis, sepsis contributes as a cause for majority of patients with AKI by different mechanisms (either direct or indirect). Following sepsis, leptospirosis and malaria accounts for second and third major cause of AKI which shows </w:t>
      </w:r>
      <w:proofErr w:type="spellStart"/>
      <w:r w:rsidRPr="00F374D3">
        <w:rPr>
          <w:rFonts w:ascii="Times New Roman" w:hAnsi="Times New Roman" w:cs="Times New Roman"/>
          <w:sz w:val="20"/>
          <w:szCs w:val="20"/>
        </w:rPr>
        <w:t>endemicity</w:t>
      </w:r>
      <w:proofErr w:type="spellEnd"/>
      <w:r w:rsidRPr="00F374D3">
        <w:rPr>
          <w:rFonts w:ascii="Times New Roman" w:hAnsi="Times New Roman" w:cs="Times New Roman"/>
          <w:sz w:val="20"/>
          <w:szCs w:val="20"/>
        </w:rPr>
        <w:t xml:space="preserve"> and increased prevalence of </w:t>
      </w:r>
      <w:proofErr w:type="gramStart"/>
      <w:r w:rsidRPr="00F374D3">
        <w:rPr>
          <w:rFonts w:ascii="Times New Roman" w:hAnsi="Times New Roman" w:cs="Times New Roman"/>
          <w:sz w:val="20"/>
          <w:szCs w:val="20"/>
        </w:rPr>
        <w:t xml:space="preserve">disease </w:t>
      </w:r>
      <w:r w:rsidR="00FD2BC2" w:rsidRPr="00F374D3">
        <w:rPr>
          <w:rFonts w:ascii="Times New Roman" w:hAnsi="Times New Roman" w:cs="Times New Roman"/>
          <w:sz w:val="20"/>
          <w:szCs w:val="20"/>
        </w:rPr>
        <w:t>.</w:t>
      </w:r>
      <w:proofErr w:type="gramEnd"/>
    </w:p>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b/>
          <w:sz w:val="20"/>
          <w:szCs w:val="20"/>
        </w:rPr>
      </w:pPr>
      <w:r w:rsidRPr="00F374D3">
        <w:rPr>
          <w:rFonts w:ascii="Times New Roman" w:hAnsi="Times New Roman" w:cs="Times New Roman"/>
          <w:b/>
          <w:color w:val="000000"/>
          <w:sz w:val="20"/>
          <w:szCs w:val="20"/>
        </w:rPr>
        <w:t xml:space="preserve">TABLE 4: Showing Mean, Standard deviation and Friedman test of </w:t>
      </w:r>
      <w:proofErr w:type="spellStart"/>
      <w:r w:rsidRPr="00F374D3">
        <w:rPr>
          <w:rFonts w:ascii="Times New Roman" w:hAnsi="Times New Roman" w:cs="Times New Roman"/>
          <w:b/>
          <w:color w:val="000000"/>
          <w:sz w:val="20"/>
          <w:szCs w:val="20"/>
        </w:rPr>
        <w:t>S.creatinine</w:t>
      </w:r>
      <w:proofErr w:type="spellEnd"/>
      <w:r w:rsidRPr="00F374D3">
        <w:rPr>
          <w:rFonts w:ascii="Times New Roman" w:hAnsi="Times New Roman" w:cs="Times New Roman"/>
          <w:b/>
          <w:color w:val="000000"/>
          <w:sz w:val="20"/>
          <w:szCs w:val="20"/>
        </w:rPr>
        <w:t xml:space="preserve"> during study</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40"/>
        <w:gridCol w:w="804"/>
        <w:gridCol w:w="892"/>
        <w:gridCol w:w="953"/>
        <w:gridCol w:w="1429"/>
        <w:gridCol w:w="1159"/>
        <w:gridCol w:w="1274"/>
        <w:gridCol w:w="884"/>
      </w:tblGrid>
      <w:tr w:rsidR="00065F92" w:rsidRPr="00F374D3" w:rsidTr="00065F92">
        <w:trPr>
          <w:trHeight w:val="548"/>
        </w:trPr>
        <w:tc>
          <w:tcPr>
            <w:tcW w:w="901" w:type="pct"/>
            <w:shd w:val="clear" w:color="auto" w:fill="auto"/>
          </w:tcPr>
          <w:p w:rsidR="00065F92" w:rsidRPr="00F374D3" w:rsidRDefault="00065F92" w:rsidP="00F374D3">
            <w:pPr>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 xml:space="preserve">S. </w:t>
            </w:r>
            <w:proofErr w:type="spellStart"/>
            <w:r w:rsidRPr="00F374D3">
              <w:rPr>
                <w:rFonts w:ascii="Times New Roman" w:hAnsi="Times New Roman" w:cs="Times New Roman"/>
                <w:b/>
                <w:color w:val="000000"/>
                <w:sz w:val="20"/>
                <w:szCs w:val="20"/>
              </w:rPr>
              <w:t>Creatinine</w:t>
            </w:r>
            <w:proofErr w:type="spellEnd"/>
          </w:p>
        </w:tc>
        <w:tc>
          <w:tcPr>
            <w:tcW w:w="326" w:type="pct"/>
            <w:shd w:val="clear" w:color="auto" w:fill="auto"/>
          </w:tcPr>
          <w:p w:rsidR="00065F92" w:rsidRPr="00F374D3" w:rsidRDefault="00065F92" w:rsidP="00F374D3">
            <w:pPr>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N</w:t>
            </w:r>
          </w:p>
        </w:tc>
        <w:tc>
          <w:tcPr>
            <w:tcW w:w="410" w:type="pct"/>
            <w:shd w:val="clear" w:color="auto" w:fill="auto"/>
          </w:tcPr>
          <w:p w:rsidR="00065F92" w:rsidRPr="00F374D3" w:rsidRDefault="00065F92" w:rsidP="00F374D3">
            <w:pPr>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Minimum</w:t>
            </w:r>
          </w:p>
        </w:tc>
        <w:tc>
          <w:tcPr>
            <w:tcW w:w="455" w:type="pct"/>
            <w:shd w:val="clear" w:color="auto" w:fill="auto"/>
          </w:tcPr>
          <w:p w:rsidR="00065F92" w:rsidRPr="00F374D3" w:rsidRDefault="00065F92" w:rsidP="00F374D3">
            <w:pPr>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Maximum</w:t>
            </w:r>
          </w:p>
        </w:tc>
        <w:tc>
          <w:tcPr>
            <w:tcW w:w="486" w:type="pct"/>
            <w:shd w:val="clear" w:color="auto" w:fill="auto"/>
          </w:tcPr>
          <w:p w:rsidR="00065F92" w:rsidRPr="00F374D3" w:rsidRDefault="00065F92" w:rsidP="00F374D3">
            <w:pPr>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Mean</w:t>
            </w:r>
          </w:p>
        </w:tc>
        <w:tc>
          <w:tcPr>
            <w:tcW w:w="729" w:type="pct"/>
            <w:shd w:val="clear" w:color="auto" w:fill="auto"/>
          </w:tcPr>
          <w:p w:rsidR="00065F92" w:rsidRPr="00F374D3" w:rsidRDefault="00065F92" w:rsidP="00F374D3">
            <w:pPr>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Std.</w:t>
            </w:r>
          </w:p>
          <w:p w:rsidR="00065F92" w:rsidRPr="00F374D3" w:rsidRDefault="00065F92" w:rsidP="00F374D3">
            <w:pPr>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Deviation</w:t>
            </w:r>
          </w:p>
        </w:tc>
        <w:tc>
          <w:tcPr>
            <w:tcW w:w="591" w:type="pct"/>
            <w:shd w:val="clear" w:color="auto" w:fill="auto"/>
          </w:tcPr>
          <w:p w:rsidR="00065F92" w:rsidRPr="00F374D3" w:rsidRDefault="00065F92" w:rsidP="00F374D3">
            <w:pPr>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Median</w:t>
            </w:r>
          </w:p>
        </w:tc>
        <w:tc>
          <w:tcPr>
            <w:tcW w:w="650" w:type="pct"/>
            <w:shd w:val="clear" w:color="auto" w:fill="auto"/>
          </w:tcPr>
          <w:p w:rsidR="00065F92" w:rsidRPr="00F374D3" w:rsidRDefault="00065F92" w:rsidP="00F374D3">
            <w:pPr>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Friedman test</w:t>
            </w:r>
          </w:p>
        </w:tc>
        <w:tc>
          <w:tcPr>
            <w:tcW w:w="451" w:type="pct"/>
            <w:shd w:val="clear" w:color="auto" w:fill="auto"/>
          </w:tcPr>
          <w:p w:rsidR="00065F92" w:rsidRPr="00F374D3" w:rsidRDefault="00065F92" w:rsidP="00F374D3">
            <w:pPr>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P value</w:t>
            </w:r>
          </w:p>
        </w:tc>
      </w:tr>
      <w:tr w:rsidR="00065F92" w:rsidRPr="00F374D3" w:rsidTr="00065F92">
        <w:trPr>
          <w:trHeight w:val="80"/>
        </w:trPr>
        <w:tc>
          <w:tcPr>
            <w:tcW w:w="901"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At admission</w:t>
            </w:r>
          </w:p>
        </w:tc>
        <w:tc>
          <w:tcPr>
            <w:tcW w:w="326"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80</w:t>
            </w:r>
          </w:p>
        </w:tc>
        <w:tc>
          <w:tcPr>
            <w:tcW w:w="410"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1.2</w:t>
            </w:r>
          </w:p>
        </w:tc>
        <w:tc>
          <w:tcPr>
            <w:tcW w:w="455"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11.1</w:t>
            </w:r>
          </w:p>
        </w:tc>
        <w:tc>
          <w:tcPr>
            <w:tcW w:w="486"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5.34</w:t>
            </w:r>
          </w:p>
        </w:tc>
        <w:tc>
          <w:tcPr>
            <w:tcW w:w="729"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2.24</w:t>
            </w:r>
          </w:p>
        </w:tc>
        <w:tc>
          <w:tcPr>
            <w:tcW w:w="591"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5.10</w:t>
            </w:r>
          </w:p>
        </w:tc>
        <w:tc>
          <w:tcPr>
            <w:tcW w:w="650"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227.004</w:t>
            </w:r>
          </w:p>
        </w:tc>
        <w:tc>
          <w:tcPr>
            <w:tcW w:w="451" w:type="pct"/>
            <w:vMerge w:val="restar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0.000</w:t>
            </w:r>
          </w:p>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HS</w:t>
            </w:r>
          </w:p>
        </w:tc>
      </w:tr>
      <w:tr w:rsidR="00065F92" w:rsidRPr="00F374D3" w:rsidTr="00065F92">
        <w:trPr>
          <w:trHeight w:val="70"/>
        </w:trPr>
        <w:tc>
          <w:tcPr>
            <w:tcW w:w="901"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At discharge</w:t>
            </w:r>
          </w:p>
        </w:tc>
        <w:tc>
          <w:tcPr>
            <w:tcW w:w="326"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80</w:t>
            </w:r>
          </w:p>
        </w:tc>
        <w:tc>
          <w:tcPr>
            <w:tcW w:w="410"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0.3</w:t>
            </w:r>
          </w:p>
        </w:tc>
        <w:tc>
          <w:tcPr>
            <w:tcW w:w="455"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4.2</w:t>
            </w:r>
          </w:p>
        </w:tc>
        <w:tc>
          <w:tcPr>
            <w:tcW w:w="486"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1.85</w:t>
            </w:r>
          </w:p>
        </w:tc>
        <w:tc>
          <w:tcPr>
            <w:tcW w:w="729"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0.70</w:t>
            </w:r>
          </w:p>
        </w:tc>
        <w:tc>
          <w:tcPr>
            <w:tcW w:w="591"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1.80</w:t>
            </w:r>
          </w:p>
        </w:tc>
        <w:tc>
          <w:tcPr>
            <w:tcW w:w="650"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p>
        </w:tc>
        <w:tc>
          <w:tcPr>
            <w:tcW w:w="451" w:type="pct"/>
            <w:vMerge/>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p>
        </w:tc>
      </w:tr>
      <w:tr w:rsidR="00065F92" w:rsidRPr="00F374D3" w:rsidTr="00065F92">
        <w:trPr>
          <w:trHeight w:val="70"/>
        </w:trPr>
        <w:tc>
          <w:tcPr>
            <w:tcW w:w="901"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At 3 months</w:t>
            </w:r>
          </w:p>
        </w:tc>
        <w:tc>
          <w:tcPr>
            <w:tcW w:w="326"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80</w:t>
            </w:r>
          </w:p>
        </w:tc>
        <w:tc>
          <w:tcPr>
            <w:tcW w:w="410"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0.4</w:t>
            </w:r>
          </w:p>
        </w:tc>
        <w:tc>
          <w:tcPr>
            <w:tcW w:w="455"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2.5</w:t>
            </w:r>
          </w:p>
        </w:tc>
        <w:tc>
          <w:tcPr>
            <w:tcW w:w="486"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1.25</w:t>
            </w:r>
          </w:p>
        </w:tc>
        <w:tc>
          <w:tcPr>
            <w:tcW w:w="729"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0.33</w:t>
            </w:r>
          </w:p>
        </w:tc>
        <w:tc>
          <w:tcPr>
            <w:tcW w:w="591"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1.20</w:t>
            </w:r>
          </w:p>
        </w:tc>
        <w:tc>
          <w:tcPr>
            <w:tcW w:w="650"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p>
        </w:tc>
        <w:tc>
          <w:tcPr>
            <w:tcW w:w="451" w:type="pct"/>
            <w:vMerge/>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p>
        </w:tc>
      </w:tr>
      <w:tr w:rsidR="00065F92" w:rsidRPr="00F374D3" w:rsidTr="00065F92">
        <w:trPr>
          <w:trHeight w:val="70"/>
        </w:trPr>
        <w:tc>
          <w:tcPr>
            <w:tcW w:w="901"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At 6 months</w:t>
            </w:r>
          </w:p>
        </w:tc>
        <w:tc>
          <w:tcPr>
            <w:tcW w:w="326"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80</w:t>
            </w:r>
          </w:p>
        </w:tc>
        <w:tc>
          <w:tcPr>
            <w:tcW w:w="410"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0.5</w:t>
            </w:r>
          </w:p>
        </w:tc>
        <w:tc>
          <w:tcPr>
            <w:tcW w:w="455"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1.9</w:t>
            </w:r>
          </w:p>
        </w:tc>
        <w:tc>
          <w:tcPr>
            <w:tcW w:w="486"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1.07</w:t>
            </w:r>
          </w:p>
        </w:tc>
        <w:tc>
          <w:tcPr>
            <w:tcW w:w="729"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0.37</w:t>
            </w:r>
          </w:p>
        </w:tc>
        <w:tc>
          <w:tcPr>
            <w:tcW w:w="591"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1.00</w:t>
            </w:r>
          </w:p>
        </w:tc>
        <w:tc>
          <w:tcPr>
            <w:tcW w:w="650"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p>
        </w:tc>
        <w:tc>
          <w:tcPr>
            <w:tcW w:w="451" w:type="pct"/>
            <w:vMerge/>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p>
        </w:tc>
      </w:tr>
      <w:tr w:rsidR="00065F92" w:rsidRPr="00F374D3" w:rsidTr="00065F92">
        <w:trPr>
          <w:trHeight w:val="70"/>
        </w:trPr>
        <w:tc>
          <w:tcPr>
            <w:tcW w:w="901"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At 1 year</w:t>
            </w:r>
          </w:p>
        </w:tc>
        <w:tc>
          <w:tcPr>
            <w:tcW w:w="326"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80</w:t>
            </w:r>
          </w:p>
        </w:tc>
        <w:tc>
          <w:tcPr>
            <w:tcW w:w="410"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0.4</w:t>
            </w:r>
          </w:p>
        </w:tc>
        <w:tc>
          <w:tcPr>
            <w:tcW w:w="455"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1.4</w:t>
            </w:r>
          </w:p>
        </w:tc>
        <w:tc>
          <w:tcPr>
            <w:tcW w:w="486"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0.82</w:t>
            </w:r>
          </w:p>
        </w:tc>
        <w:tc>
          <w:tcPr>
            <w:tcW w:w="729"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0.19</w:t>
            </w:r>
          </w:p>
        </w:tc>
        <w:tc>
          <w:tcPr>
            <w:tcW w:w="591"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0.80</w:t>
            </w:r>
          </w:p>
        </w:tc>
        <w:tc>
          <w:tcPr>
            <w:tcW w:w="650"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p>
        </w:tc>
        <w:tc>
          <w:tcPr>
            <w:tcW w:w="451" w:type="pct"/>
            <w:vMerge/>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p>
        </w:tc>
      </w:tr>
    </w:tbl>
    <w:p w:rsidR="00065F92" w:rsidRPr="00F374D3" w:rsidRDefault="00065F92" w:rsidP="00F374D3">
      <w:pPr>
        <w:spacing w:after="0" w:line="360" w:lineRule="auto"/>
        <w:jc w:val="both"/>
        <w:rPr>
          <w:rFonts w:ascii="Times New Roman" w:hAnsi="Times New Roman" w:cs="Times New Roman"/>
          <w:sz w:val="20"/>
          <w:szCs w:val="20"/>
        </w:rPr>
      </w:pPr>
    </w:p>
    <w:p w:rsidR="00F54AA8" w:rsidRDefault="00F54AA8" w:rsidP="00F374D3">
      <w:pPr>
        <w:spacing w:after="0" w:line="360" w:lineRule="auto"/>
        <w:jc w:val="both"/>
        <w:rPr>
          <w:rFonts w:ascii="Times New Roman" w:hAnsi="Times New Roman" w:cs="Times New Roman"/>
          <w:b/>
          <w:sz w:val="20"/>
          <w:szCs w:val="20"/>
        </w:rPr>
      </w:pPr>
    </w:p>
    <w:p w:rsidR="00F54AA8" w:rsidRDefault="00F54AA8" w:rsidP="00F374D3">
      <w:pPr>
        <w:spacing w:after="0" w:line="360" w:lineRule="auto"/>
        <w:jc w:val="both"/>
        <w:rPr>
          <w:rFonts w:ascii="Times New Roman" w:hAnsi="Times New Roman" w:cs="Times New Roman"/>
          <w:b/>
          <w:sz w:val="20"/>
          <w:szCs w:val="20"/>
        </w:rPr>
      </w:pPr>
    </w:p>
    <w:p w:rsidR="00F54AA8" w:rsidRDefault="00F54AA8" w:rsidP="00F374D3">
      <w:pPr>
        <w:spacing w:after="0" w:line="360" w:lineRule="auto"/>
        <w:jc w:val="both"/>
        <w:rPr>
          <w:rFonts w:ascii="Times New Roman" w:hAnsi="Times New Roman" w:cs="Times New Roman"/>
          <w:b/>
          <w:sz w:val="20"/>
          <w:szCs w:val="20"/>
        </w:rPr>
      </w:pPr>
    </w:p>
    <w:p w:rsidR="00F54AA8" w:rsidRDefault="00F54AA8" w:rsidP="00F374D3">
      <w:pPr>
        <w:spacing w:after="0" w:line="360" w:lineRule="auto"/>
        <w:jc w:val="both"/>
        <w:rPr>
          <w:rFonts w:ascii="Times New Roman" w:hAnsi="Times New Roman" w:cs="Times New Roman"/>
          <w:b/>
          <w:sz w:val="20"/>
          <w:szCs w:val="20"/>
        </w:rPr>
      </w:pPr>
    </w:p>
    <w:p w:rsidR="00F54AA8" w:rsidRDefault="00F54AA8" w:rsidP="00F374D3">
      <w:pPr>
        <w:spacing w:after="0" w:line="360" w:lineRule="auto"/>
        <w:jc w:val="both"/>
        <w:rPr>
          <w:rFonts w:ascii="Times New Roman" w:hAnsi="Times New Roman" w:cs="Times New Roman"/>
          <w:b/>
          <w:sz w:val="20"/>
          <w:szCs w:val="20"/>
        </w:rPr>
      </w:pPr>
    </w:p>
    <w:p w:rsidR="00F54AA8" w:rsidRDefault="00F54AA8" w:rsidP="00F374D3">
      <w:pPr>
        <w:spacing w:after="0" w:line="360" w:lineRule="auto"/>
        <w:jc w:val="both"/>
        <w:rPr>
          <w:rFonts w:ascii="Times New Roman" w:hAnsi="Times New Roman" w:cs="Times New Roman"/>
          <w:b/>
          <w:sz w:val="20"/>
          <w:szCs w:val="20"/>
        </w:rPr>
      </w:pPr>
    </w:p>
    <w:p w:rsidR="00F54AA8" w:rsidRDefault="00F54AA8" w:rsidP="00F374D3">
      <w:pPr>
        <w:spacing w:after="0" w:line="360" w:lineRule="auto"/>
        <w:jc w:val="both"/>
        <w:rPr>
          <w:rFonts w:ascii="Times New Roman" w:hAnsi="Times New Roman" w:cs="Times New Roman"/>
          <w:b/>
          <w:sz w:val="20"/>
          <w:szCs w:val="20"/>
        </w:rPr>
      </w:pPr>
    </w:p>
    <w:p w:rsidR="00F54AA8" w:rsidRDefault="00F54AA8" w:rsidP="00F374D3">
      <w:pPr>
        <w:spacing w:after="0" w:line="360" w:lineRule="auto"/>
        <w:jc w:val="both"/>
        <w:rPr>
          <w:rFonts w:ascii="Times New Roman" w:hAnsi="Times New Roman" w:cs="Times New Roman"/>
          <w:b/>
          <w:sz w:val="20"/>
          <w:szCs w:val="20"/>
        </w:rPr>
      </w:pPr>
    </w:p>
    <w:p w:rsidR="00065F92" w:rsidRPr="00F374D3" w:rsidRDefault="00065F92" w:rsidP="00F374D3">
      <w:pPr>
        <w:spacing w:after="0" w:line="360" w:lineRule="auto"/>
        <w:jc w:val="both"/>
        <w:rPr>
          <w:rFonts w:ascii="Times New Roman" w:hAnsi="Times New Roman" w:cs="Times New Roman"/>
          <w:b/>
          <w:sz w:val="20"/>
          <w:szCs w:val="20"/>
        </w:rPr>
      </w:pPr>
      <w:r w:rsidRPr="00F374D3">
        <w:rPr>
          <w:rFonts w:ascii="Times New Roman" w:hAnsi="Times New Roman" w:cs="Times New Roman"/>
          <w:b/>
          <w:sz w:val="20"/>
          <w:szCs w:val="20"/>
        </w:rPr>
        <w:lastRenderedPageBreak/>
        <w:t>TABLE 5: Showing pairwise comparisons by Wilcoxon signed rank test</w:t>
      </w:r>
    </w:p>
    <w:tbl>
      <w:tblPr>
        <w:tblW w:w="8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530"/>
        <w:gridCol w:w="1080"/>
        <w:gridCol w:w="1319"/>
        <w:gridCol w:w="1569"/>
      </w:tblGrid>
      <w:tr w:rsidR="00065F92" w:rsidRPr="00F374D3" w:rsidTr="00065F92">
        <w:trPr>
          <w:trHeight w:val="558"/>
        </w:trPr>
        <w:tc>
          <w:tcPr>
            <w:tcW w:w="3168" w:type="dxa"/>
            <w:shd w:val="clear" w:color="auto" w:fill="auto"/>
          </w:tcPr>
          <w:p w:rsidR="00065F92" w:rsidRPr="00F374D3" w:rsidRDefault="00065F92" w:rsidP="00F374D3">
            <w:pPr>
              <w:spacing w:after="0" w:line="360" w:lineRule="auto"/>
              <w:jc w:val="both"/>
              <w:rPr>
                <w:rFonts w:ascii="Times New Roman" w:hAnsi="Times New Roman" w:cs="Times New Roman"/>
                <w:b/>
                <w:sz w:val="20"/>
                <w:szCs w:val="20"/>
              </w:rPr>
            </w:pPr>
            <w:r w:rsidRPr="00F374D3">
              <w:rPr>
                <w:rFonts w:ascii="Times New Roman" w:hAnsi="Times New Roman" w:cs="Times New Roman"/>
                <w:b/>
                <w:sz w:val="20"/>
                <w:szCs w:val="20"/>
              </w:rPr>
              <w:t>Parameter</w:t>
            </w:r>
          </w:p>
        </w:tc>
        <w:tc>
          <w:tcPr>
            <w:tcW w:w="1530" w:type="dxa"/>
            <w:shd w:val="clear" w:color="auto" w:fill="auto"/>
          </w:tcPr>
          <w:p w:rsidR="00065F92" w:rsidRPr="00F374D3" w:rsidRDefault="00065F92" w:rsidP="00F374D3">
            <w:pPr>
              <w:spacing w:after="0" w:line="360" w:lineRule="auto"/>
              <w:jc w:val="both"/>
              <w:rPr>
                <w:rFonts w:ascii="Times New Roman" w:hAnsi="Times New Roman" w:cs="Times New Roman"/>
                <w:b/>
                <w:sz w:val="20"/>
                <w:szCs w:val="20"/>
              </w:rPr>
            </w:pPr>
            <w:r w:rsidRPr="00F374D3">
              <w:rPr>
                <w:rFonts w:ascii="Times New Roman" w:hAnsi="Times New Roman" w:cs="Times New Roman"/>
                <w:b/>
                <w:sz w:val="20"/>
                <w:szCs w:val="20"/>
              </w:rPr>
              <w:t>Mean difference</w:t>
            </w:r>
          </w:p>
        </w:tc>
        <w:tc>
          <w:tcPr>
            <w:tcW w:w="1080" w:type="dxa"/>
            <w:shd w:val="clear" w:color="auto" w:fill="auto"/>
          </w:tcPr>
          <w:p w:rsidR="00065F92" w:rsidRPr="00F374D3" w:rsidRDefault="00065F92" w:rsidP="00F374D3">
            <w:pPr>
              <w:pStyle w:val="NoSpacing"/>
              <w:spacing w:line="360" w:lineRule="auto"/>
              <w:jc w:val="both"/>
              <w:rPr>
                <w:b/>
                <w:sz w:val="20"/>
                <w:szCs w:val="20"/>
              </w:rPr>
            </w:pPr>
            <w:r w:rsidRPr="00F374D3">
              <w:rPr>
                <w:b/>
                <w:sz w:val="20"/>
                <w:szCs w:val="20"/>
              </w:rPr>
              <w:t>Change</w:t>
            </w:r>
          </w:p>
        </w:tc>
        <w:tc>
          <w:tcPr>
            <w:tcW w:w="1319" w:type="dxa"/>
            <w:shd w:val="clear" w:color="auto" w:fill="auto"/>
          </w:tcPr>
          <w:p w:rsidR="00065F92" w:rsidRPr="00F374D3" w:rsidRDefault="00065F92" w:rsidP="00F374D3">
            <w:pPr>
              <w:spacing w:after="0" w:line="360" w:lineRule="auto"/>
              <w:jc w:val="both"/>
              <w:rPr>
                <w:rFonts w:ascii="Times New Roman" w:hAnsi="Times New Roman" w:cs="Times New Roman"/>
                <w:b/>
                <w:sz w:val="20"/>
                <w:szCs w:val="20"/>
              </w:rPr>
            </w:pPr>
            <w:r w:rsidRPr="00F374D3">
              <w:rPr>
                <w:rFonts w:ascii="Times New Roman" w:hAnsi="Times New Roman" w:cs="Times New Roman"/>
                <w:b/>
                <w:sz w:val="20"/>
                <w:szCs w:val="20"/>
              </w:rPr>
              <w:t>P value</w:t>
            </w:r>
          </w:p>
        </w:tc>
        <w:tc>
          <w:tcPr>
            <w:tcW w:w="1569" w:type="dxa"/>
            <w:shd w:val="clear" w:color="auto" w:fill="auto"/>
          </w:tcPr>
          <w:p w:rsidR="00065F92" w:rsidRPr="00F374D3" w:rsidRDefault="00065F92" w:rsidP="00F374D3">
            <w:pPr>
              <w:spacing w:after="0" w:line="360" w:lineRule="auto"/>
              <w:jc w:val="both"/>
              <w:rPr>
                <w:rFonts w:ascii="Times New Roman" w:hAnsi="Times New Roman" w:cs="Times New Roman"/>
                <w:b/>
                <w:sz w:val="20"/>
                <w:szCs w:val="20"/>
              </w:rPr>
            </w:pPr>
            <w:r w:rsidRPr="00F374D3">
              <w:rPr>
                <w:rFonts w:ascii="Times New Roman" w:hAnsi="Times New Roman" w:cs="Times New Roman"/>
                <w:b/>
                <w:sz w:val="20"/>
                <w:szCs w:val="20"/>
              </w:rPr>
              <w:t>Significance</w:t>
            </w:r>
          </w:p>
        </w:tc>
      </w:tr>
      <w:tr w:rsidR="00065F92" w:rsidRPr="00F374D3" w:rsidTr="00065F92">
        <w:trPr>
          <w:trHeight w:val="1220"/>
        </w:trPr>
        <w:tc>
          <w:tcPr>
            <w:tcW w:w="3168"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 xml:space="preserve">S. </w:t>
            </w:r>
            <w:proofErr w:type="spellStart"/>
            <w:r w:rsidRPr="00F374D3">
              <w:rPr>
                <w:rFonts w:ascii="Times New Roman" w:hAnsi="Times New Roman" w:cs="Times New Roman"/>
                <w:sz w:val="20"/>
                <w:szCs w:val="20"/>
              </w:rPr>
              <w:t>Creatinine</w:t>
            </w:r>
            <w:proofErr w:type="spellEnd"/>
            <w:r w:rsidRPr="00F374D3">
              <w:rPr>
                <w:rFonts w:ascii="Times New Roman" w:hAnsi="Times New Roman" w:cs="Times New Roman"/>
                <w:sz w:val="20"/>
                <w:szCs w:val="20"/>
              </w:rPr>
              <w:t xml:space="preserve">  At Admission</w:t>
            </w:r>
          </w:p>
          <w:p w:rsidR="00065F92" w:rsidRPr="00F374D3" w:rsidRDefault="00065F92" w:rsidP="00F374D3">
            <w:pPr>
              <w:spacing w:after="0" w:line="360" w:lineRule="auto"/>
              <w:ind w:left="1350"/>
              <w:jc w:val="both"/>
              <w:rPr>
                <w:rFonts w:ascii="Times New Roman" w:hAnsi="Times New Roman" w:cs="Times New Roman"/>
                <w:sz w:val="20"/>
                <w:szCs w:val="20"/>
              </w:rPr>
            </w:pPr>
            <w:r w:rsidRPr="00F374D3">
              <w:rPr>
                <w:rFonts w:ascii="Times New Roman" w:hAnsi="Times New Roman" w:cs="Times New Roman"/>
                <w:sz w:val="20"/>
                <w:szCs w:val="20"/>
              </w:rPr>
              <w:t>At Discharge</w:t>
            </w:r>
          </w:p>
          <w:p w:rsidR="00065F92" w:rsidRPr="00F374D3" w:rsidRDefault="00065F92" w:rsidP="00F374D3">
            <w:pPr>
              <w:spacing w:after="0" w:line="360" w:lineRule="auto"/>
              <w:ind w:left="1350"/>
              <w:jc w:val="both"/>
              <w:rPr>
                <w:rFonts w:ascii="Times New Roman" w:hAnsi="Times New Roman" w:cs="Times New Roman"/>
                <w:sz w:val="20"/>
                <w:szCs w:val="20"/>
              </w:rPr>
            </w:pPr>
            <w:r w:rsidRPr="00F374D3">
              <w:rPr>
                <w:rFonts w:ascii="Times New Roman" w:hAnsi="Times New Roman" w:cs="Times New Roman"/>
                <w:sz w:val="20"/>
                <w:szCs w:val="20"/>
              </w:rPr>
              <w:t>At 3 Months</w:t>
            </w:r>
          </w:p>
          <w:p w:rsidR="00065F92" w:rsidRPr="00F374D3" w:rsidRDefault="00065F92" w:rsidP="00F374D3">
            <w:pPr>
              <w:spacing w:after="0" w:line="360" w:lineRule="auto"/>
              <w:ind w:left="1350"/>
              <w:jc w:val="both"/>
              <w:rPr>
                <w:rFonts w:ascii="Times New Roman" w:hAnsi="Times New Roman" w:cs="Times New Roman"/>
                <w:sz w:val="20"/>
                <w:szCs w:val="20"/>
              </w:rPr>
            </w:pPr>
            <w:r w:rsidRPr="00F374D3">
              <w:rPr>
                <w:rFonts w:ascii="Times New Roman" w:hAnsi="Times New Roman" w:cs="Times New Roman"/>
                <w:sz w:val="20"/>
                <w:szCs w:val="20"/>
              </w:rPr>
              <w:t>At 6 Months</w:t>
            </w:r>
          </w:p>
          <w:p w:rsidR="00065F92" w:rsidRPr="00F374D3" w:rsidRDefault="00065F92" w:rsidP="00F374D3">
            <w:pPr>
              <w:spacing w:after="0" w:line="360" w:lineRule="auto"/>
              <w:ind w:left="1350"/>
              <w:jc w:val="both"/>
              <w:rPr>
                <w:rFonts w:ascii="Times New Roman" w:hAnsi="Times New Roman" w:cs="Times New Roman"/>
                <w:sz w:val="20"/>
                <w:szCs w:val="20"/>
              </w:rPr>
            </w:pPr>
            <w:r w:rsidRPr="00F374D3">
              <w:rPr>
                <w:rFonts w:ascii="Times New Roman" w:hAnsi="Times New Roman" w:cs="Times New Roman"/>
                <w:sz w:val="20"/>
                <w:szCs w:val="20"/>
              </w:rPr>
              <w:t>At 1 Year</w:t>
            </w:r>
          </w:p>
        </w:tc>
        <w:tc>
          <w:tcPr>
            <w:tcW w:w="1530"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3.486</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4.094</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4.273</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4.520</w:t>
            </w:r>
          </w:p>
        </w:tc>
        <w:tc>
          <w:tcPr>
            <w:tcW w:w="1080"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65.28</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76.65</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80.02</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84.74</w:t>
            </w:r>
          </w:p>
        </w:tc>
        <w:tc>
          <w:tcPr>
            <w:tcW w:w="1319"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tc>
        <w:tc>
          <w:tcPr>
            <w:tcW w:w="1569"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r w:rsidR="00065F92" w:rsidRPr="00F374D3" w:rsidTr="00065F92">
        <w:trPr>
          <w:trHeight w:val="260"/>
        </w:trPr>
        <w:tc>
          <w:tcPr>
            <w:tcW w:w="3168"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 xml:space="preserve">S. </w:t>
            </w:r>
            <w:proofErr w:type="spellStart"/>
            <w:r w:rsidRPr="00F374D3">
              <w:rPr>
                <w:rFonts w:ascii="Times New Roman" w:hAnsi="Times New Roman" w:cs="Times New Roman"/>
                <w:sz w:val="20"/>
                <w:szCs w:val="20"/>
              </w:rPr>
              <w:t>Creatinine</w:t>
            </w:r>
            <w:proofErr w:type="spellEnd"/>
            <w:r w:rsidRPr="00F374D3">
              <w:rPr>
                <w:rFonts w:ascii="Times New Roman" w:hAnsi="Times New Roman" w:cs="Times New Roman"/>
                <w:sz w:val="20"/>
                <w:szCs w:val="20"/>
              </w:rPr>
              <w:t xml:space="preserve">  At Discharge</w:t>
            </w:r>
          </w:p>
          <w:p w:rsidR="00065F92" w:rsidRPr="00F374D3" w:rsidRDefault="00065F92" w:rsidP="00F374D3">
            <w:pPr>
              <w:spacing w:after="0" w:line="360" w:lineRule="auto"/>
              <w:ind w:left="1350"/>
              <w:jc w:val="both"/>
              <w:rPr>
                <w:rFonts w:ascii="Times New Roman" w:hAnsi="Times New Roman" w:cs="Times New Roman"/>
                <w:sz w:val="20"/>
                <w:szCs w:val="20"/>
              </w:rPr>
            </w:pPr>
            <w:r w:rsidRPr="00F374D3">
              <w:rPr>
                <w:rFonts w:ascii="Times New Roman" w:hAnsi="Times New Roman" w:cs="Times New Roman"/>
                <w:sz w:val="20"/>
                <w:szCs w:val="20"/>
              </w:rPr>
              <w:t>At 3 Months</w:t>
            </w:r>
          </w:p>
          <w:p w:rsidR="00065F92" w:rsidRPr="00F374D3" w:rsidRDefault="00065F92" w:rsidP="00F374D3">
            <w:pPr>
              <w:spacing w:after="0" w:line="360" w:lineRule="auto"/>
              <w:ind w:left="1350"/>
              <w:jc w:val="both"/>
              <w:rPr>
                <w:rFonts w:ascii="Times New Roman" w:hAnsi="Times New Roman" w:cs="Times New Roman"/>
                <w:sz w:val="20"/>
                <w:szCs w:val="20"/>
              </w:rPr>
            </w:pPr>
            <w:r w:rsidRPr="00F374D3">
              <w:rPr>
                <w:rFonts w:ascii="Times New Roman" w:hAnsi="Times New Roman" w:cs="Times New Roman"/>
                <w:sz w:val="20"/>
                <w:szCs w:val="20"/>
              </w:rPr>
              <w:t>At 6 Months</w:t>
            </w:r>
          </w:p>
          <w:p w:rsidR="00065F92" w:rsidRPr="00F374D3" w:rsidRDefault="00065F92" w:rsidP="00F374D3">
            <w:pPr>
              <w:spacing w:after="0" w:line="360" w:lineRule="auto"/>
              <w:ind w:left="1350"/>
              <w:jc w:val="both"/>
              <w:rPr>
                <w:rFonts w:ascii="Times New Roman" w:hAnsi="Times New Roman" w:cs="Times New Roman"/>
                <w:sz w:val="20"/>
                <w:szCs w:val="20"/>
              </w:rPr>
            </w:pPr>
            <w:r w:rsidRPr="00F374D3">
              <w:rPr>
                <w:rFonts w:ascii="Times New Roman" w:hAnsi="Times New Roman" w:cs="Times New Roman"/>
                <w:sz w:val="20"/>
                <w:szCs w:val="20"/>
              </w:rPr>
              <w:t>At 1 Year</w:t>
            </w:r>
          </w:p>
        </w:tc>
        <w:tc>
          <w:tcPr>
            <w:tcW w:w="1530"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0.608</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0.787</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1.330</w:t>
            </w:r>
          </w:p>
        </w:tc>
        <w:tc>
          <w:tcPr>
            <w:tcW w:w="1080"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32.76</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42.46</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56.05</w:t>
            </w:r>
          </w:p>
        </w:tc>
        <w:tc>
          <w:tcPr>
            <w:tcW w:w="1319"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tc>
        <w:tc>
          <w:tcPr>
            <w:tcW w:w="1569"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r w:rsidR="00065F92" w:rsidRPr="00F374D3" w:rsidTr="00065F92">
        <w:trPr>
          <w:trHeight w:val="1055"/>
        </w:trPr>
        <w:tc>
          <w:tcPr>
            <w:tcW w:w="3168"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 xml:space="preserve">S. </w:t>
            </w:r>
            <w:proofErr w:type="spellStart"/>
            <w:r w:rsidRPr="00F374D3">
              <w:rPr>
                <w:rFonts w:ascii="Times New Roman" w:hAnsi="Times New Roman" w:cs="Times New Roman"/>
                <w:sz w:val="20"/>
                <w:szCs w:val="20"/>
              </w:rPr>
              <w:t>Creatinine</w:t>
            </w:r>
            <w:proofErr w:type="spellEnd"/>
            <w:r w:rsidRPr="00F374D3">
              <w:rPr>
                <w:rFonts w:ascii="Times New Roman" w:hAnsi="Times New Roman" w:cs="Times New Roman"/>
                <w:sz w:val="20"/>
                <w:szCs w:val="20"/>
              </w:rPr>
              <w:t xml:space="preserve">  At 3 Month </w:t>
            </w:r>
          </w:p>
          <w:p w:rsidR="00065F92" w:rsidRPr="00F374D3" w:rsidRDefault="00065F92" w:rsidP="00F374D3">
            <w:pPr>
              <w:spacing w:after="0" w:line="360" w:lineRule="auto"/>
              <w:ind w:left="1350"/>
              <w:jc w:val="both"/>
              <w:rPr>
                <w:rFonts w:ascii="Times New Roman" w:hAnsi="Times New Roman" w:cs="Times New Roman"/>
                <w:sz w:val="20"/>
                <w:szCs w:val="20"/>
              </w:rPr>
            </w:pPr>
            <w:r w:rsidRPr="00F374D3">
              <w:rPr>
                <w:rFonts w:ascii="Times New Roman" w:hAnsi="Times New Roman" w:cs="Times New Roman"/>
                <w:sz w:val="20"/>
                <w:szCs w:val="20"/>
              </w:rPr>
              <w:t>At 6 Months</w:t>
            </w:r>
          </w:p>
          <w:p w:rsidR="00065F92" w:rsidRPr="00F374D3" w:rsidRDefault="00065F92" w:rsidP="00F374D3">
            <w:pPr>
              <w:spacing w:after="0" w:line="360" w:lineRule="auto"/>
              <w:ind w:left="1350"/>
              <w:jc w:val="both"/>
              <w:rPr>
                <w:rFonts w:ascii="Times New Roman" w:hAnsi="Times New Roman" w:cs="Times New Roman"/>
                <w:sz w:val="20"/>
                <w:szCs w:val="20"/>
              </w:rPr>
            </w:pPr>
            <w:r w:rsidRPr="00F374D3">
              <w:rPr>
                <w:rFonts w:ascii="Times New Roman" w:hAnsi="Times New Roman" w:cs="Times New Roman"/>
                <w:sz w:val="20"/>
                <w:szCs w:val="20"/>
              </w:rPr>
              <w:t>At 1 Year</w:t>
            </w:r>
          </w:p>
        </w:tc>
        <w:tc>
          <w:tcPr>
            <w:tcW w:w="1530"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0.180</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0.430</w:t>
            </w:r>
          </w:p>
        </w:tc>
        <w:tc>
          <w:tcPr>
            <w:tcW w:w="1080"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14.42</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34.63</w:t>
            </w:r>
          </w:p>
        </w:tc>
        <w:tc>
          <w:tcPr>
            <w:tcW w:w="1319"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tc>
        <w:tc>
          <w:tcPr>
            <w:tcW w:w="1569"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r w:rsidR="00065F92" w:rsidRPr="00F374D3" w:rsidTr="00065F92">
        <w:trPr>
          <w:trHeight w:val="732"/>
        </w:trPr>
        <w:tc>
          <w:tcPr>
            <w:tcW w:w="3168"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 xml:space="preserve">S. </w:t>
            </w:r>
            <w:proofErr w:type="spellStart"/>
            <w:r w:rsidRPr="00F374D3">
              <w:rPr>
                <w:rFonts w:ascii="Times New Roman" w:hAnsi="Times New Roman" w:cs="Times New Roman"/>
                <w:sz w:val="20"/>
                <w:szCs w:val="20"/>
              </w:rPr>
              <w:t>Creatinine</w:t>
            </w:r>
            <w:proofErr w:type="spellEnd"/>
            <w:r w:rsidRPr="00F374D3">
              <w:rPr>
                <w:rFonts w:ascii="Times New Roman" w:hAnsi="Times New Roman" w:cs="Times New Roman"/>
                <w:sz w:val="20"/>
                <w:szCs w:val="20"/>
              </w:rPr>
              <w:t xml:space="preserve">  At 6 Months</w:t>
            </w:r>
          </w:p>
          <w:p w:rsidR="00065F92" w:rsidRPr="00F374D3" w:rsidRDefault="00065F92" w:rsidP="00F374D3">
            <w:pPr>
              <w:spacing w:after="0" w:line="360" w:lineRule="auto"/>
              <w:ind w:left="1350"/>
              <w:jc w:val="both"/>
              <w:rPr>
                <w:rFonts w:ascii="Times New Roman" w:hAnsi="Times New Roman" w:cs="Times New Roman"/>
                <w:sz w:val="20"/>
                <w:szCs w:val="20"/>
              </w:rPr>
            </w:pPr>
            <w:r w:rsidRPr="00F374D3">
              <w:rPr>
                <w:rFonts w:ascii="Times New Roman" w:hAnsi="Times New Roman" w:cs="Times New Roman"/>
                <w:sz w:val="20"/>
                <w:szCs w:val="20"/>
              </w:rPr>
              <w:t>At 1 Year</w:t>
            </w:r>
          </w:p>
        </w:tc>
        <w:tc>
          <w:tcPr>
            <w:tcW w:w="1530"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0.250</w:t>
            </w:r>
          </w:p>
        </w:tc>
        <w:tc>
          <w:tcPr>
            <w:tcW w:w="1080"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23.62</w:t>
            </w:r>
          </w:p>
        </w:tc>
        <w:tc>
          <w:tcPr>
            <w:tcW w:w="1319"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tc>
        <w:tc>
          <w:tcPr>
            <w:tcW w:w="1569"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bl>
    <w:p w:rsidR="00F54AA8" w:rsidRDefault="00F54AA8" w:rsidP="00F54AA8">
      <w:pPr>
        <w:spacing w:after="0" w:line="360" w:lineRule="auto"/>
        <w:jc w:val="both"/>
        <w:rPr>
          <w:rFonts w:ascii="Times New Roman" w:hAnsi="Times New Roman" w:cs="Times New Roman"/>
          <w:sz w:val="20"/>
          <w:szCs w:val="20"/>
        </w:rPr>
      </w:pPr>
    </w:p>
    <w:p w:rsidR="00065F92" w:rsidRPr="00F374D3" w:rsidRDefault="00065F92" w:rsidP="00F54AA8">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 xml:space="preserve">Above tables 4 and 5 represent the change in serum </w:t>
      </w:r>
      <w:proofErr w:type="spellStart"/>
      <w:r w:rsidRPr="00F374D3">
        <w:rPr>
          <w:rFonts w:ascii="Times New Roman" w:hAnsi="Times New Roman" w:cs="Times New Roman"/>
          <w:sz w:val="20"/>
          <w:szCs w:val="20"/>
        </w:rPr>
        <w:t>creatinine</w:t>
      </w:r>
      <w:proofErr w:type="spellEnd"/>
      <w:r w:rsidRPr="00F374D3">
        <w:rPr>
          <w:rFonts w:ascii="Times New Roman" w:hAnsi="Times New Roman" w:cs="Times New Roman"/>
          <w:sz w:val="20"/>
          <w:szCs w:val="20"/>
        </w:rPr>
        <w:t xml:space="preserve"> levels during follow-up period. By Friedman test and pairwise comparison by Wilcoxon signed rank test it is evident that there was significant drop in serum </w:t>
      </w:r>
      <w:proofErr w:type="spellStart"/>
      <w:r w:rsidRPr="00F374D3">
        <w:rPr>
          <w:rFonts w:ascii="Times New Roman" w:hAnsi="Times New Roman" w:cs="Times New Roman"/>
          <w:sz w:val="20"/>
          <w:szCs w:val="20"/>
        </w:rPr>
        <w:t>creatinine</w:t>
      </w:r>
      <w:proofErr w:type="spellEnd"/>
      <w:r w:rsidRPr="00F374D3">
        <w:rPr>
          <w:rFonts w:ascii="Times New Roman" w:hAnsi="Times New Roman" w:cs="Times New Roman"/>
          <w:sz w:val="20"/>
          <w:szCs w:val="20"/>
        </w:rPr>
        <w:t xml:space="preserve"> levels from admission till the end of 1 year (i.e., in every follow-up till end of study period) with P value 0.000 (&lt;0.05).</w:t>
      </w:r>
    </w:p>
    <w:p w:rsidR="00D13186" w:rsidRPr="00F374D3" w:rsidRDefault="00D13186" w:rsidP="00F374D3">
      <w:pPr>
        <w:spacing w:after="0" w:line="360" w:lineRule="auto"/>
        <w:jc w:val="both"/>
        <w:rPr>
          <w:rFonts w:ascii="Times New Roman" w:hAnsi="Times New Roman" w:cs="Times New Roman"/>
          <w:b/>
          <w:spacing w:val="-6"/>
          <w:sz w:val="20"/>
          <w:szCs w:val="20"/>
        </w:rPr>
      </w:pPr>
    </w:p>
    <w:p w:rsidR="00065F92" w:rsidRPr="00F374D3" w:rsidRDefault="00065F92" w:rsidP="00F374D3">
      <w:pPr>
        <w:spacing w:after="0" w:line="360" w:lineRule="auto"/>
        <w:jc w:val="both"/>
        <w:rPr>
          <w:rFonts w:ascii="Times New Roman" w:hAnsi="Times New Roman" w:cs="Times New Roman"/>
          <w:b/>
          <w:spacing w:val="-4"/>
          <w:sz w:val="20"/>
          <w:szCs w:val="20"/>
        </w:rPr>
      </w:pPr>
      <w:r w:rsidRPr="00F374D3">
        <w:rPr>
          <w:rFonts w:ascii="Times New Roman" w:hAnsi="Times New Roman" w:cs="Times New Roman"/>
          <w:b/>
          <w:spacing w:val="-6"/>
          <w:sz w:val="20"/>
          <w:szCs w:val="20"/>
        </w:rPr>
        <w:t xml:space="preserve"> </w:t>
      </w:r>
      <w:r w:rsidRPr="00F374D3">
        <w:rPr>
          <w:rFonts w:ascii="Times New Roman" w:hAnsi="Times New Roman" w:cs="Times New Roman"/>
          <w:b/>
          <w:spacing w:val="-4"/>
          <w:sz w:val="20"/>
          <w:szCs w:val="20"/>
        </w:rPr>
        <w:t xml:space="preserve">TABLE 6: Showing </w:t>
      </w:r>
      <w:proofErr w:type="spellStart"/>
      <w:r w:rsidRPr="00F374D3">
        <w:rPr>
          <w:rFonts w:ascii="Times New Roman" w:hAnsi="Times New Roman" w:cs="Times New Roman"/>
          <w:b/>
          <w:spacing w:val="-4"/>
          <w:sz w:val="20"/>
          <w:szCs w:val="20"/>
        </w:rPr>
        <w:t>McNemer</w:t>
      </w:r>
      <w:proofErr w:type="spellEnd"/>
      <w:r w:rsidRPr="00F374D3">
        <w:rPr>
          <w:rFonts w:ascii="Times New Roman" w:hAnsi="Times New Roman" w:cs="Times New Roman"/>
          <w:b/>
          <w:spacing w:val="-4"/>
          <w:sz w:val="20"/>
          <w:szCs w:val="20"/>
        </w:rPr>
        <w:t xml:space="preserve"> test analysis in study population during study period </w:t>
      </w:r>
    </w:p>
    <w:p w:rsidR="00065F92" w:rsidRPr="00F374D3" w:rsidRDefault="00065F92" w:rsidP="00F374D3">
      <w:pPr>
        <w:spacing w:after="0" w:line="360" w:lineRule="auto"/>
        <w:jc w:val="both"/>
        <w:rPr>
          <w:rFonts w:ascii="Times New Roman" w:hAnsi="Times New Roman" w:cs="Times New Roman"/>
          <w:b/>
          <w:spacing w:val="-4"/>
          <w:sz w:val="20"/>
          <w:szCs w:val="20"/>
        </w:rPr>
      </w:pP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2"/>
        <w:gridCol w:w="2482"/>
        <w:gridCol w:w="1884"/>
      </w:tblGrid>
      <w:tr w:rsidR="00065F92" w:rsidRPr="00F374D3" w:rsidTr="00065F92">
        <w:trPr>
          <w:trHeight w:val="594"/>
          <w:jc w:val="center"/>
        </w:trPr>
        <w:tc>
          <w:tcPr>
            <w:tcW w:w="3482" w:type="dxa"/>
            <w:shd w:val="clear" w:color="auto" w:fill="auto"/>
          </w:tcPr>
          <w:p w:rsidR="00065F92" w:rsidRPr="00F374D3" w:rsidRDefault="00065F92" w:rsidP="00F374D3">
            <w:pPr>
              <w:spacing w:after="0" w:line="360" w:lineRule="auto"/>
              <w:jc w:val="both"/>
              <w:rPr>
                <w:rFonts w:ascii="Times New Roman" w:hAnsi="Times New Roman" w:cs="Times New Roman"/>
                <w:b/>
                <w:sz w:val="20"/>
                <w:szCs w:val="20"/>
              </w:rPr>
            </w:pPr>
            <w:r w:rsidRPr="00F374D3">
              <w:rPr>
                <w:rFonts w:ascii="Times New Roman" w:hAnsi="Times New Roman" w:cs="Times New Roman"/>
                <w:b/>
                <w:sz w:val="20"/>
                <w:szCs w:val="20"/>
              </w:rPr>
              <w:t xml:space="preserve">Parameter (Serum </w:t>
            </w:r>
            <w:proofErr w:type="spellStart"/>
            <w:r w:rsidRPr="00F374D3">
              <w:rPr>
                <w:rFonts w:ascii="Times New Roman" w:hAnsi="Times New Roman" w:cs="Times New Roman"/>
                <w:b/>
                <w:sz w:val="20"/>
                <w:szCs w:val="20"/>
              </w:rPr>
              <w:t>Creatinine</w:t>
            </w:r>
            <w:proofErr w:type="spellEnd"/>
            <w:r w:rsidRPr="00F374D3">
              <w:rPr>
                <w:rFonts w:ascii="Times New Roman" w:hAnsi="Times New Roman" w:cs="Times New Roman"/>
                <w:b/>
                <w:sz w:val="20"/>
                <w:szCs w:val="20"/>
              </w:rPr>
              <w:t>)</w:t>
            </w:r>
          </w:p>
        </w:tc>
        <w:tc>
          <w:tcPr>
            <w:tcW w:w="2482" w:type="dxa"/>
            <w:shd w:val="clear" w:color="auto" w:fill="auto"/>
          </w:tcPr>
          <w:p w:rsidR="00065F92" w:rsidRPr="00F374D3" w:rsidRDefault="00065F92" w:rsidP="00F374D3">
            <w:pPr>
              <w:spacing w:after="0" w:line="360" w:lineRule="auto"/>
              <w:jc w:val="both"/>
              <w:rPr>
                <w:rFonts w:ascii="Times New Roman" w:hAnsi="Times New Roman" w:cs="Times New Roman"/>
                <w:b/>
                <w:sz w:val="20"/>
                <w:szCs w:val="20"/>
              </w:rPr>
            </w:pPr>
            <w:proofErr w:type="spellStart"/>
            <w:r w:rsidRPr="00F374D3">
              <w:rPr>
                <w:rFonts w:ascii="Times New Roman" w:hAnsi="Times New Roman" w:cs="Times New Roman"/>
                <w:b/>
                <w:sz w:val="20"/>
                <w:szCs w:val="20"/>
              </w:rPr>
              <w:t>McNemer</w:t>
            </w:r>
            <w:proofErr w:type="spellEnd"/>
            <w:r w:rsidRPr="00F374D3">
              <w:rPr>
                <w:rFonts w:ascii="Times New Roman" w:hAnsi="Times New Roman" w:cs="Times New Roman"/>
                <w:b/>
                <w:sz w:val="20"/>
                <w:szCs w:val="20"/>
              </w:rPr>
              <w:t xml:space="preserve"> Test Value</w:t>
            </w:r>
          </w:p>
        </w:tc>
        <w:tc>
          <w:tcPr>
            <w:tcW w:w="1884" w:type="dxa"/>
            <w:shd w:val="clear" w:color="auto" w:fill="auto"/>
          </w:tcPr>
          <w:p w:rsidR="00065F92" w:rsidRPr="00F374D3" w:rsidRDefault="00065F92" w:rsidP="00F374D3">
            <w:pPr>
              <w:spacing w:after="0" w:line="360" w:lineRule="auto"/>
              <w:jc w:val="both"/>
              <w:rPr>
                <w:rFonts w:ascii="Times New Roman" w:hAnsi="Times New Roman" w:cs="Times New Roman"/>
                <w:b/>
                <w:sz w:val="20"/>
                <w:szCs w:val="20"/>
              </w:rPr>
            </w:pPr>
            <w:r w:rsidRPr="00F374D3">
              <w:rPr>
                <w:rFonts w:ascii="Times New Roman" w:hAnsi="Times New Roman" w:cs="Times New Roman"/>
                <w:b/>
                <w:sz w:val="20"/>
                <w:szCs w:val="20"/>
              </w:rPr>
              <w:t>Significance</w:t>
            </w:r>
          </w:p>
        </w:tc>
      </w:tr>
      <w:tr w:rsidR="00065F92" w:rsidRPr="00F374D3" w:rsidTr="00065F92">
        <w:trPr>
          <w:trHeight w:val="558"/>
          <w:jc w:val="center"/>
        </w:trPr>
        <w:tc>
          <w:tcPr>
            <w:tcW w:w="3482"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At Discharge – At Admission</w:t>
            </w:r>
          </w:p>
        </w:tc>
        <w:tc>
          <w:tcPr>
            <w:tcW w:w="2482"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tc>
        <w:tc>
          <w:tcPr>
            <w:tcW w:w="1884"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r w:rsidR="00065F92" w:rsidRPr="00F374D3" w:rsidTr="00065F92">
        <w:trPr>
          <w:trHeight w:val="594"/>
          <w:jc w:val="center"/>
        </w:trPr>
        <w:tc>
          <w:tcPr>
            <w:tcW w:w="3482"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At 3months – At Admission</w:t>
            </w:r>
          </w:p>
        </w:tc>
        <w:tc>
          <w:tcPr>
            <w:tcW w:w="2482"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tc>
        <w:tc>
          <w:tcPr>
            <w:tcW w:w="1884"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r w:rsidR="00065F92" w:rsidRPr="00F374D3" w:rsidTr="00065F92">
        <w:trPr>
          <w:trHeight w:val="594"/>
          <w:jc w:val="center"/>
        </w:trPr>
        <w:tc>
          <w:tcPr>
            <w:tcW w:w="3482"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At 6 Months – At Admission</w:t>
            </w:r>
          </w:p>
        </w:tc>
        <w:tc>
          <w:tcPr>
            <w:tcW w:w="2482"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tc>
        <w:tc>
          <w:tcPr>
            <w:tcW w:w="1884"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r w:rsidR="00065F92" w:rsidRPr="00F374D3" w:rsidTr="00065F92">
        <w:trPr>
          <w:trHeight w:val="558"/>
          <w:jc w:val="center"/>
        </w:trPr>
        <w:tc>
          <w:tcPr>
            <w:tcW w:w="3482"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At 1 Year – At Admission</w:t>
            </w:r>
          </w:p>
        </w:tc>
        <w:tc>
          <w:tcPr>
            <w:tcW w:w="2482"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tc>
        <w:tc>
          <w:tcPr>
            <w:tcW w:w="1884"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r w:rsidR="00065F92" w:rsidRPr="00F374D3" w:rsidTr="00065F92">
        <w:trPr>
          <w:trHeight w:val="594"/>
          <w:jc w:val="center"/>
        </w:trPr>
        <w:tc>
          <w:tcPr>
            <w:tcW w:w="3482"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At 3 Months – At Discharge</w:t>
            </w:r>
          </w:p>
        </w:tc>
        <w:tc>
          <w:tcPr>
            <w:tcW w:w="2482"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tc>
        <w:tc>
          <w:tcPr>
            <w:tcW w:w="1884"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r w:rsidR="00065F92" w:rsidRPr="00F374D3" w:rsidTr="00065F92">
        <w:trPr>
          <w:trHeight w:val="558"/>
          <w:jc w:val="center"/>
        </w:trPr>
        <w:tc>
          <w:tcPr>
            <w:tcW w:w="3482"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At 6 Months – At Discharge</w:t>
            </w:r>
          </w:p>
        </w:tc>
        <w:tc>
          <w:tcPr>
            <w:tcW w:w="2482"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tc>
        <w:tc>
          <w:tcPr>
            <w:tcW w:w="1884"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r w:rsidR="00065F92" w:rsidRPr="00F374D3" w:rsidTr="00065F92">
        <w:trPr>
          <w:trHeight w:val="594"/>
          <w:jc w:val="center"/>
        </w:trPr>
        <w:tc>
          <w:tcPr>
            <w:tcW w:w="3482"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lastRenderedPageBreak/>
              <w:t>At 1 Year – At Discharge</w:t>
            </w:r>
          </w:p>
        </w:tc>
        <w:tc>
          <w:tcPr>
            <w:tcW w:w="2482"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tc>
        <w:tc>
          <w:tcPr>
            <w:tcW w:w="1884"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r w:rsidR="00065F92" w:rsidRPr="00F374D3" w:rsidTr="00065F92">
        <w:trPr>
          <w:trHeight w:val="558"/>
          <w:jc w:val="center"/>
        </w:trPr>
        <w:tc>
          <w:tcPr>
            <w:tcW w:w="3482"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At 6 Months – At 3months</w:t>
            </w:r>
          </w:p>
        </w:tc>
        <w:tc>
          <w:tcPr>
            <w:tcW w:w="2482"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0.527</w:t>
            </w:r>
          </w:p>
        </w:tc>
        <w:tc>
          <w:tcPr>
            <w:tcW w:w="1884"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Ns</w:t>
            </w:r>
          </w:p>
        </w:tc>
      </w:tr>
      <w:tr w:rsidR="00065F92" w:rsidRPr="00F374D3" w:rsidTr="00065F92">
        <w:trPr>
          <w:trHeight w:val="594"/>
          <w:jc w:val="center"/>
        </w:trPr>
        <w:tc>
          <w:tcPr>
            <w:tcW w:w="3482"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At 1 Year – At 3months</w:t>
            </w:r>
          </w:p>
        </w:tc>
        <w:tc>
          <w:tcPr>
            <w:tcW w:w="2482"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tc>
        <w:tc>
          <w:tcPr>
            <w:tcW w:w="1884"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r w:rsidR="00065F92" w:rsidRPr="00F374D3" w:rsidTr="00065F92">
        <w:trPr>
          <w:trHeight w:val="594"/>
          <w:jc w:val="center"/>
        </w:trPr>
        <w:tc>
          <w:tcPr>
            <w:tcW w:w="3482"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At 1 Year – At 6 Months</w:t>
            </w:r>
          </w:p>
        </w:tc>
        <w:tc>
          <w:tcPr>
            <w:tcW w:w="2482"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tc>
        <w:tc>
          <w:tcPr>
            <w:tcW w:w="1884"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bl>
    <w:p w:rsidR="00065F92" w:rsidRPr="00F374D3" w:rsidRDefault="00065F92" w:rsidP="00F374D3">
      <w:pPr>
        <w:spacing w:after="0" w:line="360" w:lineRule="auto"/>
        <w:jc w:val="both"/>
        <w:rPr>
          <w:rFonts w:ascii="Times New Roman" w:hAnsi="Times New Roman" w:cs="Times New Roman"/>
          <w:b/>
          <w:sz w:val="20"/>
          <w:szCs w:val="20"/>
        </w:rPr>
      </w:pPr>
    </w:p>
    <w:p w:rsidR="00065F92" w:rsidRPr="00F374D3" w:rsidRDefault="00065F92" w:rsidP="00F374D3">
      <w:pPr>
        <w:spacing w:after="0" w:line="360" w:lineRule="auto"/>
        <w:jc w:val="both"/>
        <w:rPr>
          <w:rFonts w:ascii="Times New Roman" w:hAnsi="Times New Roman" w:cs="Times New Roman"/>
          <w:b/>
          <w:sz w:val="20"/>
          <w:szCs w:val="20"/>
        </w:rPr>
      </w:pPr>
      <w:r w:rsidRPr="00F374D3">
        <w:rPr>
          <w:rFonts w:ascii="Times New Roman" w:hAnsi="Times New Roman" w:cs="Times New Roman"/>
          <w:b/>
          <w:sz w:val="20"/>
          <w:szCs w:val="20"/>
        </w:rPr>
        <w:t xml:space="preserve">TABLE 7: Showing study population with normal and abnormal </w:t>
      </w:r>
      <w:proofErr w:type="spellStart"/>
      <w:r w:rsidRPr="00F374D3">
        <w:rPr>
          <w:rFonts w:ascii="Times New Roman" w:hAnsi="Times New Roman" w:cs="Times New Roman"/>
          <w:b/>
          <w:sz w:val="20"/>
          <w:szCs w:val="20"/>
        </w:rPr>
        <w:t>creatinine</w:t>
      </w:r>
      <w:proofErr w:type="spellEnd"/>
      <w:r w:rsidRPr="00F374D3">
        <w:rPr>
          <w:rFonts w:ascii="Times New Roman" w:hAnsi="Times New Roman" w:cs="Times New Roman"/>
          <w:b/>
          <w:sz w:val="20"/>
          <w:szCs w:val="20"/>
        </w:rPr>
        <w:t xml:space="preserve"> during study period</w:t>
      </w:r>
    </w:p>
    <w:tbl>
      <w:tblPr>
        <w:tblW w:w="8280" w:type="dxa"/>
        <w:tblInd w:w="93" w:type="dxa"/>
        <w:tblLayout w:type="fixed"/>
        <w:tblCellMar>
          <w:left w:w="93" w:type="dxa"/>
          <w:right w:w="93" w:type="dxa"/>
        </w:tblCellMar>
        <w:tblLook w:val="0000" w:firstRow="0" w:lastRow="0" w:firstColumn="0" w:lastColumn="0" w:noHBand="0" w:noVBand="0"/>
      </w:tblPr>
      <w:tblGrid>
        <w:gridCol w:w="2070"/>
        <w:gridCol w:w="1170"/>
        <w:gridCol w:w="900"/>
        <w:gridCol w:w="1170"/>
        <w:gridCol w:w="900"/>
        <w:gridCol w:w="1080"/>
        <w:gridCol w:w="990"/>
      </w:tblGrid>
      <w:tr w:rsidR="00065F92" w:rsidRPr="00F374D3" w:rsidTr="00065F92">
        <w:trPr>
          <w:trHeight w:val="669"/>
        </w:trPr>
        <w:tc>
          <w:tcPr>
            <w:tcW w:w="2070"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Parameter</w:t>
            </w:r>
          </w:p>
        </w:tc>
        <w:tc>
          <w:tcPr>
            <w:tcW w:w="2070" w:type="dxa"/>
            <w:gridSpan w:val="2"/>
            <w:tcBorders>
              <w:top w:val="single" w:sz="12" w:space="0" w:color="000000"/>
              <w:left w:val="single" w:sz="12" w:space="0" w:color="000000"/>
              <w:bottom w:val="single" w:sz="2" w:space="0" w:color="000000"/>
              <w:right w:val="single" w:sz="2" w:space="0" w:color="000000"/>
            </w:tcBorders>
            <w:shd w:val="clear" w:color="000000" w:fill="FFFFFF"/>
            <w:vAlign w:val="center"/>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Normal</w:t>
            </w:r>
          </w:p>
        </w:tc>
        <w:tc>
          <w:tcPr>
            <w:tcW w:w="2070" w:type="dxa"/>
            <w:gridSpan w:val="2"/>
            <w:tcBorders>
              <w:top w:val="single" w:sz="12" w:space="0" w:color="000000"/>
              <w:left w:val="single" w:sz="2" w:space="0" w:color="000000"/>
              <w:bottom w:val="single" w:sz="2" w:space="0" w:color="000000"/>
              <w:right w:val="single" w:sz="2" w:space="0" w:color="000000"/>
            </w:tcBorders>
            <w:shd w:val="clear" w:color="000000" w:fill="FFFFFF"/>
            <w:vAlign w:val="center"/>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Abnormal</w:t>
            </w:r>
          </w:p>
        </w:tc>
        <w:tc>
          <w:tcPr>
            <w:tcW w:w="2070" w:type="dxa"/>
            <w:gridSpan w:val="2"/>
            <w:tcBorders>
              <w:top w:val="single" w:sz="12" w:space="0" w:color="000000"/>
              <w:left w:val="single" w:sz="2" w:space="0" w:color="000000"/>
              <w:bottom w:val="single" w:sz="2" w:space="0" w:color="000000"/>
              <w:right w:val="single" w:sz="12" w:space="0" w:color="000000"/>
            </w:tcBorders>
            <w:shd w:val="clear" w:color="000000" w:fill="FFFFFF"/>
            <w:vAlign w:val="center"/>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Total</w:t>
            </w:r>
          </w:p>
        </w:tc>
      </w:tr>
      <w:tr w:rsidR="00065F92" w:rsidRPr="00F374D3" w:rsidTr="00065F92">
        <w:trPr>
          <w:trHeight w:val="50"/>
        </w:trPr>
        <w:tc>
          <w:tcPr>
            <w:tcW w:w="2070"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 xml:space="preserve">Serum </w:t>
            </w:r>
            <w:proofErr w:type="spellStart"/>
            <w:r w:rsidRPr="00F374D3">
              <w:rPr>
                <w:rFonts w:ascii="Times New Roman" w:hAnsi="Times New Roman" w:cs="Times New Roman"/>
                <w:b/>
                <w:color w:val="000000"/>
                <w:sz w:val="20"/>
                <w:szCs w:val="20"/>
              </w:rPr>
              <w:t>Creatinine</w:t>
            </w:r>
            <w:proofErr w:type="spellEnd"/>
          </w:p>
        </w:tc>
        <w:tc>
          <w:tcPr>
            <w:tcW w:w="1170" w:type="dxa"/>
            <w:tcBorders>
              <w:top w:val="single" w:sz="2" w:space="0" w:color="000000"/>
              <w:left w:val="single" w:sz="12" w:space="0" w:color="000000"/>
              <w:bottom w:val="single" w:sz="12" w:space="0" w:color="000000"/>
              <w:right w:val="single" w:sz="2" w:space="0" w:color="000000"/>
            </w:tcBorders>
            <w:shd w:val="clear" w:color="000000" w:fill="FFFFFF"/>
            <w:vAlign w:val="center"/>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No. Of Patients</w:t>
            </w:r>
          </w:p>
        </w:tc>
        <w:tc>
          <w:tcPr>
            <w:tcW w:w="900" w:type="dxa"/>
            <w:tcBorders>
              <w:top w:val="single" w:sz="2" w:space="0" w:color="000000"/>
              <w:left w:val="single" w:sz="2" w:space="0" w:color="000000"/>
              <w:bottom w:val="single" w:sz="12" w:space="0" w:color="000000"/>
              <w:right w:val="single" w:sz="2" w:space="0" w:color="000000"/>
            </w:tcBorders>
            <w:shd w:val="clear" w:color="000000" w:fill="FFFFFF"/>
            <w:vAlign w:val="center"/>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w:t>
            </w:r>
          </w:p>
        </w:tc>
        <w:tc>
          <w:tcPr>
            <w:tcW w:w="1170" w:type="dxa"/>
            <w:tcBorders>
              <w:top w:val="single" w:sz="2" w:space="0" w:color="000000"/>
              <w:left w:val="single" w:sz="2" w:space="0" w:color="000000"/>
              <w:bottom w:val="single" w:sz="12" w:space="0" w:color="000000"/>
              <w:right w:val="single" w:sz="2" w:space="0" w:color="000000"/>
            </w:tcBorders>
            <w:shd w:val="clear" w:color="000000" w:fill="FFFFFF"/>
            <w:vAlign w:val="center"/>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No. Of Patients</w:t>
            </w:r>
          </w:p>
        </w:tc>
        <w:tc>
          <w:tcPr>
            <w:tcW w:w="900" w:type="dxa"/>
            <w:tcBorders>
              <w:top w:val="single" w:sz="2" w:space="0" w:color="000000"/>
              <w:left w:val="single" w:sz="2" w:space="0" w:color="000000"/>
              <w:bottom w:val="single" w:sz="12" w:space="0" w:color="000000"/>
              <w:right w:val="single" w:sz="2" w:space="0" w:color="000000"/>
            </w:tcBorders>
            <w:shd w:val="clear" w:color="000000" w:fill="FFFFFF"/>
            <w:vAlign w:val="center"/>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center"/>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No. Of Patients</w:t>
            </w:r>
          </w:p>
        </w:tc>
        <w:tc>
          <w:tcPr>
            <w:tcW w:w="990" w:type="dxa"/>
            <w:tcBorders>
              <w:top w:val="single" w:sz="2" w:space="0" w:color="000000"/>
              <w:left w:val="single" w:sz="2" w:space="0" w:color="000000"/>
              <w:bottom w:val="single" w:sz="12" w:space="0" w:color="000000"/>
              <w:right w:val="single" w:sz="12" w:space="0" w:color="000000"/>
            </w:tcBorders>
            <w:shd w:val="clear" w:color="000000" w:fill="FFFFFF"/>
            <w:vAlign w:val="center"/>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w:t>
            </w:r>
          </w:p>
        </w:tc>
      </w:tr>
      <w:tr w:rsidR="00065F92" w:rsidRPr="00F374D3" w:rsidTr="00065F92">
        <w:trPr>
          <w:trHeight w:val="363"/>
        </w:trPr>
        <w:tc>
          <w:tcPr>
            <w:tcW w:w="2070" w:type="dxa"/>
            <w:tcBorders>
              <w:top w:val="single" w:sz="12" w:space="0" w:color="000000"/>
              <w:left w:val="single" w:sz="12" w:space="0" w:color="000000"/>
              <w:bottom w:val="nil"/>
              <w:right w:val="single" w:sz="12" w:space="0" w:color="000000"/>
            </w:tcBorders>
            <w:shd w:val="clear" w:color="000000" w:fill="FFFFFF"/>
          </w:tcPr>
          <w:p w:rsidR="00065F92" w:rsidRPr="00F374D3" w:rsidRDefault="00065F92" w:rsidP="00F374D3">
            <w:pPr>
              <w:autoSpaceDE w:val="0"/>
              <w:autoSpaceDN w:val="0"/>
              <w:adjustRightInd w:val="0"/>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At admission</w:t>
            </w:r>
          </w:p>
        </w:tc>
        <w:tc>
          <w:tcPr>
            <w:tcW w:w="1170" w:type="dxa"/>
            <w:tcBorders>
              <w:top w:val="single" w:sz="12" w:space="0" w:color="000000"/>
              <w:left w:val="single" w:sz="12" w:space="0" w:color="000000"/>
              <w:bottom w:val="nil"/>
              <w:right w:val="single" w:sz="2" w:space="0" w:color="000000"/>
            </w:tcBorders>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2</w:t>
            </w:r>
          </w:p>
        </w:tc>
        <w:tc>
          <w:tcPr>
            <w:tcW w:w="900" w:type="dxa"/>
            <w:tcBorders>
              <w:top w:val="single" w:sz="12" w:space="0" w:color="000000"/>
              <w:left w:val="single" w:sz="2" w:space="0" w:color="000000"/>
              <w:bottom w:val="nil"/>
              <w:right w:val="single" w:sz="2" w:space="0" w:color="000000"/>
            </w:tcBorders>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2.5</w:t>
            </w:r>
          </w:p>
        </w:tc>
        <w:tc>
          <w:tcPr>
            <w:tcW w:w="1170" w:type="dxa"/>
            <w:tcBorders>
              <w:top w:val="single" w:sz="12" w:space="0" w:color="000000"/>
              <w:left w:val="single" w:sz="2" w:space="0" w:color="000000"/>
              <w:bottom w:val="nil"/>
              <w:right w:val="single" w:sz="2" w:space="0" w:color="000000"/>
            </w:tcBorders>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78</w:t>
            </w:r>
          </w:p>
        </w:tc>
        <w:tc>
          <w:tcPr>
            <w:tcW w:w="900" w:type="dxa"/>
            <w:tcBorders>
              <w:top w:val="single" w:sz="12" w:space="0" w:color="000000"/>
              <w:left w:val="single" w:sz="2" w:space="0" w:color="000000"/>
              <w:bottom w:val="nil"/>
              <w:right w:val="single" w:sz="2" w:space="0" w:color="000000"/>
            </w:tcBorders>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97.5</w:t>
            </w:r>
          </w:p>
        </w:tc>
        <w:tc>
          <w:tcPr>
            <w:tcW w:w="1080" w:type="dxa"/>
            <w:tcBorders>
              <w:top w:val="single" w:sz="12" w:space="0" w:color="000000"/>
              <w:left w:val="single" w:sz="2" w:space="0" w:color="000000"/>
              <w:bottom w:val="nil"/>
              <w:right w:val="single" w:sz="2" w:space="0" w:color="000000"/>
            </w:tcBorders>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80</w:t>
            </w:r>
          </w:p>
        </w:tc>
        <w:tc>
          <w:tcPr>
            <w:tcW w:w="990" w:type="dxa"/>
            <w:tcBorders>
              <w:top w:val="single" w:sz="12" w:space="0" w:color="000000"/>
              <w:left w:val="single" w:sz="2" w:space="0" w:color="000000"/>
              <w:bottom w:val="nil"/>
              <w:right w:val="single" w:sz="12" w:space="0" w:color="000000"/>
            </w:tcBorders>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100</w:t>
            </w:r>
          </w:p>
        </w:tc>
      </w:tr>
      <w:tr w:rsidR="00065F92" w:rsidRPr="00F374D3" w:rsidTr="00065F92">
        <w:trPr>
          <w:trHeight w:val="363"/>
        </w:trPr>
        <w:tc>
          <w:tcPr>
            <w:tcW w:w="2070" w:type="dxa"/>
            <w:tcBorders>
              <w:top w:val="nil"/>
              <w:left w:val="single" w:sz="12" w:space="0" w:color="000000"/>
              <w:bottom w:val="nil"/>
              <w:right w:val="single" w:sz="12" w:space="0" w:color="000000"/>
            </w:tcBorders>
            <w:shd w:val="clear" w:color="000000" w:fill="FFFFFF"/>
          </w:tcPr>
          <w:p w:rsidR="00065F92" w:rsidRPr="00F374D3" w:rsidRDefault="00065F92" w:rsidP="00F374D3">
            <w:pPr>
              <w:autoSpaceDE w:val="0"/>
              <w:autoSpaceDN w:val="0"/>
              <w:adjustRightInd w:val="0"/>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At discharge</w:t>
            </w:r>
          </w:p>
        </w:tc>
        <w:tc>
          <w:tcPr>
            <w:tcW w:w="1170" w:type="dxa"/>
            <w:tcBorders>
              <w:top w:val="nil"/>
              <w:left w:val="single" w:sz="12" w:space="0" w:color="000000"/>
              <w:bottom w:val="nil"/>
              <w:right w:val="single" w:sz="2" w:space="0" w:color="000000"/>
            </w:tcBorders>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18</w:t>
            </w:r>
          </w:p>
        </w:tc>
        <w:tc>
          <w:tcPr>
            <w:tcW w:w="900" w:type="dxa"/>
            <w:tcBorders>
              <w:top w:val="nil"/>
              <w:left w:val="single" w:sz="2" w:space="0" w:color="000000"/>
              <w:bottom w:val="nil"/>
              <w:right w:val="single" w:sz="2" w:space="0" w:color="000000"/>
            </w:tcBorders>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22.5</w:t>
            </w:r>
          </w:p>
        </w:tc>
        <w:tc>
          <w:tcPr>
            <w:tcW w:w="1170" w:type="dxa"/>
            <w:tcBorders>
              <w:top w:val="nil"/>
              <w:left w:val="single" w:sz="2" w:space="0" w:color="000000"/>
              <w:bottom w:val="nil"/>
              <w:right w:val="single" w:sz="2" w:space="0" w:color="000000"/>
            </w:tcBorders>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62</w:t>
            </w:r>
          </w:p>
        </w:tc>
        <w:tc>
          <w:tcPr>
            <w:tcW w:w="900" w:type="dxa"/>
            <w:tcBorders>
              <w:top w:val="nil"/>
              <w:left w:val="single" w:sz="2" w:space="0" w:color="000000"/>
              <w:bottom w:val="nil"/>
              <w:right w:val="single" w:sz="2" w:space="0" w:color="000000"/>
            </w:tcBorders>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77.5</w:t>
            </w:r>
          </w:p>
        </w:tc>
        <w:tc>
          <w:tcPr>
            <w:tcW w:w="1080" w:type="dxa"/>
            <w:tcBorders>
              <w:top w:val="nil"/>
              <w:left w:val="single" w:sz="2" w:space="0" w:color="000000"/>
              <w:bottom w:val="nil"/>
              <w:right w:val="single" w:sz="2" w:space="0" w:color="000000"/>
            </w:tcBorders>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80</w:t>
            </w:r>
          </w:p>
        </w:tc>
        <w:tc>
          <w:tcPr>
            <w:tcW w:w="990" w:type="dxa"/>
            <w:tcBorders>
              <w:top w:val="nil"/>
              <w:left w:val="single" w:sz="2" w:space="0" w:color="000000"/>
              <w:bottom w:val="nil"/>
              <w:right w:val="single" w:sz="12" w:space="0" w:color="000000"/>
            </w:tcBorders>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100</w:t>
            </w:r>
          </w:p>
        </w:tc>
      </w:tr>
      <w:tr w:rsidR="00065F92" w:rsidRPr="00F374D3" w:rsidTr="00065F92">
        <w:trPr>
          <w:trHeight w:val="363"/>
        </w:trPr>
        <w:tc>
          <w:tcPr>
            <w:tcW w:w="2070" w:type="dxa"/>
            <w:tcBorders>
              <w:top w:val="nil"/>
              <w:left w:val="single" w:sz="12" w:space="0" w:color="000000"/>
              <w:bottom w:val="nil"/>
              <w:right w:val="single" w:sz="12" w:space="0" w:color="000000"/>
            </w:tcBorders>
            <w:shd w:val="clear" w:color="000000" w:fill="FFFFFF"/>
          </w:tcPr>
          <w:p w:rsidR="00065F92" w:rsidRPr="00F374D3" w:rsidRDefault="00065F92" w:rsidP="00F374D3">
            <w:pPr>
              <w:autoSpaceDE w:val="0"/>
              <w:autoSpaceDN w:val="0"/>
              <w:adjustRightInd w:val="0"/>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At 3 month</w:t>
            </w:r>
          </w:p>
        </w:tc>
        <w:tc>
          <w:tcPr>
            <w:tcW w:w="1170" w:type="dxa"/>
            <w:tcBorders>
              <w:top w:val="nil"/>
              <w:left w:val="single" w:sz="12" w:space="0" w:color="000000"/>
              <w:bottom w:val="nil"/>
              <w:right w:val="single" w:sz="2" w:space="0" w:color="000000"/>
            </w:tcBorders>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60</w:t>
            </w:r>
          </w:p>
        </w:tc>
        <w:tc>
          <w:tcPr>
            <w:tcW w:w="900" w:type="dxa"/>
            <w:tcBorders>
              <w:top w:val="nil"/>
              <w:left w:val="single" w:sz="2" w:space="0" w:color="000000"/>
              <w:bottom w:val="nil"/>
              <w:right w:val="single" w:sz="2" w:space="0" w:color="000000"/>
            </w:tcBorders>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75</w:t>
            </w:r>
          </w:p>
        </w:tc>
        <w:tc>
          <w:tcPr>
            <w:tcW w:w="1170" w:type="dxa"/>
            <w:tcBorders>
              <w:top w:val="nil"/>
              <w:left w:val="single" w:sz="2" w:space="0" w:color="000000"/>
              <w:bottom w:val="nil"/>
              <w:right w:val="single" w:sz="2" w:space="0" w:color="000000"/>
            </w:tcBorders>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20</w:t>
            </w:r>
          </w:p>
        </w:tc>
        <w:tc>
          <w:tcPr>
            <w:tcW w:w="900" w:type="dxa"/>
            <w:tcBorders>
              <w:top w:val="nil"/>
              <w:left w:val="single" w:sz="2" w:space="0" w:color="000000"/>
              <w:bottom w:val="nil"/>
              <w:right w:val="single" w:sz="2" w:space="0" w:color="000000"/>
            </w:tcBorders>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25</w:t>
            </w:r>
          </w:p>
        </w:tc>
        <w:tc>
          <w:tcPr>
            <w:tcW w:w="1080" w:type="dxa"/>
            <w:tcBorders>
              <w:top w:val="nil"/>
              <w:left w:val="single" w:sz="2" w:space="0" w:color="000000"/>
              <w:bottom w:val="nil"/>
              <w:right w:val="single" w:sz="2" w:space="0" w:color="000000"/>
            </w:tcBorders>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80</w:t>
            </w:r>
          </w:p>
        </w:tc>
        <w:tc>
          <w:tcPr>
            <w:tcW w:w="990" w:type="dxa"/>
            <w:tcBorders>
              <w:top w:val="nil"/>
              <w:left w:val="single" w:sz="2" w:space="0" w:color="000000"/>
              <w:bottom w:val="nil"/>
              <w:right w:val="single" w:sz="12" w:space="0" w:color="000000"/>
            </w:tcBorders>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100</w:t>
            </w:r>
          </w:p>
        </w:tc>
      </w:tr>
      <w:tr w:rsidR="00065F92" w:rsidRPr="00F374D3" w:rsidTr="00065F92">
        <w:trPr>
          <w:trHeight w:val="363"/>
        </w:trPr>
        <w:tc>
          <w:tcPr>
            <w:tcW w:w="2070" w:type="dxa"/>
            <w:tcBorders>
              <w:top w:val="nil"/>
              <w:left w:val="single" w:sz="12" w:space="0" w:color="000000"/>
              <w:bottom w:val="nil"/>
              <w:right w:val="single" w:sz="12" w:space="0" w:color="000000"/>
            </w:tcBorders>
            <w:shd w:val="clear" w:color="000000" w:fill="FFFFFF"/>
          </w:tcPr>
          <w:p w:rsidR="00065F92" w:rsidRPr="00F374D3" w:rsidRDefault="00065F92" w:rsidP="00F374D3">
            <w:pPr>
              <w:autoSpaceDE w:val="0"/>
              <w:autoSpaceDN w:val="0"/>
              <w:adjustRightInd w:val="0"/>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At 6 months</w:t>
            </w:r>
          </w:p>
        </w:tc>
        <w:tc>
          <w:tcPr>
            <w:tcW w:w="1170" w:type="dxa"/>
            <w:tcBorders>
              <w:top w:val="nil"/>
              <w:left w:val="single" w:sz="12" w:space="0" w:color="000000"/>
              <w:bottom w:val="nil"/>
              <w:right w:val="single" w:sz="2" w:space="0" w:color="000000"/>
            </w:tcBorders>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62</w:t>
            </w:r>
          </w:p>
        </w:tc>
        <w:tc>
          <w:tcPr>
            <w:tcW w:w="900" w:type="dxa"/>
            <w:tcBorders>
              <w:top w:val="nil"/>
              <w:left w:val="single" w:sz="2" w:space="0" w:color="000000"/>
              <w:bottom w:val="nil"/>
              <w:right w:val="single" w:sz="2" w:space="0" w:color="000000"/>
            </w:tcBorders>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77.5</w:t>
            </w:r>
          </w:p>
        </w:tc>
        <w:tc>
          <w:tcPr>
            <w:tcW w:w="1170" w:type="dxa"/>
            <w:tcBorders>
              <w:top w:val="nil"/>
              <w:left w:val="single" w:sz="2" w:space="0" w:color="000000"/>
              <w:bottom w:val="nil"/>
              <w:right w:val="single" w:sz="2" w:space="0" w:color="000000"/>
            </w:tcBorders>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18</w:t>
            </w:r>
          </w:p>
        </w:tc>
        <w:tc>
          <w:tcPr>
            <w:tcW w:w="900" w:type="dxa"/>
            <w:tcBorders>
              <w:top w:val="nil"/>
              <w:left w:val="single" w:sz="2" w:space="0" w:color="000000"/>
              <w:bottom w:val="nil"/>
              <w:right w:val="single" w:sz="2" w:space="0" w:color="000000"/>
            </w:tcBorders>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22.5</w:t>
            </w:r>
          </w:p>
        </w:tc>
        <w:tc>
          <w:tcPr>
            <w:tcW w:w="1080" w:type="dxa"/>
            <w:tcBorders>
              <w:top w:val="nil"/>
              <w:left w:val="single" w:sz="2" w:space="0" w:color="000000"/>
              <w:bottom w:val="nil"/>
              <w:right w:val="single" w:sz="2" w:space="0" w:color="000000"/>
            </w:tcBorders>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80</w:t>
            </w:r>
          </w:p>
        </w:tc>
        <w:tc>
          <w:tcPr>
            <w:tcW w:w="990" w:type="dxa"/>
            <w:tcBorders>
              <w:top w:val="nil"/>
              <w:left w:val="single" w:sz="2" w:space="0" w:color="000000"/>
              <w:bottom w:val="nil"/>
              <w:right w:val="single" w:sz="12" w:space="0" w:color="000000"/>
            </w:tcBorders>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100</w:t>
            </w:r>
          </w:p>
        </w:tc>
      </w:tr>
      <w:tr w:rsidR="00065F92" w:rsidRPr="00F374D3" w:rsidTr="00065F92">
        <w:trPr>
          <w:trHeight w:val="80"/>
        </w:trPr>
        <w:tc>
          <w:tcPr>
            <w:tcW w:w="2070" w:type="dxa"/>
            <w:tcBorders>
              <w:top w:val="nil"/>
              <w:left w:val="single" w:sz="12" w:space="0" w:color="000000"/>
              <w:bottom w:val="single" w:sz="12" w:space="0" w:color="000000"/>
              <w:right w:val="single" w:sz="12" w:space="0" w:color="000000"/>
            </w:tcBorders>
            <w:shd w:val="clear" w:color="000000" w:fill="FFFFFF"/>
          </w:tcPr>
          <w:p w:rsidR="00065F92" w:rsidRPr="00F374D3" w:rsidRDefault="00065F92" w:rsidP="00F374D3">
            <w:pPr>
              <w:autoSpaceDE w:val="0"/>
              <w:autoSpaceDN w:val="0"/>
              <w:adjustRightInd w:val="0"/>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At 1year</w:t>
            </w:r>
          </w:p>
        </w:tc>
        <w:tc>
          <w:tcPr>
            <w:tcW w:w="1170" w:type="dxa"/>
            <w:tcBorders>
              <w:top w:val="nil"/>
              <w:left w:val="single" w:sz="12" w:space="0" w:color="000000"/>
              <w:bottom w:val="single" w:sz="12" w:space="0" w:color="000000"/>
              <w:right w:val="single" w:sz="2" w:space="0" w:color="000000"/>
            </w:tcBorders>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79</w:t>
            </w:r>
          </w:p>
        </w:tc>
        <w:tc>
          <w:tcPr>
            <w:tcW w:w="900" w:type="dxa"/>
            <w:tcBorders>
              <w:top w:val="nil"/>
              <w:left w:val="single" w:sz="2" w:space="0" w:color="000000"/>
              <w:bottom w:val="single" w:sz="12" w:space="0" w:color="000000"/>
              <w:right w:val="single" w:sz="2" w:space="0" w:color="000000"/>
            </w:tcBorders>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98.7</w:t>
            </w:r>
          </w:p>
        </w:tc>
        <w:tc>
          <w:tcPr>
            <w:tcW w:w="1170" w:type="dxa"/>
            <w:tcBorders>
              <w:top w:val="nil"/>
              <w:left w:val="single" w:sz="2" w:space="0" w:color="000000"/>
              <w:bottom w:val="single" w:sz="12" w:space="0" w:color="000000"/>
              <w:right w:val="single" w:sz="2" w:space="0" w:color="000000"/>
            </w:tcBorders>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w:t>
            </w:r>
          </w:p>
        </w:tc>
        <w:tc>
          <w:tcPr>
            <w:tcW w:w="900" w:type="dxa"/>
            <w:tcBorders>
              <w:top w:val="nil"/>
              <w:left w:val="single" w:sz="2" w:space="0" w:color="000000"/>
              <w:bottom w:val="single" w:sz="12" w:space="0" w:color="000000"/>
              <w:right w:val="single" w:sz="2" w:space="0" w:color="000000"/>
            </w:tcBorders>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1.3</w:t>
            </w:r>
          </w:p>
        </w:tc>
        <w:tc>
          <w:tcPr>
            <w:tcW w:w="1080" w:type="dxa"/>
            <w:tcBorders>
              <w:top w:val="nil"/>
              <w:left w:val="single" w:sz="2" w:space="0" w:color="000000"/>
              <w:bottom w:val="single" w:sz="12" w:space="0" w:color="000000"/>
              <w:right w:val="single" w:sz="2" w:space="0" w:color="000000"/>
            </w:tcBorders>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80</w:t>
            </w:r>
          </w:p>
        </w:tc>
        <w:tc>
          <w:tcPr>
            <w:tcW w:w="990" w:type="dxa"/>
            <w:tcBorders>
              <w:top w:val="nil"/>
              <w:left w:val="single" w:sz="2" w:space="0" w:color="000000"/>
              <w:bottom w:val="single" w:sz="12" w:space="0" w:color="000000"/>
              <w:right w:val="single" w:sz="12" w:space="0" w:color="000000"/>
            </w:tcBorders>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100</w:t>
            </w:r>
          </w:p>
        </w:tc>
      </w:tr>
    </w:tbl>
    <w:p w:rsidR="00065F92" w:rsidRPr="00F374D3" w:rsidRDefault="00065F92" w:rsidP="00F374D3">
      <w:pPr>
        <w:spacing w:after="0" w:line="360" w:lineRule="auto"/>
        <w:jc w:val="both"/>
        <w:rPr>
          <w:rFonts w:ascii="Times New Roman" w:hAnsi="Times New Roman" w:cs="Times New Roman"/>
          <w:b/>
          <w:sz w:val="20"/>
          <w:szCs w:val="20"/>
        </w:rPr>
      </w:pPr>
    </w:p>
    <w:p w:rsidR="00065F92" w:rsidRPr="00F374D3" w:rsidRDefault="00065F92" w:rsidP="00F374D3">
      <w:pPr>
        <w:spacing w:after="0" w:line="360" w:lineRule="auto"/>
        <w:jc w:val="both"/>
        <w:rPr>
          <w:rFonts w:ascii="Times New Roman" w:hAnsi="Times New Roman" w:cs="Times New Roman"/>
          <w:b/>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 xml:space="preserve">From the above tables 6, 7 and figure 5 it is evident that </w:t>
      </w:r>
    </w:p>
    <w:p w:rsidR="00065F92" w:rsidRPr="00F374D3" w:rsidRDefault="00065F92" w:rsidP="00F374D3">
      <w:pPr>
        <w:pStyle w:val="ListParagraph"/>
        <w:numPr>
          <w:ilvl w:val="0"/>
          <w:numId w:val="14"/>
        </w:numPr>
        <w:spacing w:after="0" w:line="360" w:lineRule="auto"/>
        <w:jc w:val="both"/>
        <w:rPr>
          <w:sz w:val="20"/>
          <w:szCs w:val="20"/>
        </w:rPr>
      </w:pPr>
      <w:r w:rsidRPr="00F374D3">
        <w:rPr>
          <w:sz w:val="20"/>
          <w:szCs w:val="20"/>
        </w:rPr>
        <w:t xml:space="preserve">At admission 97.5% of patients had abnormal </w:t>
      </w:r>
      <w:proofErr w:type="spellStart"/>
      <w:r w:rsidRPr="00F374D3">
        <w:rPr>
          <w:sz w:val="20"/>
          <w:szCs w:val="20"/>
        </w:rPr>
        <w:t>creatinine</w:t>
      </w:r>
      <w:proofErr w:type="spellEnd"/>
      <w:r w:rsidRPr="00F374D3">
        <w:rPr>
          <w:sz w:val="20"/>
          <w:szCs w:val="20"/>
        </w:rPr>
        <w:t xml:space="preserve"> and at the end of 1year only 1.3% of patients had abnormal serum </w:t>
      </w:r>
      <w:proofErr w:type="spellStart"/>
      <w:r w:rsidRPr="00F374D3">
        <w:rPr>
          <w:sz w:val="20"/>
          <w:szCs w:val="20"/>
        </w:rPr>
        <w:t>creatinine</w:t>
      </w:r>
      <w:proofErr w:type="spellEnd"/>
      <w:r w:rsidRPr="00F374D3">
        <w:rPr>
          <w:sz w:val="20"/>
          <w:szCs w:val="20"/>
        </w:rPr>
        <w:t>.</w:t>
      </w:r>
    </w:p>
    <w:p w:rsidR="00065F92" w:rsidRPr="00F374D3" w:rsidRDefault="00065F92" w:rsidP="00F374D3">
      <w:pPr>
        <w:pStyle w:val="ListParagraph"/>
        <w:numPr>
          <w:ilvl w:val="0"/>
          <w:numId w:val="14"/>
        </w:numPr>
        <w:spacing w:after="0" w:line="360" w:lineRule="auto"/>
        <w:jc w:val="both"/>
        <w:rPr>
          <w:sz w:val="20"/>
          <w:szCs w:val="20"/>
        </w:rPr>
      </w:pPr>
      <w:r w:rsidRPr="00F374D3">
        <w:rPr>
          <w:sz w:val="20"/>
          <w:szCs w:val="20"/>
        </w:rPr>
        <w:t xml:space="preserve">Improvement of </w:t>
      </w:r>
      <w:proofErr w:type="spellStart"/>
      <w:r w:rsidRPr="00F374D3">
        <w:rPr>
          <w:sz w:val="20"/>
          <w:szCs w:val="20"/>
        </w:rPr>
        <w:t>S.creatinine</w:t>
      </w:r>
      <w:proofErr w:type="spellEnd"/>
      <w:r w:rsidRPr="00F374D3">
        <w:rPr>
          <w:sz w:val="20"/>
          <w:szCs w:val="20"/>
        </w:rPr>
        <w:t xml:space="preserve"> to normal level during follow-up period was significant till end of study period i.e., 1 year (which is evident by P value &lt; 0.000 from </w:t>
      </w:r>
      <w:proofErr w:type="spellStart"/>
      <w:r w:rsidRPr="00F374D3">
        <w:rPr>
          <w:sz w:val="20"/>
          <w:szCs w:val="20"/>
        </w:rPr>
        <w:t>McNemer</w:t>
      </w:r>
      <w:proofErr w:type="spellEnd"/>
      <w:r w:rsidRPr="00F374D3">
        <w:rPr>
          <w:sz w:val="20"/>
          <w:szCs w:val="20"/>
        </w:rPr>
        <w:t xml:space="preserve"> test).</w:t>
      </w:r>
    </w:p>
    <w:p w:rsidR="00065F92" w:rsidRPr="00F374D3" w:rsidRDefault="00065F92" w:rsidP="00F374D3">
      <w:pPr>
        <w:spacing w:after="0" w:line="360" w:lineRule="auto"/>
        <w:ind w:left="360"/>
        <w:jc w:val="both"/>
        <w:rPr>
          <w:rFonts w:ascii="Times New Roman" w:hAnsi="Times New Roman" w:cs="Times New Roman"/>
          <w:b/>
          <w:sz w:val="20"/>
          <w:szCs w:val="20"/>
        </w:rPr>
      </w:pPr>
    </w:p>
    <w:p w:rsidR="00065F92" w:rsidRPr="00F374D3" w:rsidRDefault="00065F92" w:rsidP="00F374D3">
      <w:pPr>
        <w:spacing w:after="0" w:line="360" w:lineRule="auto"/>
        <w:ind w:firstLine="720"/>
        <w:jc w:val="both"/>
        <w:rPr>
          <w:rFonts w:ascii="Times New Roman" w:hAnsi="Times New Roman" w:cs="Times New Roman"/>
          <w:sz w:val="20"/>
          <w:szCs w:val="20"/>
        </w:rPr>
      </w:pPr>
      <w:proofErr w:type="spellStart"/>
      <w:proofErr w:type="gramStart"/>
      <w:r w:rsidRPr="00F374D3">
        <w:rPr>
          <w:rFonts w:ascii="Times New Roman" w:hAnsi="Times New Roman" w:cs="Times New Roman"/>
          <w:sz w:val="20"/>
          <w:szCs w:val="20"/>
        </w:rPr>
        <w:t>eGFR</w:t>
      </w:r>
      <w:proofErr w:type="spellEnd"/>
      <w:proofErr w:type="gramEnd"/>
      <w:r w:rsidRPr="00F374D3">
        <w:rPr>
          <w:rFonts w:ascii="Times New Roman" w:hAnsi="Times New Roman" w:cs="Times New Roman"/>
          <w:sz w:val="20"/>
          <w:szCs w:val="20"/>
        </w:rPr>
        <w:t xml:space="preserve"> calculated at the end of 1 year for all study population as per MDRD </w:t>
      </w:r>
      <w:proofErr w:type="spellStart"/>
      <w:r w:rsidRPr="00F374D3">
        <w:rPr>
          <w:rFonts w:ascii="Times New Roman" w:hAnsi="Times New Roman" w:cs="Times New Roman"/>
          <w:sz w:val="20"/>
          <w:szCs w:val="20"/>
        </w:rPr>
        <w:t>eGFR</w:t>
      </w:r>
      <w:proofErr w:type="spellEnd"/>
      <w:r w:rsidRPr="00F374D3">
        <w:rPr>
          <w:rFonts w:ascii="Times New Roman" w:hAnsi="Times New Roman" w:cs="Times New Roman"/>
          <w:sz w:val="20"/>
          <w:szCs w:val="20"/>
        </w:rPr>
        <w:t xml:space="preserve"> formula (according to KDOQI CKD criteria</w:t>
      </w:r>
      <w:r w:rsidR="00471C13" w:rsidRPr="00F374D3">
        <w:rPr>
          <w:rFonts w:ascii="Times New Roman" w:hAnsi="Times New Roman" w:cs="Times New Roman"/>
          <w:sz w:val="20"/>
          <w:szCs w:val="20"/>
          <w:vertAlign w:val="superscript"/>
        </w:rPr>
        <w:t xml:space="preserve"> [10]</w:t>
      </w:r>
      <w:r w:rsidRPr="00F374D3">
        <w:rPr>
          <w:rFonts w:ascii="Times New Roman" w:hAnsi="Times New Roman" w:cs="Times New Roman"/>
          <w:sz w:val="20"/>
          <w:szCs w:val="20"/>
        </w:rPr>
        <w:t xml:space="preserve"> showed that only 2 individuals (2.5%) had </w:t>
      </w:r>
      <w:proofErr w:type="spellStart"/>
      <w:r w:rsidRPr="00F374D3">
        <w:rPr>
          <w:rFonts w:ascii="Times New Roman" w:hAnsi="Times New Roman" w:cs="Times New Roman"/>
          <w:sz w:val="20"/>
          <w:szCs w:val="20"/>
        </w:rPr>
        <w:t>eGFR</w:t>
      </w:r>
      <w:proofErr w:type="spellEnd"/>
      <w:r w:rsidRPr="00F374D3">
        <w:rPr>
          <w:rFonts w:ascii="Times New Roman" w:hAnsi="Times New Roman" w:cs="Times New Roman"/>
          <w:sz w:val="20"/>
          <w:szCs w:val="20"/>
        </w:rPr>
        <w:t xml:space="preserve"> less than 60 ml/min/1.73m</w:t>
      </w:r>
      <w:r w:rsidRPr="00F374D3">
        <w:rPr>
          <w:rFonts w:ascii="Times New Roman" w:hAnsi="Times New Roman" w:cs="Times New Roman"/>
          <w:sz w:val="20"/>
          <w:szCs w:val="20"/>
          <w:vertAlign w:val="superscript"/>
        </w:rPr>
        <w:t>2</w:t>
      </w:r>
      <w:r w:rsidRPr="00F374D3">
        <w:rPr>
          <w:rFonts w:ascii="Times New Roman" w:hAnsi="Times New Roman" w:cs="Times New Roman"/>
          <w:sz w:val="20"/>
          <w:szCs w:val="20"/>
        </w:rPr>
        <w:t xml:space="preserve"> and are labelled as chronic kidney disease according to KDOQI guidelines. Remaining 78 individuals (97.5%) had </w:t>
      </w:r>
      <w:proofErr w:type="spellStart"/>
      <w:r w:rsidRPr="00F374D3">
        <w:rPr>
          <w:rFonts w:ascii="Times New Roman" w:hAnsi="Times New Roman" w:cs="Times New Roman"/>
          <w:sz w:val="20"/>
          <w:szCs w:val="20"/>
        </w:rPr>
        <w:t>eGFR</w:t>
      </w:r>
      <w:proofErr w:type="spellEnd"/>
      <w:r w:rsidRPr="00F374D3">
        <w:rPr>
          <w:rFonts w:ascii="Times New Roman" w:hAnsi="Times New Roman" w:cs="Times New Roman"/>
          <w:sz w:val="20"/>
          <w:szCs w:val="20"/>
        </w:rPr>
        <w:t xml:space="preserve"> above 60 ml/min/1.73m</w:t>
      </w:r>
      <w:r w:rsidRPr="00F374D3">
        <w:rPr>
          <w:rFonts w:ascii="Times New Roman" w:hAnsi="Times New Roman" w:cs="Times New Roman"/>
          <w:sz w:val="20"/>
          <w:szCs w:val="20"/>
          <w:vertAlign w:val="superscript"/>
        </w:rPr>
        <w:t>2</w:t>
      </w:r>
      <w:r w:rsidRPr="00F374D3">
        <w:rPr>
          <w:rFonts w:ascii="Times New Roman" w:hAnsi="Times New Roman" w:cs="Times New Roman"/>
          <w:sz w:val="20"/>
          <w:szCs w:val="20"/>
        </w:rPr>
        <w:t>.</w:t>
      </w:r>
    </w:p>
    <w:p w:rsidR="00FF0FBA" w:rsidRPr="00F374D3" w:rsidRDefault="00FF0FBA" w:rsidP="00F374D3">
      <w:pPr>
        <w:spacing w:after="0" w:line="360" w:lineRule="auto"/>
        <w:ind w:left="360"/>
        <w:jc w:val="both"/>
        <w:rPr>
          <w:rFonts w:ascii="Times New Roman" w:hAnsi="Times New Roman" w:cs="Times New Roman"/>
          <w:b/>
          <w:sz w:val="20"/>
          <w:szCs w:val="20"/>
        </w:rPr>
      </w:pPr>
    </w:p>
    <w:p w:rsidR="00FF0FBA" w:rsidRPr="00F374D3" w:rsidRDefault="00FF0FBA" w:rsidP="00F374D3">
      <w:pPr>
        <w:spacing w:after="0" w:line="360" w:lineRule="auto"/>
        <w:ind w:left="360"/>
        <w:jc w:val="both"/>
        <w:rPr>
          <w:rFonts w:ascii="Times New Roman" w:hAnsi="Times New Roman" w:cs="Times New Roman"/>
          <w:b/>
          <w:sz w:val="20"/>
          <w:szCs w:val="20"/>
        </w:rPr>
      </w:pPr>
    </w:p>
    <w:p w:rsidR="00FF0FBA" w:rsidRDefault="00FF0FBA" w:rsidP="00F374D3">
      <w:pPr>
        <w:spacing w:after="0" w:line="360" w:lineRule="auto"/>
        <w:ind w:left="360"/>
        <w:jc w:val="both"/>
        <w:rPr>
          <w:rFonts w:ascii="Times New Roman" w:hAnsi="Times New Roman" w:cs="Times New Roman"/>
          <w:b/>
          <w:sz w:val="20"/>
          <w:szCs w:val="20"/>
        </w:rPr>
      </w:pPr>
    </w:p>
    <w:p w:rsidR="00F54AA8" w:rsidRDefault="00F54AA8" w:rsidP="00F374D3">
      <w:pPr>
        <w:spacing w:after="0" w:line="360" w:lineRule="auto"/>
        <w:ind w:left="360"/>
        <w:jc w:val="both"/>
        <w:rPr>
          <w:rFonts w:ascii="Times New Roman" w:hAnsi="Times New Roman" w:cs="Times New Roman"/>
          <w:b/>
          <w:sz w:val="20"/>
          <w:szCs w:val="20"/>
        </w:rPr>
      </w:pPr>
    </w:p>
    <w:p w:rsidR="00F54AA8" w:rsidRDefault="00F54AA8" w:rsidP="00F374D3">
      <w:pPr>
        <w:spacing w:after="0" w:line="360" w:lineRule="auto"/>
        <w:ind w:left="360"/>
        <w:jc w:val="both"/>
        <w:rPr>
          <w:rFonts w:ascii="Times New Roman" w:hAnsi="Times New Roman" w:cs="Times New Roman"/>
          <w:b/>
          <w:sz w:val="20"/>
          <w:szCs w:val="20"/>
        </w:rPr>
      </w:pPr>
    </w:p>
    <w:p w:rsidR="00F54AA8" w:rsidRDefault="00F54AA8" w:rsidP="00F374D3">
      <w:pPr>
        <w:spacing w:after="0" w:line="360" w:lineRule="auto"/>
        <w:ind w:left="360"/>
        <w:jc w:val="both"/>
        <w:rPr>
          <w:rFonts w:ascii="Times New Roman" w:hAnsi="Times New Roman" w:cs="Times New Roman"/>
          <w:b/>
          <w:sz w:val="20"/>
          <w:szCs w:val="20"/>
        </w:rPr>
      </w:pPr>
    </w:p>
    <w:p w:rsidR="00F54AA8" w:rsidRDefault="00F54AA8" w:rsidP="00F374D3">
      <w:pPr>
        <w:spacing w:after="0" w:line="360" w:lineRule="auto"/>
        <w:ind w:left="360"/>
        <w:jc w:val="both"/>
        <w:rPr>
          <w:rFonts w:ascii="Times New Roman" w:hAnsi="Times New Roman" w:cs="Times New Roman"/>
          <w:b/>
          <w:sz w:val="20"/>
          <w:szCs w:val="20"/>
        </w:rPr>
      </w:pPr>
    </w:p>
    <w:p w:rsidR="00F54AA8" w:rsidRDefault="00F54AA8" w:rsidP="00F374D3">
      <w:pPr>
        <w:spacing w:after="0" w:line="360" w:lineRule="auto"/>
        <w:jc w:val="both"/>
        <w:rPr>
          <w:rFonts w:ascii="Times New Roman" w:hAnsi="Times New Roman" w:cs="Times New Roman"/>
          <w:b/>
          <w:sz w:val="20"/>
          <w:szCs w:val="20"/>
        </w:rPr>
      </w:pPr>
    </w:p>
    <w:p w:rsidR="00065F92" w:rsidRPr="00F374D3" w:rsidRDefault="00065F92" w:rsidP="00F374D3">
      <w:pPr>
        <w:spacing w:after="0" w:line="360" w:lineRule="auto"/>
        <w:jc w:val="both"/>
        <w:rPr>
          <w:rFonts w:ascii="Times New Roman" w:hAnsi="Times New Roman" w:cs="Times New Roman"/>
          <w:b/>
          <w:sz w:val="20"/>
          <w:szCs w:val="20"/>
        </w:rPr>
      </w:pPr>
      <w:r w:rsidRPr="00F374D3">
        <w:rPr>
          <w:rFonts w:ascii="Times New Roman" w:hAnsi="Times New Roman" w:cs="Times New Roman"/>
          <w:b/>
          <w:sz w:val="20"/>
          <w:szCs w:val="20"/>
        </w:rPr>
        <w:t xml:space="preserve">TABLE 8: Showing percentage and no. of subjects with CKD at end of 1year. </w:t>
      </w:r>
    </w:p>
    <w:tbl>
      <w:tblPr>
        <w:tblpPr w:leftFromText="180" w:rightFromText="180" w:vertAnchor="text" w:horzAnchor="margin" w:tblpXSpec="center" w:tblpY="3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2439"/>
        <w:gridCol w:w="2279"/>
        <w:gridCol w:w="1350"/>
      </w:tblGrid>
      <w:tr w:rsidR="00065F92" w:rsidRPr="00F374D3" w:rsidTr="00065F92">
        <w:trPr>
          <w:trHeight w:val="257"/>
        </w:trPr>
        <w:tc>
          <w:tcPr>
            <w:tcW w:w="1834" w:type="dxa"/>
            <w:shd w:val="clear" w:color="auto" w:fill="auto"/>
          </w:tcPr>
          <w:p w:rsidR="00065F92" w:rsidRPr="00F374D3" w:rsidRDefault="00065F92" w:rsidP="00F374D3">
            <w:pPr>
              <w:tabs>
                <w:tab w:val="left" w:pos="1766"/>
              </w:tabs>
              <w:spacing w:after="0" w:line="360" w:lineRule="auto"/>
              <w:jc w:val="both"/>
              <w:rPr>
                <w:rFonts w:ascii="Times New Roman" w:hAnsi="Times New Roman" w:cs="Times New Roman"/>
                <w:b/>
                <w:sz w:val="20"/>
                <w:szCs w:val="20"/>
              </w:rPr>
            </w:pPr>
            <w:r w:rsidRPr="00F374D3">
              <w:rPr>
                <w:rFonts w:ascii="Times New Roman" w:hAnsi="Times New Roman" w:cs="Times New Roman"/>
                <w:b/>
                <w:sz w:val="20"/>
                <w:szCs w:val="20"/>
              </w:rPr>
              <w:t>CKD</w:t>
            </w:r>
          </w:p>
        </w:tc>
        <w:tc>
          <w:tcPr>
            <w:tcW w:w="2439" w:type="dxa"/>
            <w:shd w:val="clear" w:color="auto" w:fill="auto"/>
          </w:tcPr>
          <w:p w:rsidR="00065F92" w:rsidRPr="00F374D3" w:rsidRDefault="00065F92" w:rsidP="00F374D3">
            <w:pPr>
              <w:tabs>
                <w:tab w:val="left" w:pos="1766"/>
              </w:tabs>
              <w:spacing w:after="0" w:line="360" w:lineRule="auto"/>
              <w:jc w:val="both"/>
              <w:rPr>
                <w:rFonts w:ascii="Times New Roman" w:hAnsi="Times New Roman" w:cs="Times New Roman"/>
                <w:b/>
                <w:sz w:val="20"/>
                <w:szCs w:val="20"/>
              </w:rPr>
            </w:pPr>
            <w:r w:rsidRPr="00F374D3">
              <w:rPr>
                <w:rFonts w:ascii="Times New Roman" w:hAnsi="Times New Roman" w:cs="Times New Roman"/>
                <w:b/>
                <w:sz w:val="20"/>
                <w:szCs w:val="20"/>
              </w:rPr>
              <w:t>NO.OF SUBJECTS</w:t>
            </w:r>
          </w:p>
        </w:tc>
        <w:tc>
          <w:tcPr>
            <w:tcW w:w="2279" w:type="dxa"/>
            <w:shd w:val="clear" w:color="auto" w:fill="auto"/>
          </w:tcPr>
          <w:p w:rsidR="00065F92" w:rsidRPr="00F374D3" w:rsidRDefault="00065F92" w:rsidP="00F374D3">
            <w:pPr>
              <w:tabs>
                <w:tab w:val="left" w:pos="1766"/>
              </w:tabs>
              <w:spacing w:after="0" w:line="360" w:lineRule="auto"/>
              <w:jc w:val="both"/>
              <w:rPr>
                <w:rFonts w:ascii="Times New Roman" w:hAnsi="Times New Roman" w:cs="Times New Roman"/>
                <w:b/>
                <w:sz w:val="20"/>
                <w:szCs w:val="20"/>
              </w:rPr>
            </w:pPr>
            <w:r w:rsidRPr="00F374D3">
              <w:rPr>
                <w:rFonts w:ascii="Times New Roman" w:hAnsi="Times New Roman" w:cs="Times New Roman"/>
                <w:b/>
                <w:sz w:val="20"/>
                <w:szCs w:val="20"/>
              </w:rPr>
              <w:t>% PERCENTAGE</w:t>
            </w:r>
          </w:p>
        </w:tc>
        <w:tc>
          <w:tcPr>
            <w:tcW w:w="1350" w:type="dxa"/>
            <w:shd w:val="clear" w:color="auto" w:fill="auto"/>
          </w:tcPr>
          <w:p w:rsidR="00065F92" w:rsidRPr="00F374D3" w:rsidRDefault="00065F92" w:rsidP="00F374D3">
            <w:pPr>
              <w:tabs>
                <w:tab w:val="left" w:pos="1766"/>
              </w:tabs>
              <w:spacing w:after="0" w:line="360" w:lineRule="auto"/>
              <w:jc w:val="both"/>
              <w:rPr>
                <w:rFonts w:ascii="Times New Roman" w:hAnsi="Times New Roman" w:cs="Times New Roman"/>
                <w:b/>
                <w:sz w:val="20"/>
                <w:szCs w:val="20"/>
              </w:rPr>
            </w:pPr>
            <w:r w:rsidRPr="00F374D3">
              <w:rPr>
                <w:rFonts w:ascii="Times New Roman" w:hAnsi="Times New Roman" w:cs="Times New Roman"/>
                <w:b/>
                <w:sz w:val="20"/>
                <w:szCs w:val="20"/>
              </w:rPr>
              <w:t>P VALUE</w:t>
            </w:r>
          </w:p>
        </w:tc>
      </w:tr>
      <w:tr w:rsidR="00065F92" w:rsidRPr="00F374D3" w:rsidTr="00065F92">
        <w:trPr>
          <w:trHeight w:val="671"/>
        </w:trPr>
        <w:tc>
          <w:tcPr>
            <w:tcW w:w="1834" w:type="dxa"/>
            <w:shd w:val="clear" w:color="auto" w:fill="auto"/>
          </w:tcPr>
          <w:p w:rsidR="00065F92" w:rsidRPr="00F374D3" w:rsidRDefault="00065F92" w:rsidP="00F374D3">
            <w:pPr>
              <w:tabs>
                <w:tab w:val="left" w:pos="1766"/>
              </w:tabs>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ABSENT</w:t>
            </w:r>
          </w:p>
        </w:tc>
        <w:tc>
          <w:tcPr>
            <w:tcW w:w="2439" w:type="dxa"/>
            <w:shd w:val="clear" w:color="auto" w:fill="auto"/>
          </w:tcPr>
          <w:p w:rsidR="00065F92" w:rsidRPr="00F374D3" w:rsidRDefault="00065F92" w:rsidP="00F374D3">
            <w:pPr>
              <w:tabs>
                <w:tab w:val="left" w:pos="1766"/>
              </w:tabs>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78</w:t>
            </w:r>
          </w:p>
        </w:tc>
        <w:tc>
          <w:tcPr>
            <w:tcW w:w="2279" w:type="dxa"/>
            <w:shd w:val="clear" w:color="auto" w:fill="auto"/>
          </w:tcPr>
          <w:p w:rsidR="00065F92" w:rsidRPr="00F374D3" w:rsidRDefault="00065F92" w:rsidP="00F374D3">
            <w:pPr>
              <w:pStyle w:val="Subtitle"/>
              <w:spacing w:after="0" w:line="360" w:lineRule="auto"/>
              <w:jc w:val="both"/>
              <w:rPr>
                <w:rFonts w:ascii="Times New Roman" w:hAnsi="Times New Roman"/>
                <w:sz w:val="20"/>
                <w:szCs w:val="20"/>
              </w:rPr>
            </w:pPr>
            <w:r w:rsidRPr="00F374D3">
              <w:rPr>
                <w:rFonts w:ascii="Times New Roman" w:hAnsi="Times New Roman"/>
                <w:sz w:val="20"/>
                <w:szCs w:val="20"/>
              </w:rPr>
              <w:t>97.5</w:t>
            </w:r>
          </w:p>
        </w:tc>
        <w:tc>
          <w:tcPr>
            <w:tcW w:w="1350" w:type="dxa"/>
            <w:vMerge w:val="restart"/>
            <w:shd w:val="clear" w:color="auto" w:fill="auto"/>
          </w:tcPr>
          <w:p w:rsidR="00065F92" w:rsidRPr="00F374D3" w:rsidRDefault="00065F92" w:rsidP="00F374D3">
            <w:pPr>
              <w:tabs>
                <w:tab w:val="left" w:pos="1766"/>
              </w:tabs>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p w:rsidR="00065F92" w:rsidRPr="00F374D3" w:rsidRDefault="00065F92" w:rsidP="00F374D3">
            <w:pPr>
              <w:tabs>
                <w:tab w:val="left" w:pos="1766"/>
              </w:tabs>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r w:rsidR="00065F92" w:rsidRPr="00F374D3" w:rsidTr="00065F92">
        <w:trPr>
          <w:trHeight w:val="682"/>
        </w:trPr>
        <w:tc>
          <w:tcPr>
            <w:tcW w:w="1834" w:type="dxa"/>
            <w:shd w:val="clear" w:color="auto" w:fill="auto"/>
          </w:tcPr>
          <w:p w:rsidR="00065F92" w:rsidRPr="00F374D3" w:rsidRDefault="00065F92" w:rsidP="00F374D3">
            <w:pPr>
              <w:tabs>
                <w:tab w:val="left" w:pos="1766"/>
              </w:tabs>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PRESENT</w:t>
            </w:r>
          </w:p>
        </w:tc>
        <w:tc>
          <w:tcPr>
            <w:tcW w:w="2439"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2</w:t>
            </w:r>
          </w:p>
        </w:tc>
        <w:tc>
          <w:tcPr>
            <w:tcW w:w="2279" w:type="dxa"/>
            <w:shd w:val="clear" w:color="auto" w:fill="auto"/>
          </w:tcPr>
          <w:p w:rsidR="00065F92" w:rsidRPr="00F374D3" w:rsidRDefault="00065F92" w:rsidP="00F374D3">
            <w:pPr>
              <w:tabs>
                <w:tab w:val="left" w:pos="1766"/>
              </w:tabs>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2.5</w:t>
            </w:r>
          </w:p>
        </w:tc>
        <w:tc>
          <w:tcPr>
            <w:tcW w:w="1350" w:type="dxa"/>
            <w:vMerge/>
            <w:shd w:val="clear" w:color="auto" w:fill="auto"/>
          </w:tcPr>
          <w:p w:rsidR="00065F92" w:rsidRPr="00F374D3" w:rsidRDefault="00065F92" w:rsidP="00F374D3">
            <w:pPr>
              <w:tabs>
                <w:tab w:val="left" w:pos="1766"/>
              </w:tabs>
              <w:spacing w:after="0" w:line="360" w:lineRule="auto"/>
              <w:jc w:val="both"/>
              <w:rPr>
                <w:rFonts w:ascii="Times New Roman" w:hAnsi="Times New Roman" w:cs="Times New Roman"/>
                <w:sz w:val="20"/>
                <w:szCs w:val="20"/>
              </w:rPr>
            </w:pPr>
          </w:p>
        </w:tc>
      </w:tr>
    </w:tbl>
    <w:p w:rsidR="00FF0FBA" w:rsidRPr="00F374D3" w:rsidRDefault="00FF0FBA" w:rsidP="00F374D3">
      <w:pPr>
        <w:spacing w:after="0" w:line="360" w:lineRule="auto"/>
        <w:jc w:val="both"/>
        <w:rPr>
          <w:rFonts w:ascii="Times New Roman" w:hAnsi="Times New Roman" w:cs="Times New Roman"/>
          <w:b/>
          <w:sz w:val="20"/>
          <w:szCs w:val="20"/>
        </w:rPr>
      </w:pPr>
    </w:p>
    <w:p w:rsidR="00FF0FBA" w:rsidRPr="00F374D3" w:rsidRDefault="00FF0FBA" w:rsidP="00F374D3">
      <w:pPr>
        <w:spacing w:after="0" w:line="360" w:lineRule="auto"/>
        <w:jc w:val="both"/>
        <w:rPr>
          <w:rFonts w:ascii="Times New Roman" w:hAnsi="Times New Roman" w:cs="Times New Roman"/>
          <w:b/>
          <w:sz w:val="20"/>
          <w:szCs w:val="20"/>
        </w:rPr>
      </w:pPr>
    </w:p>
    <w:p w:rsidR="00F54AA8" w:rsidRDefault="00F54AA8" w:rsidP="00F374D3">
      <w:pPr>
        <w:spacing w:after="0" w:line="360" w:lineRule="auto"/>
        <w:jc w:val="both"/>
        <w:rPr>
          <w:rFonts w:ascii="Times New Roman" w:hAnsi="Times New Roman" w:cs="Times New Roman"/>
          <w:b/>
          <w:sz w:val="20"/>
          <w:szCs w:val="20"/>
        </w:rPr>
      </w:pPr>
    </w:p>
    <w:p w:rsidR="00F54AA8" w:rsidRDefault="00F54AA8" w:rsidP="00F374D3">
      <w:pPr>
        <w:spacing w:after="0" w:line="360" w:lineRule="auto"/>
        <w:jc w:val="both"/>
        <w:rPr>
          <w:rFonts w:ascii="Times New Roman" w:hAnsi="Times New Roman" w:cs="Times New Roman"/>
          <w:b/>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b/>
          <w:color w:val="000000"/>
          <w:sz w:val="20"/>
          <w:szCs w:val="20"/>
        </w:rPr>
        <w:t>TABLE 9: Showing Mean, Standard deviation and Friedman test of Blood urea during study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647"/>
        <w:gridCol w:w="954"/>
        <w:gridCol w:w="1320"/>
        <w:gridCol w:w="908"/>
        <w:gridCol w:w="1239"/>
        <w:gridCol w:w="1036"/>
        <w:gridCol w:w="1266"/>
        <w:gridCol w:w="845"/>
      </w:tblGrid>
      <w:tr w:rsidR="00065F92" w:rsidRPr="00F374D3" w:rsidTr="00065F92">
        <w:trPr>
          <w:trHeight w:val="723"/>
        </w:trPr>
        <w:tc>
          <w:tcPr>
            <w:tcW w:w="711" w:type="pct"/>
            <w:shd w:val="clear" w:color="auto" w:fill="auto"/>
            <w:vAlign w:val="center"/>
          </w:tcPr>
          <w:p w:rsidR="00065F92" w:rsidRPr="00F374D3" w:rsidRDefault="00065F92" w:rsidP="00F374D3">
            <w:pPr>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Blood Urea</w:t>
            </w:r>
          </w:p>
        </w:tc>
        <w:tc>
          <w:tcPr>
            <w:tcW w:w="338" w:type="pct"/>
            <w:shd w:val="clear" w:color="auto" w:fill="auto"/>
            <w:vAlign w:val="center"/>
          </w:tcPr>
          <w:p w:rsidR="00065F92" w:rsidRPr="00F374D3" w:rsidRDefault="00065F92" w:rsidP="00F374D3">
            <w:pPr>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N</w:t>
            </w:r>
          </w:p>
        </w:tc>
        <w:tc>
          <w:tcPr>
            <w:tcW w:w="498" w:type="pct"/>
            <w:shd w:val="clear" w:color="auto" w:fill="auto"/>
            <w:vAlign w:val="center"/>
          </w:tcPr>
          <w:p w:rsidR="00065F92" w:rsidRPr="00F374D3" w:rsidRDefault="00065F92" w:rsidP="00F374D3">
            <w:pPr>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Min</w:t>
            </w:r>
          </w:p>
        </w:tc>
        <w:tc>
          <w:tcPr>
            <w:tcW w:w="689" w:type="pct"/>
            <w:shd w:val="clear" w:color="auto" w:fill="auto"/>
            <w:vAlign w:val="center"/>
          </w:tcPr>
          <w:p w:rsidR="00065F92" w:rsidRPr="00F374D3" w:rsidRDefault="00065F92" w:rsidP="00F374D3">
            <w:pPr>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Maximum</w:t>
            </w:r>
          </w:p>
        </w:tc>
        <w:tc>
          <w:tcPr>
            <w:tcW w:w="474" w:type="pct"/>
            <w:shd w:val="clear" w:color="auto" w:fill="auto"/>
            <w:vAlign w:val="center"/>
          </w:tcPr>
          <w:p w:rsidR="00065F92" w:rsidRPr="00F374D3" w:rsidRDefault="00065F92" w:rsidP="00F374D3">
            <w:pPr>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Mean</w:t>
            </w:r>
          </w:p>
        </w:tc>
        <w:tc>
          <w:tcPr>
            <w:tcW w:w="647" w:type="pct"/>
            <w:shd w:val="clear" w:color="auto" w:fill="auto"/>
            <w:vAlign w:val="center"/>
          </w:tcPr>
          <w:p w:rsidR="00065F92" w:rsidRPr="00F374D3" w:rsidRDefault="00065F92" w:rsidP="00F374D3">
            <w:pPr>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S. Deviation</w:t>
            </w:r>
          </w:p>
        </w:tc>
        <w:tc>
          <w:tcPr>
            <w:tcW w:w="541" w:type="pct"/>
            <w:shd w:val="clear" w:color="auto" w:fill="auto"/>
            <w:vAlign w:val="center"/>
          </w:tcPr>
          <w:p w:rsidR="00065F92" w:rsidRPr="00F374D3" w:rsidRDefault="00065F92" w:rsidP="00F374D3">
            <w:pPr>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Median</w:t>
            </w:r>
          </w:p>
        </w:tc>
        <w:tc>
          <w:tcPr>
            <w:tcW w:w="661" w:type="pct"/>
            <w:shd w:val="clear" w:color="auto" w:fill="auto"/>
            <w:vAlign w:val="center"/>
          </w:tcPr>
          <w:p w:rsidR="00065F92" w:rsidRPr="00F374D3" w:rsidRDefault="00065F92" w:rsidP="00F374D3">
            <w:pPr>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Friedman Test</w:t>
            </w:r>
          </w:p>
        </w:tc>
        <w:tc>
          <w:tcPr>
            <w:tcW w:w="442" w:type="pct"/>
            <w:shd w:val="clear" w:color="auto" w:fill="auto"/>
            <w:vAlign w:val="center"/>
          </w:tcPr>
          <w:p w:rsidR="00065F92" w:rsidRPr="00F374D3" w:rsidRDefault="00065F92" w:rsidP="00F374D3">
            <w:pPr>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P Value</w:t>
            </w:r>
          </w:p>
        </w:tc>
      </w:tr>
      <w:tr w:rsidR="00065F92" w:rsidRPr="00F374D3" w:rsidTr="00065F92">
        <w:trPr>
          <w:trHeight w:val="350"/>
        </w:trPr>
        <w:tc>
          <w:tcPr>
            <w:tcW w:w="711"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At Admission</w:t>
            </w:r>
          </w:p>
        </w:tc>
        <w:tc>
          <w:tcPr>
            <w:tcW w:w="338"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80</w:t>
            </w:r>
          </w:p>
        </w:tc>
        <w:tc>
          <w:tcPr>
            <w:tcW w:w="498"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51</w:t>
            </w:r>
          </w:p>
        </w:tc>
        <w:tc>
          <w:tcPr>
            <w:tcW w:w="689"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319</w:t>
            </w:r>
          </w:p>
        </w:tc>
        <w:tc>
          <w:tcPr>
            <w:tcW w:w="474"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131.54</w:t>
            </w:r>
          </w:p>
        </w:tc>
        <w:tc>
          <w:tcPr>
            <w:tcW w:w="647"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62.60</w:t>
            </w:r>
          </w:p>
        </w:tc>
        <w:tc>
          <w:tcPr>
            <w:tcW w:w="541"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118</w:t>
            </w:r>
          </w:p>
        </w:tc>
        <w:tc>
          <w:tcPr>
            <w:tcW w:w="661" w:type="pct"/>
            <w:vMerge w:val="restart"/>
            <w:shd w:val="clear" w:color="auto" w:fill="auto"/>
          </w:tcPr>
          <w:p w:rsidR="00065F92" w:rsidRPr="00F374D3" w:rsidRDefault="00065F92" w:rsidP="00F374D3">
            <w:pPr>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238.583</w:t>
            </w:r>
          </w:p>
        </w:tc>
        <w:tc>
          <w:tcPr>
            <w:tcW w:w="442" w:type="pct"/>
            <w:vMerge w:val="restart"/>
            <w:shd w:val="clear" w:color="auto" w:fill="auto"/>
          </w:tcPr>
          <w:p w:rsidR="00065F92" w:rsidRPr="00F374D3" w:rsidRDefault="00065F92" w:rsidP="00F374D3">
            <w:pPr>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0.000</w:t>
            </w:r>
          </w:p>
          <w:p w:rsidR="00065F92" w:rsidRPr="00F374D3" w:rsidRDefault="00065F92" w:rsidP="00F374D3">
            <w:pPr>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Hs</w:t>
            </w:r>
          </w:p>
        </w:tc>
      </w:tr>
      <w:tr w:rsidR="00065F92" w:rsidRPr="00F374D3" w:rsidTr="00065F92">
        <w:trPr>
          <w:trHeight w:val="215"/>
        </w:trPr>
        <w:tc>
          <w:tcPr>
            <w:tcW w:w="711"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At Discharge</w:t>
            </w:r>
          </w:p>
        </w:tc>
        <w:tc>
          <w:tcPr>
            <w:tcW w:w="338"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80</w:t>
            </w:r>
          </w:p>
        </w:tc>
        <w:tc>
          <w:tcPr>
            <w:tcW w:w="498"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14</w:t>
            </w:r>
          </w:p>
        </w:tc>
        <w:tc>
          <w:tcPr>
            <w:tcW w:w="689"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103</w:t>
            </w:r>
          </w:p>
        </w:tc>
        <w:tc>
          <w:tcPr>
            <w:tcW w:w="474"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54.37</w:t>
            </w:r>
          </w:p>
        </w:tc>
        <w:tc>
          <w:tcPr>
            <w:tcW w:w="647"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19.23</w:t>
            </w:r>
          </w:p>
        </w:tc>
        <w:tc>
          <w:tcPr>
            <w:tcW w:w="541"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53</w:t>
            </w:r>
          </w:p>
        </w:tc>
        <w:tc>
          <w:tcPr>
            <w:tcW w:w="661" w:type="pct"/>
            <w:vMerge/>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p>
        </w:tc>
        <w:tc>
          <w:tcPr>
            <w:tcW w:w="442" w:type="pct"/>
            <w:vMerge/>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p>
        </w:tc>
      </w:tr>
      <w:tr w:rsidR="00065F92" w:rsidRPr="00F374D3" w:rsidTr="00065F92">
        <w:trPr>
          <w:trHeight w:val="70"/>
        </w:trPr>
        <w:tc>
          <w:tcPr>
            <w:tcW w:w="711"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At 3 Months</w:t>
            </w:r>
          </w:p>
        </w:tc>
        <w:tc>
          <w:tcPr>
            <w:tcW w:w="338"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80</w:t>
            </w:r>
          </w:p>
        </w:tc>
        <w:tc>
          <w:tcPr>
            <w:tcW w:w="498"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15</w:t>
            </w:r>
          </w:p>
        </w:tc>
        <w:tc>
          <w:tcPr>
            <w:tcW w:w="689"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56</w:t>
            </w:r>
          </w:p>
        </w:tc>
        <w:tc>
          <w:tcPr>
            <w:tcW w:w="474"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31.85</w:t>
            </w:r>
          </w:p>
        </w:tc>
        <w:tc>
          <w:tcPr>
            <w:tcW w:w="647"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8.61</w:t>
            </w:r>
          </w:p>
        </w:tc>
        <w:tc>
          <w:tcPr>
            <w:tcW w:w="541"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30</w:t>
            </w:r>
          </w:p>
        </w:tc>
        <w:tc>
          <w:tcPr>
            <w:tcW w:w="661" w:type="pct"/>
            <w:vMerge/>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p>
        </w:tc>
        <w:tc>
          <w:tcPr>
            <w:tcW w:w="442" w:type="pct"/>
            <w:vMerge/>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p>
        </w:tc>
      </w:tr>
      <w:tr w:rsidR="00065F92" w:rsidRPr="00F374D3" w:rsidTr="00065F92">
        <w:trPr>
          <w:trHeight w:val="70"/>
        </w:trPr>
        <w:tc>
          <w:tcPr>
            <w:tcW w:w="711"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At 6 Months</w:t>
            </w:r>
          </w:p>
        </w:tc>
        <w:tc>
          <w:tcPr>
            <w:tcW w:w="338"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80</w:t>
            </w:r>
          </w:p>
        </w:tc>
        <w:tc>
          <w:tcPr>
            <w:tcW w:w="498"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14</w:t>
            </w:r>
          </w:p>
        </w:tc>
        <w:tc>
          <w:tcPr>
            <w:tcW w:w="689"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49</w:t>
            </w:r>
          </w:p>
        </w:tc>
        <w:tc>
          <w:tcPr>
            <w:tcW w:w="474"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27.35</w:t>
            </w:r>
          </w:p>
        </w:tc>
        <w:tc>
          <w:tcPr>
            <w:tcW w:w="647"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7.78</w:t>
            </w:r>
          </w:p>
        </w:tc>
        <w:tc>
          <w:tcPr>
            <w:tcW w:w="541"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27</w:t>
            </w:r>
          </w:p>
        </w:tc>
        <w:tc>
          <w:tcPr>
            <w:tcW w:w="661" w:type="pct"/>
            <w:vMerge/>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p>
        </w:tc>
        <w:tc>
          <w:tcPr>
            <w:tcW w:w="442" w:type="pct"/>
            <w:vMerge/>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p>
        </w:tc>
      </w:tr>
      <w:tr w:rsidR="00065F92" w:rsidRPr="00F374D3" w:rsidTr="00065F92">
        <w:trPr>
          <w:trHeight w:val="70"/>
        </w:trPr>
        <w:tc>
          <w:tcPr>
            <w:tcW w:w="711"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At 1 Year</w:t>
            </w:r>
          </w:p>
        </w:tc>
        <w:tc>
          <w:tcPr>
            <w:tcW w:w="338"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80</w:t>
            </w:r>
          </w:p>
        </w:tc>
        <w:tc>
          <w:tcPr>
            <w:tcW w:w="498"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14</w:t>
            </w:r>
          </w:p>
        </w:tc>
        <w:tc>
          <w:tcPr>
            <w:tcW w:w="689"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52</w:t>
            </w:r>
          </w:p>
        </w:tc>
        <w:tc>
          <w:tcPr>
            <w:tcW w:w="474"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25.38</w:t>
            </w:r>
          </w:p>
        </w:tc>
        <w:tc>
          <w:tcPr>
            <w:tcW w:w="647"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7.76</w:t>
            </w:r>
          </w:p>
        </w:tc>
        <w:tc>
          <w:tcPr>
            <w:tcW w:w="541" w:type="pct"/>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23</w:t>
            </w:r>
          </w:p>
        </w:tc>
        <w:tc>
          <w:tcPr>
            <w:tcW w:w="661" w:type="pct"/>
            <w:vMerge/>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p>
        </w:tc>
        <w:tc>
          <w:tcPr>
            <w:tcW w:w="442" w:type="pct"/>
            <w:vMerge/>
            <w:shd w:val="clear" w:color="auto" w:fill="auto"/>
          </w:tcPr>
          <w:p w:rsidR="00065F92" w:rsidRPr="00F374D3" w:rsidRDefault="00065F92" w:rsidP="00F374D3">
            <w:pPr>
              <w:spacing w:after="0" w:line="360" w:lineRule="auto"/>
              <w:jc w:val="both"/>
              <w:rPr>
                <w:rFonts w:ascii="Times New Roman" w:hAnsi="Times New Roman" w:cs="Times New Roman"/>
                <w:color w:val="000000"/>
                <w:sz w:val="20"/>
                <w:szCs w:val="20"/>
              </w:rPr>
            </w:pPr>
          </w:p>
        </w:tc>
      </w:tr>
    </w:tbl>
    <w:p w:rsidR="00FF0FBA" w:rsidRPr="00F374D3" w:rsidRDefault="00FF0FBA" w:rsidP="00F374D3">
      <w:pPr>
        <w:spacing w:after="0" w:line="360" w:lineRule="auto"/>
        <w:jc w:val="both"/>
        <w:rPr>
          <w:rFonts w:ascii="Times New Roman" w:hAnsi="Times New Roman" w:cs="Times New Roman"/>
          <w:b/>
          <w:sz w:val="20"/>
          <w:szCs w:val="20"/>
        </w:rPr>
      </w:pPr>
    </w:p>
    <w:p w:rsidR="00065F92" w:rsidRPr="00F374D3" w:rsidRDefault="00065F92" w:rsidP="00F374D3">
      <w:pPr>
        <w:spacing w:after="0" w:line="360" w:lineRule="auto"/>
        <w:jc w:val="both"/>
        <w:rPr>
          <w:rFonts w:ascii="Times New Roman" w:hAnsi="Times New Roman" w:cs="Times New Roman"/>
          <w:b/>
          <w:sz w:val="20"/>
          <w:szCs w:val="20"/>
        </w:rPr>
      </w:pPr>
      <w:r w:rsidRPr="00F374D3">
        <w:rPr>
          <w:rFonts w:ascii="Times New Roman" w:hAnsi="Times New Roman" w:cs="Times New Roman"/>
          <w:b/>
          <w:sz w:val="20"/>
          <w:szCs w:val="20"/>
        </w:rPr>
        <w:t>TABLE 10: Showing pairwise comparisons by Wilcoxon signed rank test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1693"/>
        <w:gridCol w:w="1373"/>
        <w:gridCol w:w="1373"/>
        <w:gridCol w:w="1841"/>
      </w:tblGrid>
      <w:tr w:rsidR="00065F92" w:rsidRPr="00F374D3" w:rsidTr="00065F92">
        <w:trPr>
          <w:trHeight w:val="519"/>
          <w:jc w:val="center"/>
        </w:trPr>
        <w:tc>
          <w:tcPr>
            <w:tcW w:w="1721" w:type="pct"/>
            <w:shd w:val="clear" w:color="auto" w:fill="auto"/>
          </w:tcPr>
          <w:p w:rsidR="00065F92" w:rsidRPr="00F374D3" w:rsidRDefault="00065F92" w:rsidP="00F374D3">
            <w:pPr>
              <w:spacing w:after="0" w:line="360" w:lineRule="auto"/>
              <w:jc w:val="both"/>
              <w:rPr>
                <w:rFonts w:ascii="Times New Roman" w:hAnsi="Times New Roman" w:cs="Times New Roman"/>
                <w:b/>
                <w:sz w:val="20"/>
                <w:szCs w:val="20"/>
              </w:rPr>
            </w:pPr>
            <w:r w:rsidRPr="00F374D3">
              <w:rPr>
                <w:rFonts w:ascii="Times New Roman" w:hAnsi="Times New Roman" w:cs="Times New Roman"/>
                <w:b/>
                <w:sz w:val="20"/>
                <w:szCs w:val="20"/>
              </w:rPr>
              <w:t>Parameter</w:t>
            </w:r>
          </w:p>
        </w:tc>
        <w:tc>
          <w:tcPr>
            <w:tcW w:w="884" w:type="pct"/>
            <w:shd w:val="clear" w:color="auto" w:fill="auto"/>
            <w:vAlign w:val="center"/>
          </w:tcPr>
          <w:p w:rsidR="00065F92" w:rsidRPr="00F374D3" w:rsidRDefault="00065F92" w:rsidP="00F374D3">
            <w:pPr>
              <w:spacing w:after="0" w:line="360" w:lineRule="auto"/>
              <w:jc w:val="both"/>
              <w:rPr>
                <w:rFonts w:ascii="Times New Roman" w:hAnsi="Times New Roman" w:cs="Times New Roman"/>
                <w:b/>
                <w:sz w:val="20"/>
                <w:szCs w:val="20"/>
              </w:rPr>
            </w:pPr>
            <w:r w:rsidRPr="00F374D3">
              <w:rPr>
                <w:rFonts w:ascii="Times New Roman" w:hAnsi="Times New Roman" w:cs="Times New Roman"/>
                <w:b/>
                <w:sz w:val="20"/>
                <w:szCs w:val="20"/>
              </w:rPr>
              <w:t>Mean Difference</w:t>
            </w:r>
          </w:p>
        </w:tc>
        <w:tc>
          <w:tcPr>
            <w:tcW w:w="717" w:type="pct"/>
            <w:shd w:val="clear" w:color="auto" w:fill="auto"/>
            <w:vAlign w:val="center"/>
          </w:tcPr>
          <w:p w:rsidR="00065F92" w:rsidRPr="00F374D3" w:rsidRDefault="00065F92" w:rsidP="00F374D3">
            <w:pPr>
              <w:pStyle w:val="NoSpacing"/>
              <w:spacing w:line="360" w:lineRule="auto"/>
              <w:jc w:val="both"/>
              <w:rPr>
                <w:b/>
                <w:sz w:val="20"/>
                <w:szCs w:val="20"/>
              </w:rPr>
            </w:pPr>
            <w:r w:rsidRPr="00F374D3">
              <w:rPr>
                <w:b/>
                <w:sz w:val="20"/>
                <w:szCs w:val="20"/>
              </w:rPr>
              <w:t>Change</w:t>
            </w:r>
          </w:p>
        </w:tc>
        <w:tc>
          <w:tcPr>
            <w:tcW w:w="717" w:type="pct"/>
            <w:shd w:val="clear" w:color="auto" w:fill="auto"/>
            <w:vAlign w:val="center"/>
          </w:tcPr>
          <w:p w:rsidR="00065F92" w:rsidRPr="00F374D3" w:rsidRDefault="00065F92" w:rsidP="00F374D3">
            <w:pPr>
              <w:spacing w:after="0" w:line="360" w:lineRule="auto"/>
              <w:jc w:val="both"/>
              <w:rPr>
                <w:rFonts w:ascii="Times New Roman" w:hAnsi="Times New Roman" w:cs="Times New Roman"/>
                <w:b/>
                <w:sz w:val="20"/>
                <w:szCs w:val="20"/>
              </w:rPr>
            </w:pPr>
            <w:r w:rsidRPr="00F374D3">
              <w:rPr>
                <w:rFonts w:ascii="Times New Roman" w:hAnsi="Times New Roman" w:cs="Times New Roman"/>
                <w:b/>
                <w:sz w:val="20"/>
                <w:szCs w:val="20"/>
              </w:rPr>
              <w:t>P Value</w:t>
            </w:r>
          </w:p>
        </w:tc>
        <w:tc>
          <w:tcPr>
            <w:tcW w:w="961" w:type="pct"/>
            <w:shd w:val="clear" w:color="auto" w:fill="auto"/>
            <w:vAlign w:val="center"/>
          </w:tcPr>
          <w:p w:rsidR="00065F92" w:rsidRPr="00F374D3" w:rsidRDefault="00065F92" w:rsidP="00F374D3">
            <w:pPr>
              <w:spacing w:after="0" w:line="360" w:lineRule="auto"/>
              <w:jc w:val="both"/>
              <w:rPr>
                <w:rFonts w:ascii="Times New Roman" w:hAnsi="Times New Roman" w:cs="Times New Roman"/>
                <w:b/>
                <w:sz w:val="20"/>
                <w:szCs w:val="20"/>
              </w:rPr>
            </w:pPr>
            <w:r w:rsidRPr="00F374D3">
              <w:rPr>
                <w:rFonts w:ascii="Times New Roman" w:hAnsi="Times New Roman" w:cs="Times New Roman"/>
                <w:b/>
                <w:sz w:val="20"/>
                <w:szCs w:val="20"/>
              </w:rPr>
              <w:t>Significance</w:t>
            </w:r>
          </w:p>
        </w:tc>
      </w:tr>
      <w:tr w:rsidR="00065F92" w:rsidRPr="00F374D3" w:rsidTr="00065F92">
        <w:trPr>
          <w:trHeight w:val="1135"/>
          <w:jc w:val="center"/>
        </w:trPr>
        <w:tc>
          <w:tcPr>
            <w:tcW w:w="1721" w:type="pct"/>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 xml:space="preserve">Blood Urea At Admission         </w:t>
            </w:r>
          </w:p>
          <w:p w:rsidR="00065F92" w:rsidRPr="00F374D3" w:rsidRDefault="00065F92" w:rsidP="00F374D3">
            <w:pPr>
              <w:spacing w:after="0" w:line="360" w:lineRule="auto"/>
              <w:ind w:left="1170"/>
              <w:jc w:val="both"/>
              <w:rPr>
                <w:rFonts w:ascii="Times New Roman" w:hAnsi="Times New Roman" w:cs="Times New Roman"/>
                <w:sz w:val="20"/>
                <w:szCs w:val="20"/>
              </w:rPr>
            </w:pPr>
            <w:r w:rsidRPr="00F374D3">
              <w:rPr>
                <w:rFonts w:ascii="Times New Roman" w:hAnsi="Times New Roman" w:cs="Times New Roman"/>
                <w:sz w:val="20"/>
                <w:szCs w:val="20"/>
              </w:rPr>
              <w:t>At Discharge</w:t>
            </w:r>
          </w:p>
          <w:p w:rsidR="00065F92" w:rsidRPr="00F374D3" w:rsidRDefault="00065F92" w:rsidP="00F374D3">
            <w:pPr>
              <w:spacing w:after="0" w:line="360" w:lineRule="auto"/>
              <w:ind w:left="1170"/>
              <w:jc w:val="both"/>
              <w:rPr>
                <w:rFonts w:ascii="Times New Roman" w:hAnsi="Times New Roman" w:cs="Times New Roman"/>
                <w:sz w:val="20"/>
                <w:szCs w:val="20"/>
              </w:rPr>
            </w:pPr>
            <w:r w:rsidRPr="00F374D3">
              <w:rPr>
                <w:rFonts w:ascii="Times New Roman" w:hAnsi="Times New Roman" w:cs="Times New Roman"/>
                <w:sz w:val="20"/>
                <w:szCs w:val="20"/>
              </w:rPr>
              <w:t>At 3 Months</w:t>
            </w:r>
          </w:p>
          <w:p w:rsidR="00065F92" w:rsidRPr="00F374D3" w:rsidRDefault="00065F92" w:rsidP="00F374D3">
            <w:pPr>
              <w:spacing w:after="0" w:line="360" w:lineRule="auto"/>
              <w:ind w:left="1170"/>
              <w:jc w:val="both"/>
              <w:rPr>
                <w:rFonts w:ascii="Times New Roman" w:hAnsi="Times New Roman" w:cs="Times New Roman"/>
                <w:sz w:val="20"/>
                <w:szCs w:val="20"/>
              </w:rPr>
            </w:pPr>
            <w:r w:rsidRPr="00F374D3">
              <w:rPr>
                <w:rFonts w:ascii="Times New Roman" w:hAnsi="Times New Roman" w:cs="Times New Roman"/>
                <w:sz w:val="20"/>
                <w:szCs w:val="20"/>
              </w:rPr>
              <w:t>At 6 Months</w:t>
            </w:r>
          </w:p>
          <w:p w:rsidR="00065F92" w:rsidRPr="00F374D3" w:rsidRDefault="00065F92" w:rsidP="00F374D3">
            <w:pPr>
              <w:spacing w:after="0" w:line="360" w:lineRule="auto"/>
              <w:ind w:left="1170"/>
              <w:jc w:val="both"/>
              <w:rPr>
                <w:rFonts w:ascii="Times New Roman" w:hAnsi="Times New Roman" w:cs="Times New Roman"/>
                <w:sz w:val="20"/>
                <w:szCs w:val="20"/>
              </w:rPr>
            </w:pPr>
            <w:r w:rsidRPr="00F374D3">
              <w:rPr>
                <w:rFonts w:ascii="Times New Roman" w:hAnsi="Times New Roman" w:cs="Times New Roman"/>
                <w:sz w:val="20"/>
                <w:szCs w:val="20"/>
              </w:rPr>
              <w:t>At 1 Year</w:t>
            </w:r>
          </w:p>
        </w:tc>
        <w:tc>
          <w:tcPr>
            <w:tcW w:w="884" w:type="pct"/>
            <w:shd w:val="clear" w:color="auto" w:fill="auto"/>
            <w:vAlign w:val="center"/>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77.177</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99.696</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104.190</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106.165</w:t>
            </w:r>
          </w:p>
        </w:tc>
        <w:tc>
          <w:tcPr>
            <w:tcW w:w="717" w:type="pct"/>
            <w:shd w:val="clear" w:color="auto" w:fill="auto"/>
            <w:vAlign w:val="center"/>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58.67</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75.79</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79.21</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80.71</w:t>
            </w:r>
          </w:p>
        </w:tc>
        <w:tc>
          <w:tcPr>
            <w:tcW w:w="717" w:type="pct"/>
            <w:shd w:val="clear" w:color="auto" w:fill="auto"/>
            <w:vAlign w:val="center"/>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tc>
        <w:tc>
          <w:tcPr>
            <w:tcW w:w="961" w:type="pct"/>
            <w:shd w:val="clear" w:color="auto" w:fill="auto"/>
            <w:vAlign w:val="center"/>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r w:rsidR="00065F92" w:rsidRPr="00F374D3" w:rsidTr="00065F92">
        <w:trPr>
          <w:trHeight w:val="981"/>
          <w:jc w:val="center"/>
        </w:trPr>
        <w:tc>
          <w:tcPr>
            <w:tcW w:w="1721" w:type="pct"/>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 xml:space="preserve">Blood Urea  At Discharge       </w:t>
            </w:r>
          </w:p>
          <w:p w:rsidR="00065F92" w:rsidRPr="00F374D3" w:rsidRDefault="00065F92" w:rsidP="00F374D3">
            <w:pPr>
              <w:spacing w:after="0" w:line="360" w:lineRule="auto"/>
              <w:ind w:left="1260"/>
              <w:jc w:val="both"/>
              <w:rPr>
                <w:rFonts w:ascii="Times New Roman" w:hAnsi="Times New Roman" w:cs="Times New Roman"/>
                <w:sz w:val="20"/>
                <w:szCs w:val="20"/>
              </w:rPr>
            </w:pPr>
            <w:r w:rsidRPr="00F374D3">
              <w:rPr>
                <w:rFonts w:ascii="Times New Roman" w:hAnsi="Times New Roman" w:cs="Times New Roman"/>
                <w:sz w:val="20"/>
                <w:szCs w:val="20"/>
              </w:rPr>
              <w:t>At 3 Months</w:t>
            </w:r>
          </w:p>
          <w:p w:rsidR="00065F92" w:rsidRPr="00F374D3" w:rsidRDefault="00065F92" w:rsidP="00F374D3">
            <w:pPr>
              <w:spacing w:after="0" w:line="360" w:lineRule="auto"/>
              <w:ind w:left="1260"/>
              <w:jc w:val="both"/>
              <w:rPr>
                <w:rFonts w:ascii="Times New Roman" w:hAnsi="Times New Roman" w:cs="Times New Roman"/>
                <w:sz w:val="20"/>
                <w:szCs w:val="20"/>
              </w:rPr>
            </w:pPr>
            <w:r w:rsidRPr="00F374D3">
              <w:rPr>
                <w:rFonts w:ascii="Times New Roman" w:hAnsi="Times New Roman" w:cs="Times New Roman"/>
                <w:sz w:val="20"/>
                <w:szCs w:val="20"/>
              </w:rPr>
              <w:t>At 6 Months</w:t>
            </w:r>
          </w:p>
          <w:p w:rsidR="00065F92" w:rsidRPr="00F374D3" w:rsidRDefault="00065F92" w:rsidP="00F374D3">
            <w:pPr>
              <w:spacing w:after="0" w:line="360" w:lineRule="auto"/>
              <w:ind w:left="1260"/>
              <w:jc w:val="both"/>
              <w:rPr>
                <w:rFonts w:ascii="Times New Roman" w:hAnsi="Times New Roman" w:cs="Times New Roman"/>
                <w:sz w:val="20"/>
                <w:szCs w:val="20"/>
              </w:rPr>
            </w:pPr>
            <w:r w:rsidRPr="00F374D3">
              <w:rPr>
                <w:rFonts w:ascii="Times New Roman" w:hAnsi="Times New Roman" w:cs="Times New Roman"/>
                <w:sz w:val="20"/>
                <w:szCs w:val="20"/>
              </w:rPr>
              <w:t>At 1 Year</w:t>
            </w:r>
          </w:p>
        </w:tc>
        <w:tc>
          <w:tcPr>
            <w:tcW w:w="884" w:type="pct"/>
            <w:shd w:val="clear" w:color="auto" w:fill="auto"/>
            <w:vAlign w:val="center"/>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22.519</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27.013</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28.987</w:t>
            </w:r>
          </w:p>
        </w:tc>
        <w:tc>
          <w:tcPr>
            <w:tcW w:w="717" w:type="pct"/>
            <w:shd w:val="clear" w:color="auto" w:fill="auto"/>
            <w:vAlign w:val="center"/>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41.42</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49.69</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53.32</w:t>
            </w:r>
          </w:p>
        </w:tc>
        <w:tc>
          <w:tcPr>
            <w:tcW w:w="717" w:type="pct"/>
            <w:shd w:val="clear" w:color="auto" w:fill="auto"/>
            <w:vAlign w:val="center"/>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tc>
        <w:tc>
          <w:tcPr>
            <w:tcW w:w="961" w:type="pct"/>
            <w:shd w:val="clear" w:color="auto" w:fill="auto"/>
            <w:vAlign w:val="center"/>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r w:rsidR="00065F92" w:rsidRPr="00F374D3" w:rsidTr="00065F92">
        <w:trPr>
          <w:trHeight w:val="982"/>
          <w:jc w:val="center"/>
        </w:trPr>
        <w:tc>
          <w:tcPr>
            <w:tcW w:w="1721" w:type="pct"/>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 xml:space="preserve">Blood Urea At 3 Months          </w:t>
            </w:r>
          </w:p>
          <w:p w:rsidR="00065F92" w:rsidRPr="00F374D3" w:rsidRDefault="00065F92" w:rsidP="00F374D3">
            <w:pPr>
              <w:spacing w:after="0" w:line="360" w:lineRule="auto"/>
              <w:ind w:left="1170"/>
              <w:jc w:val="both"/>
              <w:rPr>
                <w:rFonts w:ascii="Times New Roman" w:hAnsi="Times New Roman" w:cs="Times New Roman"/>
                <w:sz w:val="20"/>
                <w:szCs w:val="20"/>
              </w:rPr>
            </w:pPr>
            <w:r w:rsidRPr="00F374D3">
              <w:rPr>
                <w:rFonts w:ascii="Times New Roman" w:hAnsi="Times New Roman" w:cs="Times New Roman"/>
                <w:sz w:val="20"/>
                <w:szCs w:val="20"/>
              </w:rPr>
              <w:t>At 6 Months</w:t>
            </w:r>
          </w:p>
          <w:p w:rsidR="00065F92" w:rsidRPr="00F374D3" w:rsidRDefault="00065F92" w:rsidP="00F374D3">
            <w:pPr>
              <w:spacing w:after="0" w:line="360" w:lineRule="auto"/>
              <w:ind w:left="1170"/>
              <w:jc w:val="both"/>
              <w:rPr>
                <w:rFonts w:ascii="Times New Roman" w:hAnsi="Times New Roman" w:cs="Times New Roman"/>
                <w:sz w:val="20"/>
                <w:szCs w:val="20"/>
              </w:rPr>
            </w:pPr>
            <w:r w:rsidRPr="00F374D3">
              <w:rPr>
                <w:rFonts w:ascii="Times New Roman" w:hAnsi="Times New Roman" w:cs="Times New Roman"/>
                <w:sz w:val="20"/>
                <w:szCs w:val="20"/>
              </w:rPr>
              <w:t>At 1 Year</w:t>
            </w:r>
          </w:p>
        </w:tc>
        <w:tc>
          <w:tcPr>
            <w:tcW w:w="884" w:type="pct"/>
            <w:shd w:val="clear" w:color="auto" w:fill="auto"/>
            <w:vAlign w:val="center"/>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4.494</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6.468</w:t>
            </w:r>
          </w:p>
        </w:tc>
        <w:tc>
          <w:tcPr>
            <w:tcW w:w="717" w:type="pct"/>
            <w:shd w:val="clear" w:color="auto" w:fill="auto"/>
            <w:vAlign w:val="center"/>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14.11</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20.31</w:t>
            </w:r>
          </w:p>
        </w:tc>
        <w:tc>
          <w:tcPr>
            <w:tcW w:w="717" w:type="pct"/>
            <w:shd w:val="clear" w:color="auto" w:fill="auto"/>
            <w:vAlign w:val="center"/>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tc>
        <w:tc>
          <w:tcPr>
            <w:tcW w:w="961" w:type="pct"/>
            <w:shd w:val="clear" w:color="auto" w:fill="auto"/>
            <w:vAlign w:val="center"/>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r w:rsidR="00065F92" w:rsidRPr="00F374D3" w:rsidTr="00065F92">
        <w:trPr>
          <w:trHeight w:val="681"/>
          <w:jc w:val="center"/>
        </w:trPr>
        <w:tc>
          <w:tcPr>
            <w:tcW w:w="1721" w:type="pct"/>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 xml:space="preserve">Blood Urea At 6 Months                     </w:t>
            </w:r>
          </w:p>
          <w:p w:rsidR="00065F92" w:rsidRPr="00F374D3" w:rsidRDefault="00065F92" w:rsidP="00F374D3">
            <w:pPr>
              <w:spacing w:after="0" w:line="360" w:lineRule="auto"/>
              <w:ind w:left="1170"/>
              <w:jc w:val="both"/>
              <w:rPr>
                <w:rFonts w:ascii="Times New Roman" w:hAnsi="Times New Roman" w:cs="Times New Roman"/>
                <w:sz w:val="20"/>
                <w:szCs w:val="20"/>
              </w:rPr>
            </w:pPr>
            <w:r w:rsidRPr="00F374D3">
              <w:rPr>
                <w:rFonts w:ascii="Times New Roman" w:hAnsi="Times New Roman" w:cs="Times New Roman"/>
                <w:sz w:val="20"/>
                <w:szCs w:val="20"/>
              </w:rPr>
              <w:t>At 1 Year</w:t>
            </w:r>
          </w:p>
        </w:tc>
        <w:tc>
          <w:tcPr>
            <w:tcW w:w="884" w:type="pct"/>
            <w:shd w:val="clear" w:color="auto" w:fill="auto"/>
            <w:vAlign w:val="center"/>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1.975</w:t>
            </w:r>
          </w:p>
        </w:tc>
        <w:tc>
          <w:tcPr>
            <w:tcW w:w="717" w:type="pct"/>
            <w:shd w:val="clear" w:color="auto" w:fill="auto"/>
            <w:vAlign w:val="center"/>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7.22</w:t>
            </w:r>
          </w:p>
        </w:tc>
        <w:tc>
          <w:tcPr>
            <w:tcW w:w="717" w:type="pct"/>
            <w:shd w:val="clear" w:color="auto" w:fill="auto"/>
            <w:vAlign w:val="center"/>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0.013</w:t>
            </w:r>
          </w:p>
        </w:tc>
        <w:tc>
          <w:tcPr>
            <w:tcW w:w="961" w:type="pct"/>
            <w:shd w:val="clear" w:color="auto" w:fill="auto"/>
            <w:vAlign w:val="center"/>
          </w:tcPr>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Sig</w:t>
            </w:r>
          </w:p>
        </w:tc>
      </w:tr>
    </w:tbl>
    <w:p w:rsidR="00065F92" w:rsidRPr="00F374D3" w:rsidRDefault="00065F92" w:rsidP="00F374D3">
      <w:pPr>
        <w:spacing w:after="0" w:line="360" w:lineRule="auto"/>
        <w:jc w:val="both"/>
        <w:rPr>
          <w:rFonts w:ascii="Times New Roman" w:hAnsi="Times New Roman" w:cs="Times New Roman"/>
          <w:sz w:val="20"/>
          <w:szCs w:val="20"/>
        </w:rPr>
      </w:pPr>
    </w:p>
    <w:p w:rsidR="00F54AA8" w:rsidRDefault="00F54AA8" w:rsidP="00F374D3">
      <w:pPr>
        <w:spacing w:after="0" w:line="360" w:lineRule="auto"/>
        <w:ind w:firstLine="720"/>
        <w:jc w:val="both"/>
        <w:rPr>
          <w:rFonts w:ascii="Times New Roman" w:hAnsi="Times New Roman" w:cs="Times New Roman"/>
          <w:sz w:val="20"/>
          <w:szCs w:val="20"/>
        </w:rPr>
      </w:pPr>
    </w:p>
    <w:p w:rsidR="00F54AA8" w:rsidRDefault="00F54AA8" w:rsidP="00F374D3">
      <w:pPr>
        <w:spacing w:after="0" w:line="360" w:lineRule="auto"/>
        <w:ind w:firstLine="720"/>
        <w:jc w:val="both"/>
        <w:rPr>
          <w:rFonts w:ascii="Times New Roman" w:hAnsi="Times New Roman" w:cs="Times New Roman"/>
          <w:sz w:val="20"/>
          <w:szCs w:val="20"/>
        </w:rPr>
      </w:pPr>
    </w:p>
    <w:p w:rsidR="00FF0FBA" w:rsidRPr="00F374D3" w:rsidRDefault="00065F92" w:rsidP="00F374D3">
      <w:pPr>
        <w:spacing w:after="0" w:line="360" w:lineRule="auto"/>
        <w:ind w:firstLine="720"/>
        <w:jc w:val="both"/>
        <w:rPr>
          <w:rFonts w:ascii="Times New Roman" w:hAnsi="Times New Roman" w:cs="Times New Roman"/>
          <w:sz w:val="20"/>
          <w:szCs w:val="20"/>
        </w:rPr>
      </w:pPr>
      <w:r w:rsidRPr="00F374D3">
        <w:rPr>
          <w:rFonts w:ascii="Times New Roman" w:hAnsi="Times New Roman" w:cs="Times New Roman"/>
          <w:sz w:val="20"/>
          <w:szCs w:val="20"/>
        </w:rPr>
        <w:lastRenderedPageBreak/>
        <w:t>From the above tables 9 and 10, the drop in blood urea levels are analysed during follow-up period by Friedman test and pairwise comparison by Wilcoxon signed rank test .It is evident that there was significant drop in blood urea level from admission to 6 months (about 79.21%) with P value &lt;0.000which is statistically highly significant whereas from 6 months to the end of 1 year, there was slight significant drop in blood urea levels (about 7.22%) with P value of 0.013 (&lt;0.05) which is just statistically significant.</w:t>
      </w:r>
    </w:p>
    <w:p w:rsidR="00FF0FBA" w:rsidRPr="00F374D3" w:rsidRDefault="00FF0FBA" w:rsidP="00F374D3">
      <w:pPr>
        <w:spacing w:after="0" w:line="360" w:lineRule="auto"/>
        <w:jc w:val="both"/>
        <w:rPr>
          <w:rFonts w:ascii="Times New Roman" w:hAnsi="Times New Roman" w:cs="Times New Roman"/>
          <w:b/>
          <w:sz w:val="20"/>
          <w:szCs w:val="20"/>
        </w:rPr>
      </w:pPr>
    </w:p>
    <w:p w:rsidR="00065F92" w:rsidRPr="00F374D3" w:rsidRDefault="00065F92" w:rsidP="00F374D3">
      <w:pPr>
        <w:spacing w:after="0" w:line="360" w:lineRule="auto"/>
        <w:jc w:val="both"/>
        <w:rPr>
          <w:rFonts w:ascii="Times New Roman" w:hAnsi="Times New Roman" w:cs="Times New Roman"/>
          <w:b/>
          <w:sz w:val="20"/>
          <w:szCs w:val="20"/>
        </w:rPr>
      </w:pPr>
      <w:r w:rsidRPr="00F374D3">
        <w:rPr>
          <w:rFonts w:ascii="Times New Roman" w:hAnsi="Times New Roman" w:cs="Times New Roman"/>
          <w:b/>
          <w:sz w:val="20"/>
          <w:szCs w:val="20"/>
        </w:rPr>
        <w:t xml:space="preserve">TABLE 11: Showing </w:t>
      </w:r>
      <w:proofErr w:type="spellStart"/>
      <w:r w:rsidRPr="00F374D3">
        <w:rPr>
          <w:rFonts w:ascii="Times New Roman" w:hAnsi="Times New Roman" w:cs="Times New Roman"/>
          <w:b/>
          <w:sz w:val="20"/>
          <w:szCs w:val="20"/>
        </w:rPr>
        <w:t>McNemer</w:t>
      </w:r>
      <w:proofErr w:type="spellEnd"/>
      <w:r w:rsidRPr="00F374D3">
        <w:rPr>
          <w:rFonts w:ascii="Times New Roman" w:hAnsi="Times New Roman" w:cs="Times New Roman"/>
          <w:b/>
          <w:sz w:val="20"/>
          <w:szCs w:val="20"/>
        </w:rPr>
        <w:t xml:space="preserve"> test analysis in study population during study period</w:t>
      </w:r>
    </w:p>
    <w:tbl>
      <w:tblPr>
        <w:tblW w:w="8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2749"/>
        <w:gridCol w:w="1576"/>
      </w:tblGrid>
      <w:tr w:rsidR="00065F92" w:rsidRPr="00F374D3" w:rsidTr="00065F92">
        <w:trPr>
          <w:trHeight w:val="70"/>
          <w:jc w:val="center"/>
        </w:trPr>
        <w:tc>
          <w:tcPr>
            <w:tcW w:w="3798" w:type="dxa"/>
            <w:shd w:val="clear" w:color="auto" w:fill="auto"/>
          </w:tcPr>
          <w:p w:rsidR="00065F92" w:rsidRPr="00F374D3" w:rsidRDefault="00065F92" w:rsidP="00F374D3">
            <w:pPr>
              <w:spacing w:after="0" w:line="360" w:lineRule="auto"/>
              <w:jc w:val="both"/>
              <w:rPr>
                <w:rFonts w:ascii="Times New Roman" w:hAnsi="Times New Roman" w:cs="Times New Roman"/>
                <w:b/>
                <w:sz w:val="20"/>
                <w:szCs w:val="20"/>
              </w:rPr>
            </w:pPr>
            <w:r w:rsidRPr="00F374D3">
              <w:rPr>
                <w:rFonts w:ascii="Times New Roman" w:hAnsi="Times New Roman" w:cs="Times New Roman"/>
                <w:b/>
                <w:sz w:val="20"/>
                <w:szCs w:val="20"/>
              </w:rPr>
              <w:t>Parameter (Blood Urea)</w:t>
            </w:r>
          </w:p>
        </w:tc>
        <w:tc>
          <w:tcPr>
            <w:tcW w:w="2749" w:type="dxa"/>
            <w:shd w:val="clear" w:color="auto" w:fill="auto"/>
          </w:tcPr>
          <w:p w:rsidR="00065F92" w:rsidRPr="00F374D3" w:rsidRDefault="00065F92" w:rsidP="00F374D3">
            <w:pPr>
              <w:spacing w:after="0" w:line="360" w:lineRule="auto"/>
              <w:jc w:val="both"/>
              <w:rPr>
                <w:rFonts w:ascii="Times New Roman" w:hAnsi="Times New Roman" w:cs="Times New Roman"/>
                <w:b/>
                <w:sz w:val="20"/>
                <w:szCs w:val="20"/>
              </w:rPr>
            </w:pPr>
            <w:proofErr w:type="spellStart"/>
            <w:r w:rsidRPr="00F374D3">
              <w:rPr>
                <w:rFonts w:ascii="Times New Roman" w:hAnsi="Times New Roman" w:cs="Times New Roman"/>
                <w:b/>
                <w:sz w:val="20"/>
                <w:szCs w:val="20"/>
              </w:rPr>
              <w:t>McNemer</w:t>
            </w:r>
            <w:proofErr w:type="spellEnd"/>
            <w:r w:rsidRPr="00F374D3">
              <w:rPr>
                <w:rFonts w:ascii="Times New Roman" w:hAnsi="Times New Roman" w:cs="Times New Roman"/>
                <w:b/>
                <w:sz w:val="20"/>
                <w:szCs w:val="20"/>
              </w:rPr>
              <w:t xml:space="preserve">  Test P Value</w:t>
            </w:r>
          </w:p>
        </w:tc>
        <w:tc>
          <w:tcPr>
            <w:tcW w:w="1576" w:type="dxa"/>
            <w:shd w:val="clear" w:color="auto" w:fill="auto"/>
          </w:tcPr>
          <w:p w:rsidR="00065F92" w:rsidRPr="00F374D3" w:rsidRDefault="00065F92" w:rsidP="00F374D3">
            <w:pPr>
              <w:spacing w:after="0" w:line="360" w:lineRule="auto"/>
              <w:jc w:val="both"/>
              <w:rPr>
                <w:rFonts w:ascii="Times New Roman" w:hAnsi="Times New Roman" w:cs="Times New Roman"/>
                <w:b/>
                <w:sz w:val="20"/>
                <w:szCs w:val="20"/>
              </w:rPr>
            </w:pPr>
            <w:r w:rsidRPr="00F374D3">
              <w:rPr>
                <w:rFonts w:ascii="Times New Roman" w:hAnsi="Times New Roman" w:cs="Times New Roman"/>
                <w:b/>
                <w:sz w:val="20"/>
                <w:szCs w:val="20"/>
              </w:rPr>
              <w:t>Significance</w:t>
            </w:r>
          </w:p>
        </w:tc>
      </w:tr>
      <w:tr w:rsidR="00065F92" w:rsidRPr="00F374D3" w:rsidTr="00065F92">
        <w:trPr>
          <w:trHeight w:val="70"/>
          <w:jc w:val="center"/>
        </w:trPr>
        <w:tc>
          <w:tcPr>
            <w:tcW w:w="3798"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At Discharge – At Admission</w:t>
            </w:r>
          </w:p>
        </w:tc>
        <w:tc>
          <w:tcPr>
            <w:tcW w:w="2749"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tc>
        <w:tc>
          <w:tcPr>
            <w:tcW w:w="1576"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r w:rsidR="00065F92" w:rsidRPr="00F374D3" w:rsidTr="00065F92">
        <w:trPr>
          <w:trHeight w:val="70"/>
          <w:jc w:val="center"/>
        </w:trPr>
        <w:tc>
          <w:tcPr>
            <w:tcW w:w="3798"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At 3months – At Admission</w:t>
            </w:r>
          </w:p>
        </w:tc>
        <w:tc>
          <w:tcPr>
            <w:tcW w:w="2749"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tc>
        <w:tc>
          <w:tcPr>
            <w:tcW w:w="1576"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r w:rsidR="00065F92" w:rsidRPr="00F374D3" w:rsidTr="00065F92">
        <w:trPr>
          <w:trHeight w:val="70"/>
          <w:jc w:val="center"/>
        </w:trPr>
        <w:tc>
          <w:tcPr>
            <w:tcW w:w="3798"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At 6 Months – At Admission</w:t>
            </w:r>
          </w:p>
        </w:tc>
        <w:tc>
          <w:tcPr>
            <w:tcW w:w="2749"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tc>
        <w:tc>
          <w:tcPr>
            <w:tcW w:w="1576"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r w:rsidR="00065F92" w:rsidRPr="00F374D3" w:rsidTr="00065F92">
        <w:trPr>
          <w:trHeight w:val="70"/>
          <w:jc w:val="center"/>
        </w:trPr>
        <w:tc>
          <w:tcPr>
            <w:tcW w:w="3798"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At 1 Year – At Admission</w:t>
            </w:r>
          </w:p>
        </w:tc>
        <w:tc>
          <w:tcPr>
            <w:tcW w:w="2749"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tc>
        <w:tc>
          <w:tcPr>
            <w:tcW w:w="1576"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r w:rsidR="00065F92" w:rsidRPr="00F374D3" w:rsidTr="00065F92">
        <w:trPr>
          <w:trHeight w:val="70"/>
          <w:jc w:val="center"/>
        </w:trPr>
        <w:tc>
          <w:tcPr>
            <w:tcW w:w="3798"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At 3 Months – At Discharge</w:t>
            </w:r>
          </w:p>
        </w:tc>
        <w:tc>
          <w:tcPr>
            <w:tcW w:w="2749"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tc>
        <w:tc>
          <w:tcPr>
            <w:tcW w:w="1576"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r w:rsidR="00065F92" w:rsidRPr="00F374D3" w:rsidTr="00065F92">
        <w:trPr>
          <w:trHeight w:val="70"/>
          <w:jc w:val="center"/>
        </w:trPr>
        <w:tc>
          <w:tcPr>
            <w:tcW w:w="3798"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At 6 Months – At Discharge</w:t>
            </w:r>
          </w:p>
        </w:tc>
        <w:tc>
          <w:tcPr>
            <w:tcW w:w="2749"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tc>
        <w:tc>
          <w:tcPr>
            <w:tcW w:w="1576"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r w:rsidR="00065F92" w:rsidRPr="00F374D3" w:rsidTr="00065F92">
        <w:trPr>
          <w:trHeight w:val="70"/>
          <w:jc w:val="center"/>
        </w:trPr>
        <w:tc>
          <w:tcPr>
            <w:tcW w:w="3798"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At 1 Year – At Discharge</w:t>
            </w:r>
          </w:p>
        </w:tc>
        <w:tc>
          <w:tcPr>
            <w:tcW w:w="2749"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tc>
        <w:tc>
          <w:tcPr>
            <w:tcW w:w="1576"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r w:rsidR="00065F92" w:rsidRPr="00F374D3" w:rsidTr="00065F92">
        <w:trPr>
          <w:trHeight w:val="70"/>
          <w:jc w:val="center"/>
        </w:trPr>
        <w:tc>
          <w:tcPr>
            <w:tcW w:w="3798"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At 6 Months – At 3months</w:t>
            </w:r>
          </w:p>
        </w:tc>
        <w:tc>
          <w:tcPr>
            <w:tcW w:w="2749"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0.046</w:t>
            </w:r>
          </w:p>
        </w:tc>
        <w:tc>
          <w:tcPr>
            <w:tcW w:w="1576"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Sig</w:t>
            </w:r>
          </w:p>
        </w:tc>
      </w:tr>
      <w:tr w:rsidR="00065F92" w:rsidRPr="00F374D3" w:rsidTr="00065F92">
        <w:trPr>
          <w:trHeight w:val="70"/>
          <w:jc w:val="center"/>
        </w:trPr>
        <w:tc>
          <w:tcPr>
            <w:tcW w:w="3798"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At 1 Year – At 3months</w:t>
            </w:r>
          </w:p>
        </w:tc>
        <w:tc>
          <w:tcPr>
            <w:tcW w:w="2749"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0.046</w:t>
            </w:r>
          </w:p>
        </w:tc>
        <w:tc>
          <w:tcPr>
            <w:tcW w:w="1576"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Sig</w:t>
            </w:r>
          </w:p>
        </w:tc>
      </w:tr>
      <w:tr w:rsidR="00065F92" w:rsidRPr="00F374D3" w:rsidTr="00065F92">
        <w:trPr>
          <w:trHeight w:val="70"/>
          <w:jc w:val="center"/>
        </w:trPr>
        <w:tc>
          <w:tcPr>
            <w:tcW w:w="3798"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At 1 Year – At 6 Months</w:t>
            </w:r>
          </w:p>
        </w:tc>
        <w:tc>
          <w:tcPr>
            <w:tcW w:w="2749"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1.000</w:t>
            </w:r>
          </w:p>
        </w:tc>
        <w:tc>
          <w:tcPr>
            <w:tcW w:w="1576"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Ns</w:t>
            </w:r>
          </w:p>
        </w:tc>
      </w:tr>
    </w:tbl>
    <w:p w:rsidR="00065F92" w:rsidRPr="00F374D3" w:rsidRDefault="00065F92" w:rsidP="00F374D3">
      <w:pPr>
        <w:spacing w:after="0" w:line="360" w:lineRule="auto"/>
        <w:jc w:val="both"/>
        <w:rPr>
          <w:rFonts w:ascii="Times New Roman" w:hAnsi="Times New Roman" w:cs="Times New Roman"/>
          <w:b/>
          <w:sz w:val="20"/>
          <w:szCs w:val="20"/>
        </w:rPr>
      </w:pPr>
    </w:p>
    <w:p w:rsidR="00065F92" w:rsidRPr="00F374D3" w:rsidRDefault="00065F92" w:rsidP="00F374D3">
      <w:pPr>
        <w:spacing w:after="0" w:line="360" w:lineRule="auto"/>
        <w:jc w:val="both"/>
        <w:rPr>
          <w:rFonts w:ascii="Times New Roman" w:hAnsi="Times New Roman" w:cs="Times New Roman"/>
          <w:b/>
          <w:sz w:val="20"/>
          <w:szCs w:val="20"/>
        </w:rPr>
      </w:pPr>
      <w:r w:rsidRPr="00F374D3">
        <w:rPr>
          <w:rFonts w:ascii="Times New Roman" w:hAnsi="Times New Roman" w:cs="Times New Roman"/>
          <w:b/>
          <w:sz w:val="20"/>
          <w:szCs w:val="20"/>
        </w:rPr>
        <w:t>TABLE 12: Showing study population with normal and abnormal Blood Urea during study period</w:t>
      </w:r>
    </w:p>
    <w:tbl>
      <w:tblPr>
        <w:tblW w:w="8365" w:type="dxa"/>
        <w:jc w:val="center"/>
        <w:tblInd w:w="36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93" w:type="dxa"/>
          <w:right w:w="93" w:type="dxa"/>
        </w:tblCellMar>
        <w:tblLook w:val="0000" w:firstRow="0" w:lastRow="0" w:firstColumn="0" w:lastColumn="0" w:noHBand="0" w:noVBand="0"/>
      </w:tblPr>
      <w:tblGrid>
        <w:gridCol w:w="1975"/>
        <w:gridCol w:w="1170"/>
        <w:gridCol w:w="990"/>
        <w:gridCol w:w="1170"/>
        <w:gridCol w:w="1080"/>
        <w:gridCol w:w="1080"/>
        <w:gridCol w:w="900"/>
      </w:tblGrid>
      <w:tr w:rsidR="00065F92" w:rsidRPr="00F374D3" w:rsidTr="00065F92">
        <w:trPr>
          <w:trHeight w:val="561"/>
          <w:jc w:val="center"/>
        </w:trPr>
        <w:tc>
          <w:tcPr>
            <w:tcW w:w="1975" w:type="dxa"/>
            <w:shd w:val="clear" w:color="000000" w:fill="FFFFFF"/>
            <w:vAlign w:val="bottom"/>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Parameter</w:t>
            </w:r>
          </w:p>
        </w:tc>
        <w:tc>
          <w:tcPr>
            <w:tcW w:w="2160" w:type="dxa"/>
            <w:gridSpan w:val="2"/>
            <w:shd w:val="clear" w:color="000000" w:fill="FFFFFF"/>
            <w:vAlign w:val="bottom"/>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Normal</w:t>
            </w:r>
          </w:p>
        </w:tc>
        <w:tc>
          <w:tcPr>
            <w:tcW w:w="2250" w:type="dxa"/>
            <w:gridSpan w:val="2"/>
            <w:shd w:val="clear" w:color="000000" w:fill="FFFFFF"/>
            <w:vAlign w:val="bottom"/>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Abnormal</w:t>
            </w:r>
          </w:p>
        </w:tc>
        <w:tc>
          <w:tcPr>
            <w:tcW w:w="1980" w:type="dxa"/>
            <w:gridSpan w:val="2"/>
            <w:shd w:val="clear" w:color="000000" w:fill="FFFFFF"/>
            <w:vAlign w:val="bottom"/>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Total</w:t>
            </w:r>
          </w:p>
        </w:tc>
      </w:tr>
      <w:tr w:rsidR="00065F92" w:rsidRPr="00F374D3" w:rsidTr="00065F92">
        <w:trPr>
          <w:trHeight w:val="561"/>
          <w:jc w:val="center"/>
        </w:trPr>
        <w:tc>
          <w:tcPr>
            <w:tcW w:w="1975" w:type="dxa"/>
            <w:shd w:val="clear" w:color="000000" w:fill="FFFFFF"/>
            <w:vAlign w:val="bottom"/>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Blood Urea</w:t>
            </w:r>
          </w:p>
        </w:tc>
        <w:tc>
          <w:tcPr>
            <w:tcW w:w="1170" w:type="dxa"/>
            <w:shd w:val="clear" w:color="000000" w:fill="FFFFFF"/>
            <w:vAlign w:val="bottom"/>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No. Of Patients</w:t>
            </w:r>
          </w:p>
        </w:tc>
        <w:tc>
          <w:tcPr>
            <w:tcW w:w="990" w:type="dxa"/>
            <w:shd w:val="clear" w:color="000000" w:fill="FFFFFF"/>
            <w:vAlign w:val="bottom"/>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w:t>
            </w:r>
          </w:p>
        </w:tc>
        <w:tc>
          <w:tcPr>
            <w:tcW w:w="1170" w:type="dxa"/>
            <w:shd w:val="clear" w:color="000000" w:fill="FFFFFF"/>
            <w:vAlign w:val="bottom"/>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No. Of Patients</w:t>
            </w:r>
          </w:p>
        </w:tc>
        <w:tc>
          <w:tcPr>
            <w:tcW w:w="1080" w:type="dxa"/>
            <w:shd w:val="clear" w:color="000000" w:fill="FFFFFF"/>
            <w:vAlign w:val="bottom"/>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w:t>
            </w:r>
          </w:p>
        </w:tc>
        <w:tc>
          <w:tcPr>
            <w:tcW w:w="1080" w:type="dxa"/>
            <w:shd w:val="clear" w:color="000000" w:fill="FFFFFF"/>
            <w:vAlign w:val="bottom"/>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No. Of Patients</w:t>
            </w:r>
          </w:p>
        </w:tc>
        <w:tc>
          <w:tcPr>
            <w:tcW w:w="900" w:type="dxa"/>
            <w:shd w:val="clear" w:color="000000" w:fill="FFFFFF"/>
            <w:vAlign w:val="bottom"/>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w:t>
            </w:r>
          </w:p>
        </w:tc>
      </w:tr>
      <w:tr w:rsidR="00065F92" w:rsidRPr="00F374D3" w:rsidTr="00065F92">
        <w:trPr>
          <w:trHeight w:val="304"/>
          <w:jc w:val="center"/>
        </w:trPr>
        <w:tc>
          <w:tcPr>
            <w:tcW w:w="1975" w:type="dxa"/>
            <w:shd w:val="clear" w:color="000000" w:fill="FFFFFF"/>
          </w:tcPr>
          <w:p w:rsidR="00065F92" w:rsidRPr="00F374D3" w:rsidRDefault="00065F92" w:rsidP="00F374D3">
            <w:pPr>
              <w:autoSpaceDE w:val="0"/>
              <w:autoSpaceDN w:val="0"/>
              <w:adjustRightInd w:val="0"/>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At Admission</w:t>
            </w:r>
          </w:p>
        </w:tc>
        <w:tc>
          <w:tcPr>
            <w:tcW w:w="1170"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0</w:t>
            </w:r>
          </w:p>
        </w:tc>
        <w:tc>
          <w:tcPr>
            <w:tcW w:w="990"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0</w:t>
            </w:r>
          </w:p>
        </w:tc>
        <w:tc>
          <w:tcPr>
            <w:tcW w:w="1170"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80</w:t>
            </w:r>
          </w:p>
        </w:tc>
        <w:tc>
          <w:tcPr>
            <w:tcW w:w="1080"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100</w:t>
            </w:r>
          </w:p>
        </w:tc>
        <w:tc>
          <w:tcPr>
            <w:tcW w:w="1080"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80</w:t>
            </w:r>
          </w:p>
        </w:tc>
        <w:tc>
          <w:tcPr>
            <w:tcW w:w="900"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100</w:t>
            </w:r>
          </w:p>
        </w:tc>
      </w:tr>
      <w:tr w:rsidR="00065F92" w:rsidRPr="00F374D3" w:rsidTr="00065F92">
        <w:trPr>
          <w:trHeight w:val="304"/>
          <w:jc w:val="center"/>
        </w:trPr>
        <w:tc>
          <w:tcPr>
            <w:tcW w:w="1975" w:type="dxa"/>
            <w:shd w:val="clear" w:color="000000" w:fill="FFFFFF"/>
          </w:tcPr>
          <w:p w:rsidR="00065F92" w:rsidRPr="00F374D3" w:rsidRDefault="00065F92" w:rsidP="00F374D3">
            <w:pPr>
              <w:autoSpaceDE w:val="0"/>
              <w:autoSpaceDN w:val="0"/>
              <w:adjustRightInd w:val="0"/>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At Discharge</w:t>
            </w:r>
          </w:p>
        </w:tc>
        <w:tc>
          <w:tcPr>
            <w:tcW w:w="1170"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24</w:t>
            </w:r>
          </w:p>
        </w:tc>
        <w:tc>
          <w:tcPr>
            <w:tcW w:w="990"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30</w:t>
            </w:r>
          </w:p>
        </w:tc>
        <w:tc>
          <w:tcPr>
            <w:tcW w:w="1170"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56</w:t>
            </w:r>
          </w:p>
        </w:tc>
        <w:tc>
          <w:tcPr>
            <w:tcW w:w="1080"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70</w:t>
            </w:r>
          </w:p>
        </w:tc>
        <w:tc>
          <w:tcPr>
            <w:tcW w:w="1080"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80</w:t>
            </w:r>
          </w:p>
        </w:tc>
        <w:tc>
          <w:tcPr>
            <w:tcW w:w="900"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100</w:t>
            </w:r>
          </w:p>
        </w:tc>
      </w:tr>
      <w:tr w:rsidR="00065F92" w:rsidRPr="00F374D3" w:rsidTr="00065F92">
        <w:trPr>
          <w:trHeight w:val="304"/>
          <w:jc w:val="center"/>
        </w:trPr>
        <w:tc>
          <w:tcPr>
            <w:tcW w:w="1975" w:type="dxa"/>
            <w:shd w:val="clear" w:color="000000" w:fill="FFFFFF"/>
          </w:tcPr>
          <w:p w:rsidR="00065F92" w:rsidRPr="00F374D3" w:rsidRDefault="00065F92" w:rsidP="00F374D3">
            <w:pPr>
              <w:autoSpaceDE w:val="0"/>
              <w:autoSpaceDN w:val="0"/>
              <w:adjustRightInd w:val="0"/>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At 3 Month</w:t>
            </w:r>
          </w:p>
        </w:tc>
        <w:tc>
          <w:tcPr>
            <w:tcW w:w="1170"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74</w:t>
            </w:r>
          </w:p>
        </w:tc>
        <w:tc>
          <w:tcPr>
            <w:tcW w:w="990"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92.5</w:t>
            </w:r>
          </w:p>
        </w:tc>
        <w:tc>
          <w:tcPr>
            <w:tcW w:w="1170"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6</w:t>
            </w:r>
          </w:p>
        </w:tc>
        <w:tc>
          <w:tcPr>
            <w:tcW w:w="1080"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7.5</w:t>
            </w:r>
          </w:p>
        </w:tc>
        <w:tc>
          <w:tcPr>
            <w:tcW w:w="1080"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80</w:t>
            </w:r>
          </w:p>
        </w:tc>
        <w:tc>
          <w:tcPr>
            <w:tcW w:w="900"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100</w:t>
            </w:r>
          </w:p>
        </w:tc>
      </w:tr>
      <w:tr w:rsidR="00065F92" w:rsidRPr="00F374D3" w:rsidTr="00065F92">
        <w:trPr>
          <w:trHeight w:val="304"/>
          <w:jc w:val="center"/>
        </w:trPr>
        <w:tc>
          <w:tcPr>
            <w:tcW w:w="1975" w:type="dxa"/>
            <w:shd w:val="clear" w:color="000000" w:fill="FFFFFF"/>
          </w:tcPr>
          <w:p w:rsidR="00065F92" w:rsidRPr="00F374D3" w:rsidRDefault="00065F92" w:rsidP="00F374D3">
            <w:pPr>
              <w:autoSpaceDE w:val="0"/>
              <w:autoSpaceDN w:val="0"/>
              <w:adjustRightInd w:val="0"/>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At 6 Months</w:t>
            </w:r>
          </w:p>
        </w:tc>
        <w:tc>
          <w:tcPr>
            <w:tcW w:w="1170"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78</w:t>
            </w:r>
          </w:p>
        </w:tc>
        <w:tc>
          <w:tcPr>
            <w:tcW w:w="990"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97.5</w:t>
            </w:r>
          </w:p>
        </w:tc>
        <w:tc>
          <w:tcPr>
            <w:tcW w:w="1170"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2</w:t>
            </w:r>
          </w:p>
        </w:tc>
        <w:tc>
          <w:tcPr>
            <w:tcW w:w="1080"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2.5</w:t>
            </w:r>
          </w:p>
        </w:tc>
        <w:tc>
          <w:tcPr>
            <w:tcW w:w="1080"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80</w:t>
            </w:r>
          </w:p>
        </w:tc>
        <w:tc>
          <w:tcPr>
            <w:tcW w:w="900"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100</w:t>
            </w:r>
          </w:p>
        </w:tc>
      </w:tr>
      <w:tr w:rsidR="00065F92" w:rsidRPr="00F374D3" w:rsidTr="00065F92">
        <w:trPr>
          <w:trHeight w:val="304"/>
          <w:jc w:val="center"/>
        </w:trPr>
        <w:tc>
          <w:tcPr>
            <w:tcW w:w="1975" w:type="dxa"/>
            <w:shd w:val="clear" w:color="000000" w:fill="FFFFFF"/>
          </w:tcPr>
          <w:p w:rsidR="00065F92" w:rsidRPr="00F374D3" w:rsidRDefault="00065F92" w:rsidP="00F374D3">
            <w:pPr>
              <w:autoSpaceDE w:val="0"/>
              <w:autoSpaceDN w:val="0"/>
              <w:adjustRightInd w:val="0"/>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At 1year</w:t>
            </w:r>
          </w:p>
        </w:tc>
        <w:tc>
          <w:tcPr>
            <w:tcW w:w="1170"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78</w:t>
            </w:r>
          </w:p>
        </w:tc>
        <w:tc>
          <w:tcPr>
            <w:tcW w:w="990"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97.5</w:t>
            </w:r>
          </w:p>
        </w:tc>
        <w:tc>
          <w:tcPr>
            <w:tcW w:w="1170"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2</w:t>
            </w:r>
          </w:p>
        </w:tc>
        <w:tc>
          <w:tcPr>
            <w:tcW w:w="1080"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2.5</w:t>
            </w:r>
          </w:p>
        </w:tc>
        <w:tc>
          <w:tcPr>
            <w:tcW w:w="1080"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80</w:t>
            </w:r>
          </w:p>
        </w:tc>
        <w:tc>
          <w:tcPr>
            <w:tcW w:w="900"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100</w:t>
            </w:r>
          </w:p>
        </w:tc>
      </w:tr>
    </w:tbl>
    <w:p w:rsidR="00065F92" w:rsidRPr="00F374D3" w:rsidRDefault="00065F92" w:rsidP="00F374D3">
      <w:pPr>
        <w:spacing w:after="0" w:line="360" w:lineRule="auto"/>
        <w:jc w:val="both"/>
        <w:rPr>
          <w:rFonts w:ascii="Times New Roman" w:hAnsi="Times New Roman" w:cs="Times New Roman"/>
          <w:b/>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 xml:space="preserve">From the </w:t>
      </w:r>
      <w:r w:rsidR="001B0AE5" w:rsidRPr="00F374D3">
        <w:rPr>
          <w:rFonts w:ascii="Times New Roman" w:hAnsi="Times New Roman" w:cs="Times New Roman"/>
          <w:sz w:val="20"/>
          <w:szCs w:val="20"/>
        </w:rPr>
        <w:t>above tables 11, 12 and figure 8</w:t>
      </w:r>
      <w:r w:rsidRPr="00F374D3">
        <w:rPr>
          <w:rFonts w:ascii="Times New Roman" w:hAnsi="Times New Roman" w:cs="Times New Roman"/>
          <w:sz w:val="20"/>
          <w:szCs w:val="20"/>
        </w:rPr>
        <w:t xml:space="preserve"> it is evident that </w:t>
      </w:r>
    </w:p>
    <w:p w:rsidR="00065F92" w:rsidRPr="00F374D3" w:rsidRDefault="00065F92" w:rsidP="00F374D3">
      <w:pPr>
        <w:pStyle w:val="ListParagraph"/>
        <w:numPr>
          <w:ilvl w:val="0"/>
          <w:numId w:val="16"/>
        </w:numPr>
        <w:spacing w:after="0" w:line="360" w:lineRule="auto"/>
        <w:ind w:left="720"/>
        <w:jc w:val="both"/>
        <w:rPr>
          <w:sz w:val="20"/>
          <w:szCs w:val="20"/>
        </w:rPr>
      </w:pPr>
      <w:r w:rsidRPr="00F374D3">
        <w:rPr>
          <w:sz w:val="20"/>
          <w:szCs w:val="20"/>
        </w:rPr>
        <w:t>At admission 100% of patients had abnormal blood urea and at the end of 1 year 2.5% of patients had abnormal blood urea.</w:t>
      </w:r>
    </w:p>
    <w:p w:rsidR="00065F92" w:rsidRPr="00F374D3" w:rsidRDefault="00065F92" w:rsidP="00F374D3">
      <w:pPr>
        <w:pStyle w:val="ListParagraph"/>
        <w:numPr>
          <w:ilvl w:val="0"/>
          <w:numId w:val="16"/>
        </w:numPr>
        <w:spacing w:after="0" w:line="360" w:lineRule="auto"/>
        <w:ind w:left="720"/>
        <w:jc w:val="both"/>
        <w:rPr>
          <w:sz w:val="20"/>
          <w:szCs w:val="20"/>
        </w:rPr>
      </w:pPr>
      <w:r w:rsidRPr="00F374D3">
        <w:rPr>
          <w:sz w:val="20"/>
          <w:szCs w:val="20"/>
        </w:rPr>
        <w:t xml:space="preserve">Improvement of blood urea to normal level during follow-up period was significant till 6months (which is evident by P values 0.000 and 0.046 &lt; 0.05 from </w:t>
      </w:r>
      <w:proofErr w:type="spellStart"/>
      <w:r w:rsidRPr="00F374D3">
        <w:rPr>
          <w:sz w:val="20"/>
          <w:szCs w:val="20"/>
        </w:rPr>
        <w:t>McNemer</w:t>
      </w:r>
      <w:proofErr w:type="spellEnd"/>
      <w:r w:rsidRPr="00F374D3">
        <w:rPr>
          <w:sz w:val="20"/>
          <w:szCs w:val="20"/>
        </w:rPr>
        <w:t xml:space="preserve"> test) and after 6months it is statistically insignificant (which is evident by P value 1.000 &gt; 0.05 from </w:t>
      </w:r>
      <w:proofErr w:type="spellStart"/>
      <w:r w:rsidRPr="00F374D3">
        <w:rPr>
          <w:sz w:val="20"/>
          <w:szCs w:val="20"/>
        </w:rPr>
        <w:t>McNemer</w:t>
      </w:r>
      <w:proofErr w:type="spellEnd"/>
      <w:r w:rsidRPr="00F374D3">
        <w:rPr>
          <w:sz w:val="20"/>
          <w:szCs w:val="20"/>
        </w:rPr>
        <w:t xml:space="preserve"> test)</w:t>
      </w:r>
    </w:p>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b/>
          <w:sz w:val="20"/>
          <w:szCs w:val="20"/>
        </w:rPr>
      </w:pPr>
      <w:proofErr w:type="gramStart"/>
      <w:r w:rsidRPr="00F374D3">
        <w:rPr>
          <w:rFonts w:ascii="Times New Roman" w:hAnsi="Times New Roman" w:cs="Times New Roman"/>
          <w:b/>
          <w:sz w:val="20"/>
          <w:szCs w:val="20"/>
        </w:rPr>
        <w:lastRenderedPageBreak/>
        <w:t xml:space="preserve">TABLE 13: Showing study population with normal and abnormal </w:t>
      </w:r>
      <w:proofErr w:type="spellStart"/>
      <w:r w:rsidRPr="00F374D3">
        <w:rPr>
          <w:rFonts w:ascii="Times New Roman" w:hAnsi="Times New Roman" w:cs="Times New Roman"/>
          <w:b/>
          <w:sz w:val="20"/>
          <w:szCs w:val="20"/>
        </w:rPr>
        <w:t>S.electrolytes</w:t>
      </w:r>
      <w:proofErr w:type="spellEnd"/>
      <w:r w:rsidRPr="00F374D3">
        <w:rPr>
          <w:rFonts w:ascii="Times New Roman" w:hAnsi="Times New Roman" w:cs="Times New Roman"/>
          <w:b/>
          <w:sz w:val="20"/>
          <w:szCs w:val="20"/>
        </w:rPr>
        <w:t xml:space="preserve"> during study period.</w:t>
      </w:r>
      <w:proofErr w:type="gramEnd"/>
    </w:p>
    <w:tbl>
      <w:tblPr>
        <w:tblW w:w="0" w:type="auto"/>
        <w:jc w:val="center"/>
        <w:tblInd w:w="18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93" w:type="dxa"/>
          <w:right w:w="93" w:type="dxa"/>
        </w:tblCellMar>
        <w:tblLook w:val="0000" w:firstRow="0" w:lastRow="0" w:firstColumn="0" w:lastColumn="0" w:noHBand="0" w:noVBand="0"/>
      </w:tblPr>
      <w:tblGrid>
        <w:gridCol w:w="2344"/>
        <w:gridCol w:w="1057"/>
        <w:gridCol w:w="919"/>
        <w:gridCol w:w="1193"/>
        <w:gridCol w:w="919"/>
        <w:gridCol w:w="1285"/>
        <w:gridCol w:w="736"/>
      </w:tblGrid>
      <w:tr w:rsidR="00065F92" w:rsidRPr="00F374D3" w:rsidTr="00065F92">
        <w:trPr>
          <w:trHeight w:val="393"/>
          <w:jc w:val="center"/>
        </w:trPr>
        <w:tc>
          <w:tcPr>
            <w:tcW w:w="2344" w:type="dxa"/>
            <w:shd w:val="clear" w:color="000000" w:fill="FFFFFF"/>
            <w:vAlign w:val="center"/>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Parameter</w:t>
            </w:r>
          </w:p>
        </w:tc>
        <w:tc>
          <w:tcPr>
            <w:tcW w:w="1976" w:type="dxa"/>
            <w:gridSpan w:val="2"/>
            <w:shd w:val="clear" w:color="000000" w:fill="FFFFFF"/>
            <w:vAlign w:val="center"/>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Normal</w:t>
            </w:r>
          </w:p>
        </w:tc>
        <w:tc>
          <w:tcPr>
            <w:tcW w:w="2112" w:type="dxa"/>
            <w:gridSpan w:val="2"/>
            <w:shd w:val="clear" w:color="000000" w:fill="FFFFFF"/>
            <w:vAlign w:val="center"/>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Abnormal</w:t>
            </w:r>
          </w:p>
        </w:tc>
        <w:tc>
          <w:tcPr>
            <w:tcW w:w="2021" w:type="dxa"/>
            <w:gridSpan w:val="2"/>
            <w:shd w:val="clear" w:color="000000" w:fill="FFFFFF"/>
            <w:vAlign w:val="center"/>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Total</w:t>
            </w:r>
          </w:p>
        </w:tc>
      </w:tr>
      <w:tr w:rsidR="00065F92" w:rsidRPr="00F374D3" w:rsidTr="00065F92">
        <w:trPr>
          <w:trHeight w:val="888"/>
          <w:jc w:val="center"/>
        </w:trPr>
        <w:tc>
          <w:tcPr>
            <w:tcW w:w="2344" w:type="dxa"/>
            <w:shd w:val="clear" w:color="000000" w:fill="FFFFFF"/>
            <w:vAlign w:val="center"/>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Serum Electrolytes</w:t>
            </w:r>
          </w:p>
        </w:tc>
        <w:tc>
          <w:tcPr>
            <w:tcW w:w="1057" w:type="dxa"/>
            <w:shd w:val="clear" w:color="000000" w:fill="FFFFFF"/>
            <w:vAlign w:val="center"/>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No. Of Patients</w:t>
            </w:r>
          </w:p>
        </w:tc>
        <w:tc>
          <w:tcPr>
            <w:tcW w:w="919" w:type="dxa"/>
            <w:shd w:val="clear" w:color="000000" w:fill="FFFFFF"/>
            <w:vAlign w:val="center"/>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w:t>
            </w:r>
          </w:p>
        </w:tc>
        <w:tc>
          <w:tcPr>
            <w:tcW w:w="1193" w:type="dxa"/>
            <w:shd w:val="clear" w:color="000000" w:fill="FFFFFF"/>
            <w:vAlign w:val="center"/>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No. Of Patients</w:t>
            </w:r>
          </w:p>
        </w:tc>
        <w:tc>
          <w:tcPr>
            <w:tcW w:w="919" w:type="dxa"/>
            <w:shd w:val="clear" w:color="000000" w:fill="FFFFFF"/>
            <w:vAlign w:val="center"/>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w:t>
            </w:r>
          </w:p>
        </w:tc>
        <w:tc>
          <w:tcPr>
            <w:tcW w:w="1285" w:type="dxa"/>
            <w:shd w:val="clear" w:color="000000" w:fill="FFFFFF"/>
            <w:vAlign w:val="center"/>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No. Of Patients</w:t>
            </w:r>
          </w:p>
        </w:tc>
        <w:tc>
          <w:tcPr>
            <w:tcW w:w="736" w:type="dxa"/>
            <w:shd w:val="clear" w:color="000000" w:fill="FFFFFF"/>
            <w:vAlign w:val="center"/>
          </w:tcPr>
          <w:p w:rsidR="00065F92" w:rsidRPr="00F374D3" w:rsidRDefault="00065F92" w:rsidP="00F374D3">
            <w:pPr>
              <w:autoSpaceDE w:val="0"/>
              <w:autoSpaceDN w:val="0"/>
              <w:adjustRightInd w:val="0"/>
              <w:spacing w:after="0" w:line="360" w:lineRule="auto"/>
              <w:jc w:val="both"/>
              <w:rPr>
                <w:rFonts w:ascii="Times New Roman" w:hAnsi="Times New Roman" w:cs="Times New Roman"/>
                <w:b/>
                <w:color w:val="000000"/>
                <w:sz w:val="20"/>
                <w:szCs w:val="20"/>
              </w:rPr>
            </w:pPr>
            <w:r w:rsidRPr="00F374D3">
              <w:rPr>
                <w:rFonts w:ascii="Times New Roman" w:hAnsi="Times New Roman" w:cs="Times New Roman"/>
                <w:b/>
                <w:color w:val="000000"/>
                <w:sz w:val="20"/>
                <w:szCs w:val="20"/>
              </w:rPr>
              <w:t>%</w:t>
            </w:r>
          </w:p>
        </w:tc>
      </w:tr>
      <w:tr w:rsidR="00065F92" w:rsidRPr="00F374D3" w:rsidTr="00065F92">
        <w:trPr>
          <w:trHeight w:val="50"/>
          <w:jc w:val="center"/>
        </w:trPr>
        <w:tc>
          <w:tcPr>
            <w:tcW w:w="2344" w:type="dxa"/>
            <w:shd w:val="clear" w:color="000000" w:fill="FFFFFF"/>
          </w:tcPr>
          <w:p w:rsidR="00065F92" w:rsidRPr="00F374D3" w:rsidRDefault="00065F92" w:rsidP="00F374D3">
            <w:pPr>
              <w:autoSpaceDE w:val="0"/>
              <w:autoSpaceDN w:val="0"/>
              <w:adjustRightInd w:val="0"/>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At Admission</w:t>
            </w:r>
          </w:p>
        </w:tc>
        <w:tc>
          <w:tcPr>
            <w:tcW w:w="1057"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11</w:t>
            </w:r>
          </w:p>
        </w:tc>
        <w:tc>
          <w:tcPr>
            <w:tcW w:w="919"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13.75</w:t>
            </w:r>
          </w:p>
        </w:tc>
        <w:tc>
          <w:tcPr>
            <w:tcW w:w="1193"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69</w:t>
            </w:r>
          </w:p>
        </w:tc>
        <w:tc>
          <w:tcPr>
            <w:tcW w:w="919"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86.25</w:t>
            </w:r>
          </w:p>
        </w:tc>
        <w:tc>
          <w:tcPr>
            <w:tcW w:w="1285"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80</w:t>
            </w:r>
          </w:p>
        </w:tc>
        <w:tc>
          <w:tcPr>
            <w:tcW w:w="736"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100</w:t>
            </w:r>
          </w:p>
        </w:tc>
      </w:tr>
      <w:tr w:rsidR="00065F92" w:rsidRPr="00F374D3" w:rsidTr="00065F92">
        <w:trPr>
          <w:trHeight w:val="80"/>
          <w:jc w:val="center"/>
        </w:trPr>
        <w:tc>
          <w:tcPr>
            <w:tcW w:w="2344" w:type="dxa"/>
            <w:shd w:val="clear" w:color="000000" w:fill="FFFFFF"/>
          </w:tcPr>
          <w:p w:rsidR="00065F92" w:rsidRPr="00F374D3" w:rsidRDefault="00065F92" w:rsidP="00F374D3">
            <w:pPr>
              <w:autoSpaceDE w:val="0"/>
              <w:autoSpaceDN w:val="0"/>
              <w:adjustRightInd w:val="0"/>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At Discharge</w:t>
            </w:r>
          </w:p>
        </w:tc>
        <w:tc>
          <w:tcPr>
            <w:tcW w:w="1057"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11</w:t>
            </w:r>
          </w:p>
        </w:tc>
        <w:tc>
          <w:tcPr>
            <w:tcW w:w="919"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13.75</w:t>
            </w:r>
          </w:p>
        </w:tc>
        <w:tc>
          <w:tcPr>
            <w:tcW w:w="1193"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69</w:t>
            </w:r>
          </w:p>
        </w:tc>
        <w:tc>
          <w:tcPr>
            <w:tcW w:w="919"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86.25</w:t>
            </w:r>
          </w:p>
        </w:tc>
        <w:tc>
          <w:tcPr>
            <w:tcW w:w="1285"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80</w:t>
            </w:r>
          </w:p>
        </w:tc>
        <w:tc>
          <w:tcPr>
            <w:tcW w:w="736"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100</w:t>
            </w:r>
          </w:p>
        </w:tc>
      </w:tr>
      <w:tr w:rsidR="00065F92" w:rsidRPr="00F374D3" w:rsidTr="00065F92">
        <w:trPr>
          <w:trHeight w:val="80"/>
          <w:jc w:val="center"/>
        </w:trPr>
        <w:tc>
          <w:tcPr>
            <w:tcW w:w="2344" w:type="dxa"/>
            <w:shd w:val="clear" w:color="000000" w:fill="FFFFFF"/>
          </w:tcPr>
          <w:p w:rsidR="00065F92" w:rsidRPr="00F374D3" w:rsidRDefault="00065F92" w:rsidP="00F374D3">
            <w:pPr>
              <w:autoSpaceDE w:val="0"/>
              <w:autoSpaceDN w:val="0"/>
              <w:adjustRightInd w:val="0"/>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At 3 Month</w:t>
            </w:r>
          </w:p>
        </w:tc>
        <w:tc>
          <w:tcPr>
            <w:tcW w:w="1057"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78</w:t>
            </w:r>
          </w:p>
        </w:tc>
        <w:tc>
          <w:tcPr>
            <w:tcW w:w="919"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97.5</w:t>
            </w:r>
          </w:p>
        </w:tc>
        <w:tc>
          <w:tcPr>
            <w:tcW w:w="1193"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2</w:t>
            </w:r>
          </w:p>
        </w:tc>
        <w:tc>
          <w:tcPr>
            <w:tcW w:w="919"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2.5</w:t>
            </w:r>
          </w:p>
        </w:tc>
        <w:tc>
          <w:tcPr>
            <w:tcW w:w="1285"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80</w:t>
            </w:r>
          </w:p>
        </w:tc>
        <w:tc>
          <w:tcPr>
            <w:tcW w:w="736"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100</w:t>
            </w:r>
          </w:p>
        </w:tc>
      </w:tr>
      <w:tr w:rsidR="00065F92" w:rsidRPr="00F374D3" w:rsidTr="00065F92">
        <w:trPr>
          <w:trHeight w:val="80"/>
          <w:jc w:val="center"/>
        </w:trPr>
        <w:tc>
          <w:tcPr>
            <w:tcW w:w="2344" w:type="dxa"/>
            <w:shd w:val="clear" w:color="000000" w:fill="FFFFFF"/>
          </w:tcPr>
          <w:p w:rsidR="00065F92" w:rsidRPr="00F374D3" w:rsidRDefault="00065F92" w:rsidP="00F374D3">
            <w:pPr>
              <w:autoSpaceDE w:val="0"/>
              <w:autoSpaceDN w:val="0"/>
              <w:adjustRightInd w:val="0"/>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At 6 Months</w:t>
            </w:r>
          </w:p>
        </w:tc>
        <w:tc>
          <w:tcPr>
            <w:tcW w:w="1057"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79</w:t>
            </w:r>
          </w:p>
        </w:tc>
        <w:tc>
          <w:tcPr>
            <w:tcW w:w="919"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98.75</w:t>
            </w:r>
          </w:p>
        </w:tc>
        <w:tc>
          <w:tcPr>
            <w:tcW w:w="1193"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w:t>
            </w:r>
          </w:p>
        </w:tc>
        <w:tc>
          <w:tcPr>
            <w:tcW w:w="919"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1.25</w:t>
            </w:r>
          </w:p>
        </w:tc>
        <w:tc>
          <w:tcPr>
            <w:tcW w:w="1285"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80</w:t>
            </w:r>
          </w:p>
        </w:tc>
        <w:tc>
          <w:tcPr>
            <w:tcW w:w="736"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100</w:t>
            </w:r>
          </w:p>
        </w:tc>
      </w:tr>
      <w:tr w:rsidR="00065F92" w:rsidRPr="00F374D3" w:rsidTr="00065F92">
        <w:trPr>
          <w:trHeight w:val="80"/>
          <w:jc w:val="center"/>
        </w:trPr>
        <w:tc>
          <w:tcPr>
            <w:tcW w:w="2344" w:type="dxa"/>
            <w:shd w:val="clear" w:color="000000" w:fill="FFFFFF"/>
          </w:tcPr>
          <w:p w:rsidR="00065F92" w:rsidRPr="00F374D3" w:rsidRDefault="00065F92" w:rsidP="00F374D3">
            <w:pPr>
              <w:autoSpaceDE w:val="0"/>
              <w:autoSpaceDN w:val="0"/>
              <w:adjustRightInd w:val="0"/>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At 1year</w:t>
            </w:r>
          </w:p>
        </w:tc>
        <w:tc>
          <w:tcPr>
            <w:tcW w:w="1057"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78</w:t>
            </w:r>
          </w:p>
        </w:tc>
        <w:tc>
          <w:tcPr>
            <w:tcW w:w="919"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97.5</w:t>
            </w:r>
          </w:p>
        </w:tc>
        <w:tc>
          <w:tcPr>
            <w:tcW w:w="1193"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2</w:t>
            </w:r>
          </w:p>
        </w:tc>
        <w:tc>
          <w:tcPr>
            <w:tcW w:w="919"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2.5</w:t>
            </w:r>
          </w:p>
        </w:tc>
        <w:tc>
          <w:tcPr>
            <w:tcW w:w="1285"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80</w:t>
            </w:r>
          </w:p>
        </w:tc>
        <w:tc>
          <w:tcPr>
            <w:tcW w:w="736" w:type="dxa"/>
            <w:shd w:val="clear" w:color="000000" w:fill="FFFFFF"/>
            <w:vAlign w:val="bottom"/>
          </w:tcPr>
          <w:p w:rsidR="00065F92" w:rsidRPr="00F374D3" w:rsidRDefault="00065F92" w:rsidP="00F374D3">
            <w:pPr>
              <w:spacing w:after="0" w:line="360" w:lineRule="auto"/>
              <w:jc w:val="both"/>
              <w:rPr>
                <w:rFonts w:ascii="Times New Roman" w:hAnsi="Times New Roman" w:cs="Times New Roman"/>
                <w:color w:val="000000"/>
                <w:sz w:val="20"/>
                <w:szCs w:val="20"/>
              </w:rPr>
            </w:pPr>
            <w:r w:rsidRPr="00F374D3">
              <w:rPr>
                <w:rFonts w:ascii="Times New Roman" w:hAnsi="Times New Roman" w:cs="Times New Roman"/>
                <w:color w:val="000000"/>
                <w:sz w:val="20"/>
                <w:szCs w:val="20"/>
              </w:rPr>
              <w:t>100</w:t>
            </w:r>
          </w:p>
        </w:tc>
      </w:tr>
    </w:tbl>
    <w:p w:rsidR="00065F92" w:rsidRPr="00F374D3" w:rsidRDefault="00065F92" w:rsidP="00F374D3">
      <w:pPr>
        <w:spacing w:after="0" w:line="360" w:lineRule="auto"/>
        <w:jc w:val="both"/>
        <w:rPr>
          <w:rFonts w:ascii="Times New Roman" w:hAnsi="Times New Roman" w:cs="Times New Roman"/>
          <w:b/>
          <w:sz w:val="20"/>
          <w:szCs w:val="20"/>
        </w:rPr>
      </w:pPr>
    </w:p>
    <w:p w:rsidR="00065F92" w:rsidRPr="00F374D3" w:rsidRDefault="00065F92" w:rsidP="00F374D3">
      <w:pPr>
        <w:spacing w:after="0" w:line="360" w:lineRule="auto"/>
        <w:jc w:val="both"/>
        <w:rPr>
          <w:rFonts w:ascii="Times New Roman" w:hAnsi="Times New Roman" w:cs="Times New Roman"/>
          <w:b/>
          <w:sz w:val="20"/>
          <w:szCs w:val="20"/>
        </w:rPr>
      </w:pPr>
      <w:r w:rsidRPr="00F374D3">
        <w:rPr>
          <w:rFonts w:ascii="Times New Roman" w:hAnsi="Times New Roman" w:cs="Times New Roman"/>
          <w:b/>
          <w:sz w:val="20"/>
          <w:szCs w:val="20"/>
        </w:rPr>
        <w:t xml:space="preserve">TABLE 14: Showing </w:t>
      </w:r>
      <w:proofErr w:type="spellStart"/>
      <w:r w:rsidRPr="00F374D3">
        <w:rPr>
          <w:rFonts w:ascii="Times New Roman" w:hAnsi="Times New Roman" w:cs="Times New Roman"/>
          <w:b/>
          <w:sz w:val="20"/>
          <w:szCs w:val="20"/>
        </w:rPr>
        <w:t>McNemer</w:t>
      </w:r>
      <w:proofErr w:type="spellEnd"/>
      <w:r w:rsidRPr="00F374D3">
        <w:rPr>
          <w:rFonts w:ascii="Times New Roman" w:hAnsi="Times New Roman" w:cs="Times New Roman"/>
          <w:b/>
          <w:sz w:val="20"/>
          <w:szCs w:val="20"/>
        </w:rPr>
        <w:t xml:space="preserve"> test analysis in study population during study period.</w:t>
      </w:r>
      <w:r w:rsidRPr="00F374D3">
        <w:rPr>
          <w:rFonts w:ascii="Times New Roman" w:hAnsi="Times New Roman"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3"/>
        <w:gridCol w:w="2647"/>
        <w:gridCol w:w="2016"/>
      </w:tblGrid>
      <w:tr w:rsidR="00065F92" w:rsidRPr="00F374D3" w:rsidTr="00065F92">
        <w:trPr>
          <w:trHeight w:val="70"/>
        </w:trPr>
        <w:tc>
          <w:tcPr>
            <w:tcW w:w="4003" w:type="dxa"/>
            <w:shd w:val="clear" w:color="auto" w:fill="auto"/>
          </w:tcPr>
          <w:p w:rsidR="00065F92" w:rsidRPr="00F374D3" w:rsidRDefault="00065F92" w:rsidP="00F374D3">
            <w:pPr>
              <w:spacing w:after="0" w:line="360" w:lineRule="auto"/>
              <w:jc w:val="both"/>
              <w:rPr>
                <w:rFonts w:ascii="Times New Roman" w:hAnsi="Times New Roman" w:cs="Times New Roman"/>
                <w:b/>
                <w:sz w:val="20"/>
                <w:szCs w:val="20"/>
              </w:rPr>
            </w:pPr>
            <w:r w:rsidRPr="00F374D3">
              <w:rPr>
                <w:rFonts w:ascii="Times New Roman" w:hAnsi="Times New Roman" w:cs="Times New Roman"/>
                <w:b/>
                <w:sz w:val="20"/>
                <w:szCs w:val="20"/>
              </w:rPr>
              <w:t>Parameter (Serum Electrolytes)</w:t>
            </w:r>
          </w:p>
        </w:tc>
        <w:tc>
          <w:tcPr>
            <w:tcW w:w="2647" w:type="dxa"/>
            <w:shd w:val="clear" w:color="auto" w:fill="auto"/>
          </w:tcPr>
          <w:p w:rsidR="00065F92" w:rsidRPr="00F374D3" w:rsidRDefault="00065F92" w:rsidP="00F374D3">
            <w:pPr>
              <w:spacing w:after="0" w:line="360" w:lineRule="auto"/>
              <w:jc w:val="both"/>
              <w:rPr>
                <w:rFonts w:ascii="Times New Roman" w:hAnsi="Times New Roman" w:cs="Times New Roman"/>
                <w:b/>
                <w:sz w:val="20"/>
                <w:szCs w:val="20"/>
              </w:rPr>
            </w:pPr>
            <w:proofErr w:type="spellStart"/>
            <w:r w:rsidRPr="00F374D3">
              <w:rPr>
                <w:rFonts w:ascii="Times New Roman" w:hAnsi="Times New Roman" w:cs="Times New Roman"/>
                <w:b/>
                <w:sz w:val="20"/>
                <w:szCs w:val="20"/>
              </w:rPr>
              <w:t>McNemer</w:t>
            </w:r>
            <w:proofErr w:type="spellEnd"/>
            <w:r w:rsidRPr="00F374D3">
              <w:rPr>
                <w:rFonts w:ascii="Times New Roman" w:hAnsi="Times New Roman" w:cs="Times New Roman"/>
                <w:b/>
                <w:sz w:val="20"/>
                <w:szCs w:val="20"/>
              </w:rPr>
              <w:t xml:space="preserve"> Test P Value</w:t>
            </w:r>
          </w:p>
        </w:tc>
        <w:tc>
          <w:tcPr>
            <w:tcW w:w="2016" w:type="dxa"/>
            <w:shd w:val="clear" w:color="auto" w:fill="auto"/>
          </w:tcPr>
          <w:p w:rsidR="00065F92" w:rsidRPr="00F374D3" w:rsidRDefault="00065F92" w:rsidP="00F374D3">
            <w:pPr>
              <w:spacing w:after="0" w:line="360" w:lineRule="auto"/>
              <w:jc w:val="both"/>
              <w:rPr>
                <w:rFonts w:ascii="Times New Roman" w:hAnsi="Times New Roman" w:cs="Times New Roman"/>
                <w:b/>
                <w:sz w:val="20"/>
                <w:szCs w:val="20"/>
              </w:rPr>
            </w:pPr>
            <w:r w:rsidRPr="00F374D3">
              <w:rPr>
                <w:rFonts w:ascii="Times New Roman" w:hAnsi="Times New Roman" w:cs="Times New Roman"/>
                <w:b/>
                <w:sz w:val="20"/>
                <w:szCs w:val="20"/>
              </w:rPr>
              <w:t>Significance</w:t>
            </w:r>
          </w:p>
        </w:tc>
      </w:tr>
      <w:tr w:rsidR="00065F92" w:rsidRPr="00F374D3" w:rsidTr="00065F92">
        <w:trPr>
          <w:trHeight w:val="70"/>
        </w:trPr>
        <w:tc>
          <w:tcPr>
            <w:tcW w:w="4003"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At Discharge – At Admission</w:t>
            </w:r>
          </w:p>
        </w:tc>
        <w:tc>
          <w:tcPr>
            <w:tcW w:w="2647"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1.000</w:t>
            </w:r>
          </w:p>
        </w:tc>
        <w:tc>
          <w:tcPr>
            <w:tcW w:w="2016"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Ns</w:t>
            </w:r>
          </w:p>
        </w:tc>
      </w:tr>
      <w:tr w:rsidR="00065F92" w:rsidRPr="00F374D3" w:rsidTr="00065F92">
        <w:trPr>
          <w:trHeight w:val="70"/>
        </w:trPr>
        <w:tc>
          <w:tcPr>
            <w:tcW w:w="4003"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At 3months – At Admission</w:t>
            </w:r>
          </w:p>
        </w:tc>
        <w:tc>
          <w:tcPr>
            <w:tcW w:w="2647"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tc>
        <w:tc>
          <w:tcPr>
            <w:tcW w:w="2016"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r w:rsidR="00065F92" w:rsidRPr="00F374D3" w:rsidTr="00065F92">
        <w:trPr>
          <w:trHeight w:val="70"/>
        </w:trPr>
        <w:tc>
          <w:tcPr>
            <w:tcW w:w="4003"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At 6 Months – At Admission</w:t>
            </w:r>
          </w:p>
        </w:tc>
        <w:tc>
          <w:tcPr>
            <w:tcW w:w="2647"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0.004</w:t>
            </w:r>
          </w:p>
        </w:tc>
        <w:tc>
          <w:tcPr>
            <w:tcW w:w="2016"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r w:rsidR="00065F92" w:rsidRPr="00F374D3" w:rsidTr="00065F92">
        <w:trPr>
          <w:trHeight w:val="70"/>
        </w:trPr>
        <w:tc>
          <w:tcPr>
            <w:tcW w:w="4003"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At 1 Year – At Admission</w:t>
            </w:r>
          </w:p>
        </w:tc>
        <w:tc>
          <w:tcPr>
            <w:tcW w:w="2647"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tc>
        <w:tc>
          <w:tcPr>
            <w:tcW w:w="2016"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r w:rsidR="00065F92" w:rsidRPr="00F374D3" w:rsidTr="00065F92">
        <w:trPr>
          <w:trHeight w:val="70"/>
        </w:trPr>
        <w:tc>
          <w:tcPr>
            <w:tcW w:w="4003"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At 3 Months – At Discharge</w:t>
            </w:r>
          </w:p>
        </w:tc>
        <w:tc>
          <w:tcPr>
            <w:tcW w:w="2647"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tc>
        <w:tc>
          <w:tcPr>
            <w:tcW w:w="2016"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r w:rsidR="00065F92" w:rsidRPr="00F374D3" w:rsidTr="00065F92">
        <w:trPr>
          <w:trHeight w:val="70"/>
        </w:trPr>
        <w:tc>
          <w:tcPr>
            <w:tcW w:w="4003"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At 6 Months – At Discharge</w:t>
            </w:r>
          </w:p>
        </w:tc>
        <w:tc>
          <w:tcPr>
            <w:tcW w:w="2647"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0.004</w:t>
            </w:r>
          </w:p>
        </w:tc>
        <w:tc>
          <w:tcPr>
            <w:tcW w:w="2016"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r w:rsidR="00065F92" w:rsidRPr="00F374D3" w:rsidTr="00065F92">
        <w:trPr>
          <w:trHeight w:val="70"/>
        </w:trPr>
        <w:tc>
          <w:tcPr>
            <w:tcW w:w="4003"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At 1 Year – At Discharge</w:t>
            </w:r>
          </w:p>
        </w:tc>
        <w:tc>
          <w:tcPr>
            <w:tcW w:w="2647"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tc>
        <w:tc>
          <w:tcPr>
            <w:tcW w:w="2016"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r w:rsidR="00065F92" w:rsidRPr="00F374D3" w:rsidTr="00065F92">
        <w:trPr>
          <w:trHeight w:val="70"/>
        </w:trPr>
        <w:tc>
          <w:tcPr>
            <w:tcW w:w="4003"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At 6 Months – At 3months</w:t>
            </w:r>
          </w:p>
        </w:tc>
        <w:tc>
          <w:tcPr>
            <w:tcW w:w="2647"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tc>
        <w:tc>
          <w:tcPr>
            <w:tcW w:w="2016"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r w:rsidR="00065F92" w:rsidRPr="00F374D3" w:rsidTr="00065F92">
        <w:trPr>
          <w:trHeight w:val="70"/>
        </w:trPr>
        <w:tc>
          <w:tcPr>
            <w:tcW w:w="4003"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At 1 Year – At 3months</w:t>
            </w:r>
          </w:p>
        </w:tc>
        <w:tc>
          <w:tcPr>
            <w:tcW w:w="2647"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1.000</w:t>
            </w:r>
          </w:p>
        </w:tc>
        <w:tc>
          <w:tcPr>
            <w:tcW w:w="2016"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Ns</w:t>
            </w:r>
          </w:p>
        </w:tc>
      </w:tr>
      <w:tr w:rsidR="00065F92" w:rsidRPr="00F374D3" w:rsidTr="00065F92">
        <w:trPr>
          <w:trHeight w:val="70"/>
        </w:trPr>
        <w:tc>
          <w:tcPr>
            <w:tcW w:w="4003"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At 1 Year – At 6 Months</w:t>
            </w:r>
          </w:p>
        </w:tc>
        <w:tc>
          <w:tcPr>
            <w:tcW w:w="2647"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0.000</w:t>
            </w:r>
          </w:p>
        </w:tc>
        <w:tc>
          <w:tcPr>
            <w:tcW w:w="2016" w:type="dxa"/>
            <w:shd w:val="clear" w:color="auto" w:fill="auto"/>
          </w:tcPr>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Hs</w:t>
            </w:r>
          </w:p>
        </w:tc>
      </w:tr>
    </w:tbl>
    <w:p w:rsidR="00065F92" w:rsidRPr="00F374D3" w:rsidRDefault="00065F92" w:rsidP="00F374D3">
      <w:pPr>
        <w:spacing w:after="0" w:line="360" w:lineRule="auto"/>
        <w:jc w:val="both"/>
        <w:rPr>
          <w:rFonts w:ascii="Times New Roman" w:hAnsi="Times New Roman" w:cs="Times New Roman"/>
          <w:sz w:val="20"/>
          <w:szCs w:val="20"/>
        </w:rPr>
      </w:pPr>
    </w:p>
    <w:p w:rsidR="00065F92" w:rsidRPr="00F374D3" w:rsidRDefault="00065F92"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 xml:space="preserve">From the </w:t>
      </w:r>
      <w:r w:rsidR="001B0AE5" w:rsidRPr="00F374D3">
        <w:rPr>
          <w:rFonts w:ascii="Times New Roman" w:hAnsi="Times New Roman" w:cs="Times New Roman"/>
          <w:sz w:val="20"/>
          <w:szCs w:val="20"/>
        </w:rPr>
        <w:t xml:space="preserve">above table 13, 14 and figure 9 </w:t>
      </w:r>
      <w:r w:rsidRPr="00F374D3">
        <w:rPr>
          <w:rFonts w:ascii="Times New Roman" w:hAnsi="Times New Roman" w:cs="Times New Roman"/>
          <w:sz w:val="20"/>
          <w:szCs w:val="20"/>
        </w:rPr>
        <w:t xml:space="preserve">it is evident that </w:t>
      </w:r>
    </w:p>
    <w:p w:rsidR="00065F92" w:rsidRPr="00F374D3" w:rsidRDefault="00065F92" w:rsidP="00F374D3">
      <w:pPr>
        <w:pStyle w:val="ListParagraph"/>
        <w:numPr>
          <w:ilvl w:val="0"/>
          <w:numId w:val="23"/>
        </w:numPr>
        <w:spacing w:after="0" w:line="360" w:lineRule="auto"/>
        <w:jc w:val="both"/>
        <w:rPr>
          <w:sz w:val="20"/>
          <w:szCs w:val="20"/>
        </w:rPr>
      </w:pPr>
      <w:r w:rsidRPr="00F374D3">
        <w:rPr>
          <w:sz w:val="20"/>
          <w:szCs w:val="20"/>
        </w:rPr>
        <w:t>About 86.25% of study population had abnormal serum electrolytes at the time of admission and 2.5% abnormal at the end of study period (1year).</w:t>
      </w:r>
    </w:p>
    <w:p w:rsidR="00065F92" w:rsidRPr="00F374D3" w:rsidRDefault="00065F92" w:rsidP="00F374D3">
      <w:pPr>
        <w:pStyle w:val="ListParagraph"/>
        <w:numPr>
          <w:ilvl w:val="0"/>
          <w:numId w:val="23"/>
        </w:numPr>
        <w:spacing w:after="0" w:line="360" w:lineRule="auto"/>
        <w:jc w:val="both"/>
        <w:rPr>
          <w:sz w:val="20"/>
          <w:szCs w:val="20"/>
        </w:rPr>
      </w:pPr>
      <w:r w:rsidRPr="00F374D3">
        <w:rPr>
          <w:sz w:val="20"/>
          <w:szCs w:val="20"/>
        </w:rPr>
        <w:t xml:space="preserve">Serum electrolytes took about 3 months duration to get normalised which is statistically significant with P value &lt;0.05. </w:t>
      </w:r>
    </w:p>
    <w:p w:rsidR="00065F92" w:rsidRPr="00F374D3" w:rsidRDefault="00065F92" w:rsidP="00F374D3">
      <w:pPr>
        <w:pStyle w:val="ListParagraph"/>
        <w:numPr>
          <w:ilvl w:val="0"/>
          <w:numId w:val="23"/>
        </w:numPr>
        <w:spacing w:after="0" w:line="360" w:lineRule="auto"/>
        <w:jc w:val="both"/>
        <w:rPr>
          <w:sz w:val="20"/>
          <w:szCs w:val="20"/>
        </w:rPr>
      </w:pPr>
      <w:r w:rsidRPr="00F374D3">
        <w:rPr>
          <w:sz w:val="20"/>
          <w:szCs w:val="20"/>
        </w:rPr>
        <w:t>After 3 months there was no significant percentage of patients becoming normal which is statistically insignificant with P value &gt;0.05.</w:t>
      </w:r>
    </w:p>
    <w:p w:rsidR="00065F92" w:rsidRPr="00F374D3" w:rsidRDefault="00065F92" w:rsidP="00F374D3">
      <w:pPr>
        <w:spacing w:after="0" w:line="360" w:lineRule="auto"/>
        <w:jc w:val="both"/>
        <w:rPr>
          <w:rFonts w:ascii="Times New Roman" w:hAnsi="Times New Roman" w:cs="Times New Roman"/>
          <w:sz w:val="20"/>
          <w:szCs w:val="20"/>
        </w:rPr>
      </w:pPr>
    </w:p>
    <w:p w:rsidR="00F54AA8" w:rsidRDefault="005564EA" w:rsidP="00F54AA8">
      <w:pPr>
        <w:spacing w:after="0" w:line="360" w:lineRule="auto"/>
        <w:jc w:val="both"/>
        <w:rPr>
          <w:rFonts w:ascii="Times New Roman" w:hAnsi="Times New Roman" w:cs="Times New Roman"/>
          <w:b/>
          <w:sz w:val="20"/>
          <w:szCs w:val="20"/>
        </w:rPr>
      </w:pPr>
      <w:r w:rsidRPr="00F374D3">
        <w:rPr>
          <w:rFonts w:ascii="Times New Roman" w:hAnsi="Times New Roman" w:cs="Times New Roman"/>
          <w:b/>
          <w:sz w:val="20"/>
          <w:szCs w:val="20"/>
        </w:rPr>
        <w:t>DISCUSSION</w:t>
      </w:r>
      <w:r w:rsidR="00E63DD5" w:rsidRPr="00F374D3">
        <w:rPr>
          <w:rFonts w:ascii="Times New Roman" w:hAnsi="Times New Roman" w:cs="Times New Roman"/>
          <w:b/>
          <w:sz w:val="20"/>
          <w:szCs w:val="20"/>
        </w:rPr>
        <w:t>:</w:t>
      </w:r>
    </w:p>
    <w:p w:rsidR="005564EA" w:rsidRPr="00F54AA8" w:rsidRDefault="005564EA" w:rsidP="00F54AA8">
      <w:pPr>
        <w:spacing w:after="0" w:line="360" w:lineRule="auto"/>
        <w:jc w:val="both"/>
        <w:rPr>
          <w:rFonts w:ascii="Times New Roman" w:hAnsi="Times New Roman" w:cs="Times New Roman"/>
          <w:b/>
          <w:sz w:val="20"/>
          <w:szCs w:val="20"/>
        </w:rPr>
      </w:pPr>
      <w:r w:rsidRPr="00F374D3">
        <w:rPr>
          <w:rFonts w:ascii="Times New Roman" w:hAnsi="Times New Roman" w:cs="Times New Roman"/>
          <w:sz w:val="20"/>
          <w:szCs w:val="20"/>
        </w:rPr>
        <w:t xml:space="preserve">Acute kidney injury (AKI) </w:t>
      </w:r>
      <w:r w:rsidRPr="00F374D3">
        <w:rPr>
          <w:rFonts w:ascii="Times New Roman" w:hAnsi="Times New Roman" w:cs="Times New Roman"/>
          <w:sz w:val="20"/>
          <w:szCs w:val="20"/>
          <w:vertAlign w:val="superscript"/>
        </w:rPr>
        <w:t>[1, 2]</w:t>
      </w:r>
      <w:r w:rsidRPr="00F374D3">
        <w:rPr>
          <w:rFonts w:ascii="Times New Roman" w:hAnsi="Times New Roman" w:cs="Times New Roman"/>
          <w:sz w:val="20"/>
          <w:szCs w:val="20"/>
        </w:rPr>
        <w:t xml:space="preserve"> is defined as an abrupt decline in renal function resulting in the inability to excrete metabolic wastes and maintain proper fluid and electrolyte balance.. This study was done in survivors of AKI who are defined based on definition and classification criteria for AKI given by AKIN and RIFLE systems to know the long term outcome and </w:t>
      </w:r>
      <w:proofErr w:type="spellStart"/>
      <w:r w:rsidRPr="00F374D3">
        <w:rPr>
          <w:rFonts w:ascii="Times New Roman" w:hAnsi="Times New Roman" w:cs="Times New Roman"/>
          <w:sz w:val="20"/>
          <w:szCs w:val="20"/>
        </w:rPr>
        <w:t>sequelae</w:t>
      </w:r>
      <w:proofErr w:type="spellEnd"/>
      <w:r w:rsidRPr="00F374D3">
        <w:rPr>
          <w:rFonts w:ascii="Times New Roman" w:hAnsi="Times New Roman" w:cs="Times New Roman"/>
          <w:sz w:val="20"/>
          <w:szCs w:val="20"/>
        </w:rPr>
        <w:t xml:space="preserve"> of AKI. </w:t>
      </w:r>
      <w:r w:rsidR="00F374D3">
        <w:rPr>
          <w:rFonts w:ascii="Times New Roman" w:hAnsi="Times New Roman" w:cs="Times New Roman"/>
          <w:sz w:val="20"/>
          <w:szCs w:val="20"/>
        </w:rPr>
        <w:t xml:space="preserve"> </w:t>
      </w:r>
      <w:r w:rsidRPr="00F374D3">
        <w:rPr>
          <w:rFonts w:ascii="Times New Roman" w:hAnsi="Times New Roman" w:cs="Times New Roman"/>
          <w:sz w:val="20"/>
          <w:szCs w:val="20"/>
        </w:rPr>
        <w:t xml:space="preserve">The recovery of kidney function following AKI is an important </w:t>
      </w:r>
      <w:r w:rsidRPr="00F374D3">
        <w:rPr>
          <w:rFonts w:ascii="Times New Roman" w:hAnsi="Times New Roman" w:cs="Times New Roman"/>
          <w:sz w:val="20"/>
          <w:szCs w:val="20"/>
        </w:rPr>
        <w:lastRenderedPageBreak/>
        <w:t xml:space="preserve">determinant of morbidity and may have long-term implications for the health and well-being of patients. Accordingly, the long-term follow-up study by </w:t>
      </w:r>
      <w:proofErr w:type="spellStart"/>
      <w:r w:rsidRPr="00F374D3">
        <w:rPr>
          <w:rFonts w:ascii="Times New Roman" w:hAnsi="Times New Roman" w:cs="Times New Roman"/>
          <w:sz w:val="20"/>
          <w:szCs w:val="20"/>
        </w:rPr>
        <w:t>Schiffl</w:t>
      </w:r>
      <w:proofErr w:type="spellEnd"/>
      <w:r w:rsidRPr="00F374D3">
        <w:rPr>
          <w:rFonts w:ascii="Times New Roman" w:hAnsi="Times New Roman" w:cs="Times New Roman"/>
          <w:sz w:val="20"/>
          <w:szCs w:val="20"/>
        </w:rPr>
        <w:t xml:space="preserve"> and Fischer is an important addition to our understanding of the natural history of AKI in critical illness. </w:t>
      </w:r>
      <w:r w:rsidRPr="00F374D3">
        <w:rPr>
          <w:rFonts w:ascii="Times New Roman" w:hAnsi="Times New Roman" w:cs="Times New Roman"/>
          <w:sz w:val="20"/>
          <w:szCs w:val="20"/>
          <w:vertAlign w:val="superscript"/>
        </w:rPr>
        <w:t>[</w:t>
      </w:r>
      <w:r w:rsidR="001B0AE5" w:rsidRPr="00F374D3">
        <w:rPr>
          <w:rFonts w:ascii="Times New Roman" w:hAnsi="Times New Roman" w:cs="Times New Roman"/>
          <w:sz w:val="20"/>
          <w:szCs w:val="20"/>
          <w:vertAlign w:val="superscript"/>
        </w:rPr>
        <w:t>10</w:t>
      </w:r>
      <w:proofErr w:type="gramStart"/>
      <w:r w:rsidR="001B0AE5" w:rsidRPr="00F374D3">
        <w:rPr>
          <w:rFonts w:ascii="Times New Roman" w:hAnsi="Times New Roman" w:cs="Times New Roman"/>
          <w:sz w:val="20"/>
          <w:szCs w:val="20"/>
          <w:vertAlign w:val="superscript"/>
        </w:rPr>
        <w:t>,11</w:t>
      </w:r>
      <w:proofErr w:type="gramEnd"/>
      <w:r w:rsidRPr="00F374D3">
        <w:rPr>
          <w:rFonts w:ascii="Times New Roman" w:hAnsi="Times New Roman" w:cs="Times New Roman"/>
          <w:sz w:val="20"/>
          <w:szCs w:val="20"/>
          <w:vertAlign w:val="superscript"/>
        </w:rPr>
        <w:t xml:space="preserve">] </w:t>
      </w:r>
      <w:r w:rsidRPr="00F374D3">
        <w:rPr>
          <w:rFonts w:ascii="Times New Roman" w:hAnsi="Times New Roman" w:cs="Times New Roman"/>
          <w:sz w:val="20"/>
          <w:szCs w:val="20"/>
        </w:rPr>
        <w:t>They performed a prospective 5-year follow-up study of 425 patients with severe AKI treated with RRT. Notably, no patient had evidence of pre-existing CKD when defined by radiologic signs of CKD, persistent abnormal urinalysis or a decreased estimated glomerular filtration rate (</w:t>
      </w:r>
      <w:proofErr w:type="spellStart"/>
      <w:r w:rsidRPr="00F374D3">
        <w:rPr>
          <w:rFonts w:ascii="Times New Roman" w:hAnsi="Times New Roman" w:cs="Times New Roman"/>
          <w:sz w:val="20"/>
          <w:szCs w:val="20"/>
        </w:rPr>
        <w:t>eGFR</w:t>
      </w:r>
      <w:proofErr w:type="spellEnd"/>
      <w:r w:rsidRPr="00F374D3">
        <w:rPr>
          <w:rFonts w:ascii="Times New Roman" w:hAnsi="Times New Roman" w:cs="Times New Roman"/>
          <w:sz w:val="20"/>
          <w:szCs w:val="20"/>
        </w:rPr>
        <w:t xml:space="preserve">) or elevated serum </w:t>
      </w:r>
      <w:proofErr w:type="spellStart"/>
      <w:r w:rsidRPr="00F374D3">
        <w:rPr>
          <w:rFonts w:ascii="Times New Roman" w:hAnsi="Times New Roman" w:cs="Times New Roman"/>
          <w:sz w:val="20"/>
          <w:szCs w:val="20"/>
        </w:rPr>
        <w:t>creatinine</w:t>
      </w:r>
      <w:proofErr w:type="spellEnd"/>
      <w:r w:rsidRPr="00F374D3">
        <w:rPr>
          <w:rFonts w:ascii="Times New Roman" w:hAnsi="Times New Roman" w:cs="Times New Roman"/>
          <w:sz w:val="20"/>
          <w:szCs w:val="20"/>
        </w:rPr>
        <w:t xml:space="preserve"> [</w:t>
      </w:r>
      <w:r w:rsidRPr="00F374D3">
        <w:rPr>
          <w:rFonts w:ascii="Times New Roman" w:hAnsi="Times New Roman" w:cs="Times New Roman"/>
          <w:i/>
          <w:iCs/>
          <w:sz w:val="20"/>
          <w:szCs w:val="20"/>
        </w:rPr>
        <w:t>&gt;</w:t>
      </w:r>
      <w:r w:rsidRPr="00F374D3">
        <w:rPr>
          <w:rFonts w:ascii="Times New Roman" w:hAnsi="Times New Roman" w:cs="Times New Roman"/>
          <w:sz w:val="20"/>
          <w:szCs w:val="20"/>
        </w:rPr>
        <w:t xml:space="preserve">1.3 mg/dl (115 </w:t>
      </w:r>
      <w:proofErr w:type="spellStart"/>
      <w:r w:rsidRPr="00F374D3">
        <w:rPr>
          <w:rFonts w:ascii="Times New Roman" w:hAnsi="Times New Roman" w:cs="Times New Roman"/>
          <w:sz w:val="20"/>
          <w:szCs w:val="20"/>
        </w:rPr>
        <w:t>μmol</w:t>
      </w:r>
      <w:proofErr w:type="spellEnd"/>
      <w:r w:rsidRPr="00F374D3">
        <w:rPr>
          <w:rFonts w:ascii="Times New Roman" w:hAnsi="Times New Roman" w:cs="Times New Roman"/>
          <w:sz w:val="20"/>
          <w:szCs w:val="20"/>
        </w:rPr>
        <w:t>/L)].</w:t>
      </w:r>
    </w:p>
    <w:p w:rsidR="005564EA" w:rsidRPr="00F374D3" w:rsidRDefault="005564EA" w:rsidP="00F374D3">
      <w:pPr>
        <w:autoSpaceDE w:val="0"/>
        <w:autoSpaceDN w:val="0"/>
        <w:adjustRightInd w:val="0"/>
        <w:spacing w:after="0" w:line="360" w:lineRule="auto"/>
        <w:ind w:firstLine="720"/>
        <w:jc w:val="both"/>
        <w:rPr>
          <w:rFonts w:ascii="Times New Roman" w:hAnsi="Times New Roman" w:cs="Times New Roman"/>
          <w:sz w:val="20"/>
          <w:szCs w:val="20"/>
        </w:rPr>
      </w:pPr>
      <w:r w:rsidRPr="00F374D3">
        <w:rPr>
          <w:rFonts w:ascii="Times New Roman" w:hAnsi="Times New Roman" w:cs="Times New Roman"/>
          <w:sz w:val="20"/>
          <w:szCs w:val="20"/>
        </w:rPr>
        <w:t>At the time of hospital discharge, only 57% had achieved complete recovery, while the remaining 43% had partial recovery and no patient was receiving chronic dialysis. This study also showed that at end of 1 year, 26% of survivors had evidence of CKD (stages 2–5) and at 5 years, the prevalence of CKD in survivors was only 14%, yet, the apparent improvement with time was largely attributable to deaths for those who had partial recovery. This study had also shown that if patients failed to normalize function by 6–12 months after their episode of AKI, no further recovery occurred. Remarkably, only 2% of survivors progressed to ESRD and required re-initiation of dialysis.</w:t>
      </w:r>
    </w:p>
    <w:p w:rsidR="005564EA" w:rsidRPr="00F374D3" w:rsidRDefault="005564EA" w:rsidP="00F54AA8">
      <w:pPr>
        <w:spacing w:after="0" w:line="360" w:lineRule="auto"/>
        <w:ind w:firstLine="720"/>
        <w:jc w:val="both"/>
        <w:rPr>
          <w:rFonts w:ascii="Times New Roman" w:hAnsi="Times New Roman" w:cs="Times New Roman"/>
          <w:sz w:val="20"/>
          <w:szCs w:val="20"/>
        </w:rPr>
      </w:pPr>
      <w:r w:rsidRPr="00F374D3">
        <w:rPr>
          <w:rFonts w:ascii="Times New Roman" w:hAnsi="Times New Roman" w:cs="Times New Roman"/>
          <w:sz w:val="20"/>
          <w:szCs w:val="20"/>
        </w:rPr>
        <w:t xml:space="preserve">Based on the long-term follow-up study in AKI patients done by </w:t>
      </w:r>
      <w:proofErr w:type="spellStart"/>
      <w:r w:rsidRPr="00F374D3">
        <w:rPr>
          <w:rFonts w:ascii="Times New Roman" w:hAnsi="Times New Roman" w:cs="Times New Roman"/>
          <w:sz w:val="20"/>
          <w:szCs w:val="20"/>
        </w:rPr>
        <w:t>Schiffl</w:t>
      </w:r>
      <w:proofErr w:type="spellEnd"/>
      <w:r w:rsidRPr="00F374D3">
        <w:rPr>
          <w:rFonts w:ascii="Times New Roman" w:hAnsi="Times New Roman" w:cs="Times New Roman"/>
          <w:sz w:val="20"/>
          <w:szCs w:val="20"/>
        </w:rPr>
        <w:t xml:space="preserve"> and Fischer, we had conducted a prospective follow-up study for 1 year on long-term outcome and </w:t>
      </w:r>
      <w:proofErr w:type="spellStart"/>
      <w:r w:rsidRPr="00F374D3">
        <w:rPr>
          <w:rFonts w:ascii="Times New Roman" w:hAnsi="Times New Roman" w:cs="Times New Roman"/>
          <w:sz w:val="20"/>
          <w:szCs w:val="20"/>
        </w:rPr>
        <w:t>sequelae</w:t>
      </w:r>
      <w:proofErr w:type="spellEnd"/>
      <w:r w:rsidRPr="00F374D3">
        <w:rPr>
          <w:rFonts w:ascii="Times New Roman" w:hAnsi="Times New Roman" w:cs="Times New Roman"/>
          <w:sz w:val="20"/>
          <w:szCs w:val="20"/>
        </w:rPr>
        <w:t xml:space="preserve"> of AKI within the survivors of AKI of varied aetiology without any pre-existing evidence</w:t>
      </w:r>
      <w:r w:rsidR="00F374D3">
        <w:rPr>
          <w:rFonts w:ascii="Times New Roman" w:hAnsi="Times New Roman" w:cs="Times New Roman"/>
          <w:sz w:val="20"/>
          <w:szCs w:val="20"/>
        </w:rPr>
        <w:t xml:space="preserve"> of CKD in our hospital setting. </w:t>
      </w:r>
      <w:r w:rsidRPr="00F374D3">
        <w:rPr>
          <w:rFonts w:ascii="Times New Roman" w:hAnsi="Times New Roman" w:cs="Times New Roman"/>
          <w:sz w:val="20"/>
          <w:szCs w:val="20"/>
        </w:rPr>
        <w:t xml:space="preserve">In this study, we studied the pattern of recovery and time duration required for recovery of renal function after AKI. We also studied the recovery of other parameters like urine analysis, serum electrolytes and complete </w:t>
      </w:r>
      <w:proofErr w:type="spellStart"/>
      <w:r w:rsidRPr="00F374D3">
        <w:rPr>
          <w:rFonts w:ascii="Times New Roman" w:hAnsi="Times New Roman" w:cs="Times New Roman"/>
          <w:sz w:val="20"/>
          <w:szCs w:val="20"/>
        </w:rPr>
        <w:t>haemogram</w:t>
      </w:r>
      <w:proofErr w:type="spellEnd"/>
      <w:r w:rsidRPr="00F374D3">
        <w:rPr>
          <w:rFonts w:ascii="Times New Roman" w:hAnsi="Times New Roman" w:cs="Times New Roman"/>
          <w:sz w:val="20"/>
          <w:szCs w:val="20"/>
        </w:rPr>
        <w:t xml:space="preserve"> to the normal limits following AKI. This study also analysed the percentage of survivors of AKI progressed into the chronic kidney disease and dialysis dependency.</w:t>
      </w:r>
    </w:p>
    <w:p w:rsidR="005564EA" w:rsidRPr="00F374D3" w:rsidRDefault="005564EA" w:rsidP="00F374D3">
      <w:pPr>
        <w:spacing w:after="0" w:line="360" w:lineRule="auto"/>
        <w:ind w:firstLine="720"/>
        <w:jc w:val="both"/>
        <w:rPr>
          <w:rFonts w:ascii="Times New Roman" w:hAnsi="Times New Roman" w:cs="Times New Roman"/>
          <w:sz w:val="20"/>
          <w:szCs w:val="20"/>
        </w:rPr>
      </w:pPr>
      <w:r w:rsidRPr="00F374D3">
        <w:rPr>
          <w:rFonts w:ascii="Times New Roman" w:hAnsi="Times New Roman" w:cs="Times New Roman"/>
          <w:sz w:val="20"/>
          <w:szCs w:val="20"/>
        </w:rPr>
        <w:t xml:space="preserve">We studied a total of 80 cases of survivors of episode of AKI of varied aetiology who are admitted in </w:t>
      </w:r>
      <w:r w:rsidR="001B0AE5" w:rsidRPr="00F374D3">
        <w:rPr>
          <w:rFonts w:ascii="Times New Roman" w:hAnsi="Times New Roman" w:cs="Times New Roman"/>
          <w:sz w:val="20"/>
          <w:szCs w:val="20"/>
        </w:rPr>
        <w:t xml:space="preserve">NRI INSTITUTE OF MEDICAL SCIENCES </w:t>
      </w:r>
      <w:r w:rsidRPr="00F374D3">
        <w:rPr>
          <w:rFonts w:ascii="Times New Roman" w:hAnsi="Times New Roman" w:cs="Times New Roman"/>
          <w:sz w:val="20"/>
          <w:szCs w:val="20"/>
        </w:rPr>
        <w:t xml:space="preserve">based on purposive sampling technique with both inclusion and exclusion criteria as mentioned above. Patient’s data was collected as per </w:t>
      </w:r>
      <w:proofErr w:type="spellStart"/>
      <w:r w:rsidRPr="00F374D3">
        <w:rPr>
          <w:rFonts w:ascii="Times New Roman" w:hAnsi="Times New Roman" w:cs="Times New Roman"/>
          <w:sz w:val="20"/>
          <w:szCs w:val="20"/>
        </w:rPr>
        <w:t>proforma</w:t>
      </w:r>
      <w:proofErr w:type="spellEnd"/>
      <w:r w:rsidRPr="00F374D3">
        <w:rPr>
          <w:rFonts w:ascii="Times New Roman" w:hAnsi="Times New Roman" w:cs="Times New Roman"/>
          <w:sz w:val="20"/>
          <w:szCs w:val="20"/>
        </w:rPr>
        <w:t xml:space="preserve"> at time of admission, discharge, 3months, 6months and 1year. Collected data was analysed by frequency, percentage, Mean and S.D. Tests such as Friedman test used to compare the change within the group and post hoc analysis by Wilcoxon signed rank test is performed. </w:t>
      </w:r>
      <w:proofErr w:type="spellStart"/>
      <w:r w:rsidRPr="00F374D3">
        <w:rPr>
          <w:rFonts w:ascii="Times New Roman" w:hAnsi="Times New Roman" w:cs="Times New Roman"/>
          <w:sz w:val="20"/>
          <w:szCs w:val="20"/>
        </w:rPr>
        <w:t>McNemer</w:t>
      </w:r>
      <w:proofErr w:type="spellEnd"/>
      <w:r w:rsidRPr="00F374D3">
        <w:rPr>
          <w:rFonts w:ascii="Times New Roman" w:hAnsi="Times New Roman" w:cs="Times New Roman"/>
          <w:sz w:val="20"/>
          <w:szCs w:val="20"/>
        </w:rPr>
        <w:t xml:space="preserve"> test was carried out to compare the change in parameter if any from abnormal to normal in study population during the follow-up period. </w:t>
      </w:r>
    </w:p>
    <w:p w:rsidR="00F374D3" w:rsidRPr="00F374D3" w:rsidRDefault="00F374D3"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 xml:space="preserve">           </w:t>
      </w:r>
      <w:r w:rsidR="005564EA" w:rsidRPr="00F374D3">
        <w:rPr>
          <w:rFonts w:ascii="Times New Roman" w:hAnsi="Times New Roman" w:cs="Times New Roman"/>
          <w:sz w:val="20"/>
          <w:szCs w:val="20"/>
        </w:rPr>
        <w:t>Majority of individuals enrolled in our study are males which was around 61.25%.Majority of the patients with AKI falls between 21 to 30 years. Therefore incidence of AKI is more during 3</w:t>
      </w:r>
      <w:r w:rsidR="005564EA" w:rsidRPr="00F374D3">
        <w:rPr>
          <w:rFonts w:ascii="Times New Roman" w:hAnsi="Times New Roman" w:cs="Times New Roman"/>
          <w:sz w:val="20"/>
          <w:szCs w:val="20"/>
          <w:vertAlign w:val="superscript"/>
        </w:rPr>
        <w:t>rd</w:t>
      </w:r>
      <w:r w:rsidR="005564EA" w:rsidRPr="00F374D3">
        <w:rPr>
          <w:rFonts w:ascii="Times New Roman" w:hAnsi="Times New Roman" w:cs="Times New Roman"/>
          <w:sz w:val="20"/>
          <w:szCs w:val="20"/>
        </w:rPr>
        <w:t xml:space="preserve"> decade of life.</w:t>
      </w:r>
      <w:r w:rsidRPr="00F374D3">
        <w:rPr>
          <w:rFonts w:ascii="Times New Roman" w:hAnsi="Times New Roman" w:cs="Times New Roman"/>
          <w:sz w:val="20"/>
          <w:szCs w:val="20"/>
        </w:rPr>
        <w:t xml:space="preserve"> </w:t>
      </w:r>
      <w:r w:rsidR="005564EA" w:rsidRPr="00F374D3">
        <w:rPr>
          <w:rFonts w:ascii="Times New Roman" w:hAnsi="Times New Roman" w:cs="Times New Roman"/>
          <w:sz w:val="20"/>
          <w:szCs w:val="20"/>
        </w:rPr>
        <w:t xml:space="preserve">Based on the above study and data analysis, sepsis contributes as a cause for majority of patients with AKI by different mechanisms (either direct or indirect). </w:t>
      </w:r>
      <w:proofErr w:type="gramStart"/>
      <w:r w:rsidR="005564EA" w:rsidRPr="00F374D3">
        <w:rPr>
          <w:rFonts w:ascii="Times New Roman" w:hAnsi="Times New Roman" w:cs="Times New Roman"/>
          <w:sz w:val="20"/>
          <w:szCs w:val="20"/>
        </w:rPr>
        <w:t xml:space="preserve">Following sepsis, leptospirosis and malaria accounts for second and third major cause of AKI which shows </w:t>
      </w:r>
      <w:proofErr w:type="spellStart"/>
      <w:r w:rsidR="005564EA" w:rsidRPr="00F374D3">
        <w:rPr>
          <w:rFonts w:ascii="Times New Roman" w:hAnsi="Times New Roman" w:cs="Times New Roman"/>
          <w:sz w:val="20"/>
          <w:szCs w:val="20"/>
        </w:rPr>
        <w:t>endemicity</w:t>
      </w:r>
      <w:proofErr w:type="spellEnd"/>
      <w:r w:rsidR="005564EA" w:rsidRPr="00F374D3">
        <w:rPr>
          <w:rFonts w:ascii="Times New Roman" w:hAnsi="Times New Roman" w:cs="Times New Roman"/>
          <w:sz w:val="20"/>
          <w:szCs w:val="20"/>
        </w:rPr>
        <w:t xml:space="preserve"> and increased prevalence of disease in South-Karnataka region.</w:t>
      </w:r>
      <w:proofErr w:type="gramEnd"/>
      <w:r w:rsidRPr="00F374D3">
        <w:rPr>
          <w:rFonts w:ascii="Times New Roman" w:hAnsi="Times New Roman" w:cs="Times New Roman"/>
          <w:sz w:val="20"/>
          <w:szCs w:val="20"/>
        </w:rPr>
        <w:t xml:space="preserve"> </w:t>
      </w:r>
      <w:r w:rsidR="005564EA" w:rsidRPr="00F374D3">
        <w:rPr>
          <w:rFonts w:ascii="Times New Roman" w:hAnsi="Times New Roman" w:cs="Times New Roman"/>
          <w:sz w:val="20"/>
          <w:szCs w:val="20"/>
        </w:rPr>
        <w:t xml:space="preserve">Based on the recovery of renal function with serum </w:t>
      </w:r>
      <w:proofErr w:type="spellStart"/>
      <w:r w:rsidR="005564EA" w:rsidRPr="00F374D3">
        <w:rPr>
          <w:rFonts w:ascii="Times New Roman" w:hAnsi="Times New Roman" w:cs="Times New Roman"/>
          <w:sz w:val="20"/>
          <w:szCs w:val="20"/>
        </w:rPr>
        <w:t>creatinine</w:t>
      </w:r>
      <w:proofErr w:type="spellEnd"/>
      <w:r w:rsidR="005564EA" w:rsidRPr="00F374D3">
        <w:rPr>
          <w:rFonts w:ascii="Times New Roman" w:hAnsi="Times New Roman" w:cs="Times New Roman"/>
          <w:sz w:val="20"/>
          <w:szCs w:val="20"/>
        </w:rPr>
        <w:t xml:space="preserve"> as a determinant it is evident from the analysis that, at admission 97.5% of patients had abnormal </w:t>
      </w:r>
      <w:proofErr w:type="spellStart"/>
      <w:r w:rsidR="005564EA" w:rsidRPr="00F374D3">
        <w:rPr>
          <w:rFonts w:ascii="Times New Roman" w:hAnsi="Times New Roman" w:cs="Times New Roman"/>
          <w:sz w:val="20"/>
          <w:szCs w:val="20"/>
        </w:rPr>
        <w:t>creatinine</w:t>
      </w:r>
      <w:proofErr w:type="spellEnd"/>
      <w:r w:rsidR="005564EA" w:rsidRPr="00F374D3">
        <w:rPr>
          <w:rFonts w:ascii="Times New Roman" w:hAnsi="Times New Roman" w:cs="Times New Roman"/>
          <w:sz w:val="20"/>
          <w:szCs w:val="20"/>
        </w:rPr>
        <w:t xml:space="preserve"> and at the end of 1 year only 1.3% of p</w:t>
      </w:r>
      <w:r w:rsidRPr="00F374D3">
        <w:rPr>
          <w:rFonts w:ascii="Times New Roman" w:hAnsi="Times New Roman" w:cs="Times New Roman"/>
          <w:sz w:val="20"/>
          <w:szCs w:val="20"/>
        </w:rPr>
        <w:t xml:space="preserve">atients had abnormal </w:t>
      </w:r>
      <w:proofErr w:type="spellStart"/>
      <w:r w:rsidRPr="00F374D3">
        <w:rPr>
          <w:rFonts w:ascii="Times New Roman" w:hAnsi="Times New Roman" w:cs="Times New Roman"/>
          <w:sz w:val="20"/>
          <w:szCs w:val="20"/>
        </w:rPr>
        <w:t>creatinine</w:t>
      </w:r>
      <w:proofErr w:type="spellEnd"/>
      <w:r w:rsidRPr="00F374D3">
        <w:rPr>
          <w:rFonts w:ascii="Times New Roman" w:hAnsi="Times New Roman" w:cs="Times New Roman"/>
          <w:sz w:val="20"/>
          <w:szCs w:val="20"/>
        </w:rPr>
        <w:t xml:space="preserve">. </w:t>
      </w:r>
      <w:r w:rsidR="005564EA" w:rsidRPr="00F374D3">
        <w:rPr>
          <w:rFonts w:ascii="Times New Roman" w:hAnsi="Times New Roman" w:cs="Times New Roman"/>
          <w:sz w:val="20"/>
          <w:szCs w:val="20"/>
        </w:rPr>
        <w:t xml:space="preserve">Recovery of </w:t>
      </w:r>
      <w:proofErr w:type="spellStart"/>
      <w:r w:rsidR="005564EA" w:rsidRPr="00F374D3">
        <w:rPr>
          <w:rFonts w:ascii="Times New Roman" w:hAnsi="Times New Roman" w:cs="Times New Roman"/>
          <w:sz w:val="20"/>
          <w:szCs w:val="20"/>
        </w:rPr>
        <w:t>S.creatinine</w:t>
      </w:r>
      <w:proofErr w:type="spellEnd"/>
      <w:r w:rsidR="005564EA" w:rsidRPr="00F374D3">
        <w:rPr>
          <w:rFonts w:ascii="Times New Roman" w:hAnsi="Times New Roman" w:cs="Times New Roman"/>
          <w:sz w:val="20"/>
          <w:szCs w:val="20"/>
        </w:rPr>
        <w:t xml:space="preserve"> to normal level during follow-up period was significant till the end of 1 year (which is evident by P value &lt; 0.000 from </w:t>
      </w:r>
      <w:proofErr w:type="spellStart"/>
      <w:r w:rsidR="005564EA" w:rsidRPr="00F374D3">
        <w:rPr>
          <w:rFonts w:ascii="Times New Roman" w:hAnsi="Times New Roman" w:cs="Times New Roman"/>
          <w:sz w:val="20"/>
          <w:szCs w:val="20"/>
        </w:rPr>
        <w:t>McNemer</w:t>
      </w:r>
      <w:proofErr w:type="spellEnd"/>
      <w:r w:rsidR="005564EA" w:rsidRPr="00F374D3">
        <w:rPr>
          <w:rFonts w:ascii="Times New Roman" w:hAnsi="Times New Roman" w:cs="Times New Roman"/>
          <w:sz w:val="20"/>
          <w:szCs w:val="20"/>
        </w:rPr>
        <w:t xml:space="preserve"> test).</w:t>
      </w:r>
      <w:r w:rsidRPr="00F374D3">
        <w:rPr>
          <w:rFonts w:ascii="Times New Roman" w:hAnsi="Times New Roman" w:cs="Times New Roman"/>
          <w:sz w:val="20"/>
          <w:szCs w:val="20"/>
        </w:rPr>
        <w:t xml:space="preserve"> </w:t>
      </w:r>
      <w:r w:rsidR="005564EA" w:rsidRPr="00F374D3">
        <w:rPr>
          <w:rFonts w:ascii="Times New Roman" w:hAnsi="Times New Roman" w:cs="Times New Roman"/>
          <w:sz w:val="20"/>
          <w:szCs w:val="20"/>
        </w:rPr>
        <w:t xml:space="preserve">Significant changes in serum </w:t>
      </w:r>
      <w:proofErr w:type="spellStart"/>
      <w:r w:rsidR="005564EA" w:rsidRPr="00F374D3">
        <w:rPr>
          <w:rFonts w:ascii="Times New Roman" w:hAnsi="Times New Roman" w:cs="Times New Roman"/>
          <w:sz w:val="20"/>
          <w:szCs w:val="20"/>
        </w:rPr>
        <w:t>creatinine</w:t>
      </w:r>
      <w:proofErr w:type="spellEnd"/>
      <w:r w:rsidR="005564EA" w:rsidRPr="00F374D3">
        <w:rPr>
          <w:rFonts w:ascii="Times New Roman" w:hAnsi="Times New Roman" w:cs="Times New Roman"/>
          <w:sz w:val="20"/>
          <w:szCs w:val="20"/>
        </w:rPr>
        <w:t xml:space="preserve"> are assessed by Friedman test and pairwise comparison by Wilcoxon signed rank test and it is evident that there was significant drop </w:t>
      </w:r>
      <w:r w:rsidR="005564EA" w:rsidRPr="00F374D3">
        <w:rPr>
          <w:rFonts w:ascii="Times New Roman" w:hAnsi="Times New Roman" w:cs="Times New Roman"/>
          <w:sz w:val="20"/>
          <w:szCs w:val="20"/>
        </w:rPr>
        <w:lastRenderedPageBreak/>
        <w:t xml:space="preserve">in serum </w:t>
      </w:r>
      <w:proofErr w:type="spellStart"/>
      <w:r w:rsidR="005564EA" w:rsidRPr="00F374D3">
        <w:rPr>
          <w:rFonts w:ascii="Times New Roman" w:hAnsi="Times New Roman" w:cs="Times New Roman"/>
          <w:sz w:val="20"/>
          <w:szCs w:val="20"/>
        </w:rPr>
        <w:t>creatinine</w:t>
      </w:r>
      <w:proofErr w:type="spellEnd"/>
      <w:r w:rsidR="005564EA" w:rsidRPr="00F374D3">
        <w:rPr>
          <w:rFonts w:ascii="Times New Roman" w:hAnsi="Times New Roman" w:cs="Times New Roman"/>
          <w:sz w:val="20"/>
          <w:szCs w:val="20"/>
        </w:rPr>
        <w:t xml:space="preserve"> levels from admission till the end of 1 year (i.e., in every follow-up till end of study period) with P value 0.000 (&lt;0.05).</w:t>
      </w:r>
    </w:p>
    <w:p w:rsidR="005564EA" w:rsidRPr="00F374D3" w:rsidRDefault="00F374D3"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sz w:val="20"/>
          <w:szCs w:val="20"/>
        </w:rPr>
        <w:t xml:space="preserve">         </w:t>
      </w:r>
      <w:r w:rsidR="005564EA" w:rsidRPr="00F374D3">
        <w:rPr>
          <w:rFonts w:ascii="Times New Roman" w:hAnsi="Times New Roman" w:cs="Times New Roman"/>
          <w:sz w:val="20"/>
          <w:szCs w:val="20"/>
        </w:rPr>
        <w:t>Progression of AKI to CKD is assessed by calculating the reduced effective glomerular filtration rate (to less than 60 ml/min/1.73m</w:t>
      </w:r>
      <w:r w:rsidR="005564EA" w:rsidRPr="00F374D3">
        <w:rPr>
          <w:rFonts w:ascii="Times New Roman" w:hAnsi="Times New Roman" w:cs="Times New Roman"/>
          <w:sz w:val="20"/>
          <w:szCs w:val="20"/>
          <w:vertAlign w:val="superscript"/>
        </w:rPr>
        <w:t>2</w:t>
      </w:r>
      <w:r w:rsidR="005564EA" w:rsidRPr="00F374D3">
        <w:rPr>
          <w:rFonts w:ascii="Times New Roman" w:hAnsi="Times New Roman" w:cs="Times New Roman"/>
          <w:sz w:val="20"/>
          <w:szCs w:val="20"/>
        </w:rPr>
        <w:t>)</w:t>
      </w:r>
      <w:r w:rsidR="005564EA" w:rsidRPr="00F374D3">
        <w:rPr>
          <w:rFonts w:ascii="Times New Roman" w:hAnsi="Times New Roman" w:cs="Times New Roman"/>
          <w:sz w:val="20"/>
          <w:szCs w:val="20"/>
          <w:vertAlign w:val="superscript"/>
        </w:rPr>
        <w:t xml:space="preserve"> </w:t>
      </w:r>
      <w:r w:rsidR="005564EA" w:rsidRPr="00F374D3">
        <w:rPr>
          <w:rFonts w:ascii="Times New Roman" w:hAnsi="Times New Roman" w:cs="Times New Roman"/>
          <w:sz w:val="20"/>
          <w:szCs w:val="20"/>
        </w:rPr>
        <w:t xml:space="preserve">according to KDOQI CKD guidelines. </w:t>
      </w:r>
      <w:proofErr w:type="spellStart"/>
      <w:proofErr w:type="gramStart"/>
      <w:r w:rsidR="005564EA" w:rsidRPr="00F374D3">
        <w:rPr>
          <w:rFonts w:ascii="Times New Roman" w:hAnsi="Times New Roman" w:cs="Times New Roman"/>
          <w:sz w:val="20"/>
          <w:szCs w:val="20"/>
        </w:rPr>
        <w:t>eGFR</w:t>
      </w:r>
      <w:proofErr w:type="spellEnd"/>
      <w:proofErr w:type="gramEnd"/>
      <w:r w:rsidR="005564EA" w:rsidRPr="00F374D3">
        <w:rPr>
          <w:rFonts w:ascii="Times New Roman" w:hAnsi="Times New Roman" w:cs="Times New Roman"/>
          <w:sz w:val="20"/>
          <w:szCs w:val="20"/>
        </w:rPr>
        <w:t xml:space="preserve"> calculated at the end of 1 year for all study population as per MDRD </w:t>
      </w:r>
      <w:proofErr w:type="spellStart"/>
      <w:r w:rsidR="005564EA" w:rsidRPr="00F374D3">
        <w:rPr>
          <w:rFonts w:ascii="Times New Roman" w:hAnsi="Times New Roman" w:cs="Times New Roman"/>
          <w:sz w:val="20"/>
          <w:szCs w:val="20"/>
        </w:rPr>
        <w:t>eGFR</w:t>
      </w:r>
      <w:proofErr w:type="spellEnd"/>
      <w:r w:rsidR="005564EA" w:rsidRPr="00F374D3">
        <w:rPr>
          <w:rFonts w:ascii="Times New Roman" w:hAnsi="Times New Roman" w:cs="Times New Roman"/>
          <w:sz w:val="20"/>
          <w:szCs w:val="20"/>
        </w:rPr>
        <w:t xml:space="preserve"> formula showed that only 2 individuals (2.5%) had </w:t>
      </w:r>
      <w:proofErr w:type="spellStart"/>
      <w:r w:rsidR="005564EA" w:rsidRPr="00F374D3">
        <w:rPr>
          <w:rFonts w:ascii="Times New Roman" w:hAnsi="Times New Roman" w:cs="Times New Roman"/>
          <w:sz w:val="20"/>
          <w:szCs w:val="20"/>
        </w:rPr>
        <w:t>eGFR</w:t>
      </w:r>
      <w:proofErr w:type="spellEnd"/>
      <w:r w:rsidR="005564EA" w:rsidRPr="00F374D3">
        <w:rPr>
          <w:rFonts w:ascii="Times New Roman" w:hAnsi="Times New Roman" w:cs="Times New Roman"/>
          <w:sz w:val="20"/>
          <w:szCs w:val="20"/>
        </w:rPr>
        <w:t xml:space="preserve"> less than 60 ml/min/1.73m</w:t>
      </w:r>
      <w:r w:rsidR="005564EA" w:rsidRPr="00F374D3">
        <w:rPr>
          <w:rFonts w:ascii="Times New Roman" w:hAnsi="Times New Roman" w:cs="Times New Roman"/>
          <w:sz w:val="20"/>
          <w:szCs w:val="20"/>
          <w:vertAlign w:val="superscript"/>
        </w:rPr>
        <w:t>2</w:t>
      </w:r>
      <w:r w:rsidR="005564EA" w:rsidRPr="00F374D3">
        <w:rPr>
          <w:rFonts w:ascii="Times New Roman" w:hAnsi="Times New Roman" w:cs="Times New Roman"/>
          <w:sz w:val="20"/>
          <w:szCs w:val="20"/>
        </w:rPr>
        <w:t xml:space="preserve"> and are labelled as chronic kidney disease. Remaining 78 individuals (97.5%) had </w:t>
      </w:r>
      <w:proofErr w:type="spellStart"/>
      <w:r w:rsidR="005564EA" w:rsidRPr="00F374D3">
        <w:rPr>
          <w:rFonts w:ascii="Times New Roman" w:hAnsi="Times New Roman" w:cs="Times New Roman"/>
          <w:sz w:val="20"/>
          <w:szCs w:val="20"/>
        </w:rPr>
        <w:t>eGFR</w:t>
      </w:r>
      <w:proofErr w:type="spellEnd"/>
      <w:r w:rsidR="005564EA" w:rsidRPr="00F374D3">
        <w:rPr>
          <w:rFonts w:ascii="Times New Roman" w:hAnsi="Times New Roman" w:cs="Times New Roman"/>
          <w:sz w:val="20"/>
          <w:szCs w:val="20"/>
        </w:rPr>
        <w:t xml:space="preserve"> above 60 ml/min/1.73m</w:t>
      </w:r>
      <w:r w:rsidR="005564EA" w:rsidRPr="00F374D3">
        <w:rPr>
          <w:rFonts w:ascii="Times New Roman" w:hAnsi="Times New Roman" w:cs="Times New Roman"/>
          <w:sz w:val="20"/>
          <w:szCs w:val="20"/>
          <w:vertAlign w:val="superscript"/>
        </w:rPr>
        <w:t>2</w:t>
      </w:r>
      <w:r w:rsidR="005564EA" w:rsidRPr="00F374D3">
        <w:rPr>
          <w:rFonts w:ascii="Times New Roman" w:hAnsi="Times New Roman" w:cs="Times New Roman"/>
          <w:sz w:val="20"/>
          <w:szCs w:val="20"/>
        </w:rPr>
        <w:t>.</w:t>
      </w:r>
      <w:r w:rsidRPr="00F374D3">
        <w:rPr>
          <w:rFonts w:ascii="Times New Roman" w:hAnsi="Times New Roman" w:cs="Times New Roman"/>
          <w:sz w:val="20"/>
          <w:szCs w:val="20"/>
        </w:rPr>
        <w:t xml:space="preserve"> </w:t>
      </w:r>
      <w:r w:rsidR="005564EA" w:rsidRPr="00F374D3">
        <w:rPr>
          <w:rFonts w:ascii="Times New Roman" w:hAnsi="Times New Roman" w:cs="Times New Roman"/>
          <w:sz w:val="20"/>
          <w:szCs w:val="20"/>
        </w:rPr>
        <w:t xml:space="preserve">Data analysis of blood urea levels showed that, at admission 100% of patients had abnormal blood urea and at the end of 1 year 2.5% of patients had abnormal blood urea. Improvement of blood urea to normal level during follow-up period were significant till 6months (which is evident by P values 0.000 and 0.046 &lt; 0.05 from </w:t>
      </w:r>
      <w:proofErr w:type="spellStart"/>
      <w:r w:rsidR="005564EA" w:rsidRPr="00F374D3">
        <w:rPr>
          <w:rFonts w:ascii="Times New Roman" w:hAnsi="Times New Roman" w:cs="Times New Roman"/>
          <w:sz w:val="20"/>
          <w:szCs w:val="20"/>
        </w:rPr>
        <w:t>McNemer</w:t>
      </w:r>
      <w:proofErr w:type="spellEnd"/>
      <w:r w:rsidR="005564EA" w:rsidRPr="00F374D3">
        <w:rPr>
          <w:rFonts w:ascii="Times New Roman" w:hAnsi="Times New Roman" w:cs="Times New Roman"/>
          <w:sz w:val="20"/>
          <w:szCs w:val="20"/>
        </w:rPr>
        <w:t xml:space="preserve"> test) and after 6months drop in blood urea levels were statistically insignificant (which is evident by P value 1.000 &gt; 0.05 from </w:t>
      </w:r>
      <w:proofErr w:type="spellStart"/>
      <w:r w:rsidR="005564EA" w:rsidRPr="00F374D3">
        <w:rPr>
          <w:rFonts w:ascii="Times New Roman" w:hAnsi="Times New Roman" w:cs="Times New Roman"/>
          <w:sz w:val="20"/>
          <w:szCs w:val="20"/>
        </w:rPr>
        <w:t>McNemer</w:t>
      </w:r>
      <w:proofErr w:type="spellEnd"/>
      <w:r w:rsidR="005564EA" w:rsidRPr="00F374D3">
        <w:rPr>
          <w:rFonts w:ascii="Times New Roman" w:hAnsi="Times New Roman" w:cs="Times New Roman"/>
          <w:sz w:val="20"/>
          <w:szCs w:val="20"/>
        </w:rPr>
        <w:t xml:space="preserve"> test)</w:t>
      </w:r>
      <w:r w:rsidRPr="00F374D3">
        <w:rPr>
          <w:rFonts w:ascii="Times New Roman" w:hAnsi="Times New Roman" w:cs="Times New Roman"/>
          <w:sz w:val="20"/>
          <w:szCs w:val="20"/>
        </w:rPr>
        <w:t xml:space="preserve"> </w:t>
      </w:r>
      <w:r w:rsidR="005564EA" w:rsidRPr="00F374D3">
        <w:rPr>
          <w:rFonts w:ascii="Times New Roman" w:hAnsi="Times New Roman" w:cs="Times New Roman"/>
          <w:sz w:val="20"/>
          <w:szCs w:val="20"/>
        </w:rPr>
        <w:t xml:space="preserve">From the end of 3 months to end of 1 year, study population who got normalised are statistically insignificant with </w:t>
      </w:r>
      <w:proofErr w:type="spellStart"/>
      <w:r w:rsidR="005564EA" w:rsidRPr="00F374D3">
        <w:rPr>
          <w:rFonts w:ascii="Times New Roman" w:hAnsi="Times New Roman" w:cs="Times New Roman"/>
          <w:sz w:val="20"/>
          <w:szCs w:val="20"/>
        </w:rPr>
        <w:t>McNemer</w:t>
      </w:r>
      <w:proofErr w:type="spellEnd"/>
      <w:r w:rsidR="005564EA" w:rsidRPr="00F374D3">
        <w:rPr>
          <w:rFonts w:ascii="Times New Roman" w:hAnsi="Times New Roman" w:cs="Times New Roman"/>
          <w:sz w:val="20"/>
          <w:szCs w:val="20"/>
        </w:rPr>
        <w:t xml:space="preserve"> test P value 0.317 (&gt;0.05). </w:t>
      </w:r>
    </w:p>
    <w:p w:rsidR="005564EA" w:rsidRPr="00F374D3" w:rsidRDefault="005564EA" w:rsidP="00F374D3">
      <w:pPr>
        <w:spacing w:after="0" w:line="360" w:lineRule="auto"/>
        <w:ind w:firstLine="720"/>
        <w:jc w:val="both"/>
        <w:rPr>
          <w:rFonts w:ascii="Times New Roman" w:hAnsi="Times New Roman" w:cs="Times New Roman"/>
          <w:sz w:val="20"/>
          <w:szCs w:val="20"/>
        </w:rPr>
      </w:pPr>
      <w:r w:rsidRPr="00F374D3">
        <w:rPr>
          <w:rFonts w:ascii="Times New Roman" w:hAnsi="Times New Roman" w:cs="Times New Roman"/>
          <w:sz w:val="20"/>
          <w:szCs w:val="20"/>
        </w:rPr>
        <w:t xml:space="preserve">From this study we observed that there was significant drop in serum </w:t>
      </w:r>
      <w:proofErr w:type="spellStart"/>
      <w:r w:rsidRPr="00F374D3">
        <w:rPr>
          <w:rFonts w:ascii="Times New Roman" w:hAnsi="Times New Roman" w:cs="Times New Roman"/>
          <w:sz w:val="20"/>
          <w:szCs w:val="20"/>
        </w:rPr>
        <w:t>creatinine</w:t>
      </w:r>
      <w:proofErr w:type="spellEnd"/>
      <w:r w:rsidRPr="00F374D3">
        <w:rPr>
          <w:rFonts w:ascii="Times New Roman" w:hAnsi="Times New Roman" w:cs="Times New Roman"/>
          <w:sz w:val="20"/>
          <w:szCs w:val="20"/>
        </w:rPr>
        <w:t xml:space="preserve"> levels through-out the study period. It is also observed from the pairwise comparison that drop in </w:t>
      </w:r>
      <w:proofErr w:type="spellStart"/>
      <w:r w:rsidRPr="00F374D3">
        <w:rPr>
          <w:rFonts w:ascii="Times New Roman" w:hAnsi="Times New Roman" w:cs="Times New Roman"/>
          <w:sz w:val="20"/>
          <w:szCs w:val="20"/>
        </w:rPr>
        <w:t>creatinine</w:t>
      </w:r>
      <w:proofErr w:type="spellEnd"/>
      <w:r w:rsidRPr="00F374D3">
        <w:rPr>
          <w:rFonts w:ascii="Times New Roman" w:hAnsi="Times New Roman" w:cs="Times New Roman"/>
          <w:sz w:val="20"/>
          <w:szCs w:val="20"/>
        </w:rPr>
        <w:t xml:space="preserve"> is statistically highly significant in every follow-up.</w:t>
      </w:r>
    </w:p>
    <w:p w:rsidR="00BA2EF9" w:rsidRPr="00F374D3" w:rsidRDefault="00BA2EF9" w:rsidP="00F374D3">
      <w:pPr>
        <w:spacing w:after="0" w:line="360" w:lineRule="auto"/>
        <w:jc w:val="both"/>
        <w:rPr>
          <w:rFonts w:ascii="Times New Roman" w:hAnsi="Times New Roman" w:cs="Times New Roman"/>
          <w:sz w:val="20"/>
          <w:szCs w:val="20"/>
        </w:rPr>
      </w:pPr>
      <w:r w:rsidRPr="00F374D3">
        <w:rPr>
          <w:rFonts w:ascii="Times New Roman" w:hAnsi="Times New Roman" w:cs="Times New Roman"/>
          <w:b/>
          <w:sz w:val="20"/>
          <w:szCs w:val="20"/>
        </w:rPr>
        <w:t>C</w:t>
      </w:r>
      <w:r w:rsidR="00F54AA8" w:rsidRPr="00F374D3">
        <w:rPr>
          <w:rFonts w:ascii="Times New Roman" w:hAnsi="Times New Roman" w:cs="Times New Roman"/>
          <w:b/>
          <w:sz w:val="20"/>
          <w:szCs w:val="20"/>
        </w:rPr>
        <w:t>onclusion:</w:t>
      </w:r>
    </w:p>
    <w:p w:rsidR="00BA2EF9" w:rsidRPr="00F374D3" w:rsidRDefault="00BA2EF9" w:rsidP="00F374D3">
      <w:pPr>
        <w:pStyle w:val="ListParagraph"/>
        <w:numPr>
          <w:ilvl w:val="0"/>
          <w:numId w:val="26"/>
        </w:numPr>
        <w:spacing w:after="0" w:line="360" w:lineRule="auto"/>
        <w:jc w:val="both"/>
        <w:rPr>
          <w:sz w:val="20"/>
          <w:szCs w:val="20"/>
        </w:rPr>
      </w:pPr>
      <w:r w:rsidRPr="00F374D3">
        <w:rPr>
          <w:sz w:val="20"/>
          <w:szCs w:val="20"/>
        </w:rPr>
        <w:t>About 97.5% of study population got completely recovered from AKI by the end of 1 year.</w:t>
      </w:r>
    </w:p>
    <w:p w:rsidR="005D0579" w:rsidRPr="00F374D3" w:rsidRDefault="00BA2EF9" w:rsidP="00F374D3">
      <w:pPr>
        <w:pStyle w:val="ListParagraph"/>
        <w:numPr>
          <w:ilvl w:val="0"/>
          <w:numId w:val="26"/>
        </w:numPr>
        <w:spacing w:after="0" w:line="360" w:lineRule="auto"/>
        <w:jc w:val="both"/>
        <w:rPr>
          <w:sz w:val="20"/>
          <w:szCs w:val="20"/>
        </w:rPr>
      </w:pPr>
      <w:r w:rsidRPr="00F374D3">
        <w:rPr>
          <w:sz w:val="20"/>
          <w:szCs w:val="20"/>
        </w:rPr>
        <w:t xml:space="preserve">There was significant drop in serum </w:t>
      </w:r>
      <w:r w:rsidR="005D0579" w:rsidRPr="00F374D3">
        <w:rPr>
          <w:sz w:val="20"/>
          <w:szCs w:val="20"/>
        </w:rPr>
        <w:t xml:space="preserve">urea, </w:t>
      </w:r>
      <w:proofErr w:type="spellStart"/>
      <w:r w:rsidRPr="00F374D3">
        <w:rPr>
          <w:sz w:val="20"/>
          <w:szCs w:val="20"/>
        </w:rPr>
        <w:t>creatinine</w:t>
      </w:r>
      <w:proofErr w:type="spellEnd"/>
      <w:r w:rsidRPr="00F374D3">
        <w:rPr>
          <w:sz w:val="20"/>
          <w:szCs w:val="20"/>
        </w:rPr>
        <w:t xml:space="preserve"> levels</w:t>
      </w:r>
      <w:r w:rsidR="005D0579" w:rsidRPr="00F374D3">
        <w:rPr>
          <w:sz w:val="20"/>
          <w:szCs w:val="20"/>
        </w:rPr>
        <w:t xml:space="preserve">, </w:t>
      </w:r>
      <w:proofErr w:type="gramStart"/>
      <w:r w:rsidR="005D0579" w:rsidRPr="00F374D3">
        <w:rPr>
          <w:sz w:val="20"/>
          <w:szCs w:val="20"/>
        </w:rPr>
        <w:t>electrolyte</w:t>
      </w:r>
      <w:proofErr w:type="gramEnd"/>
      <w:r w:rsidR="005D0579" w:rsidRPr="00F374D3">
        <w:rPr>
          <w:sz w:val="20"/>
          <w:szCs w:val="20"/>
        </w:rPr>
        <w:t xml:space="preserve"> imbalances.</w:t>
      </w:r>
      <w:r w:rsidRPr="00F374D3">
        <w:rPr>
          <w:sz w:val="20"/>
          <w:szCs w:val="20"/>
        </w:rPr>
        <w:t xml:space="preserve"> </w:t>
      </w:r>
      <w:proofErr w:type="gramStart"/>
      <w:r w:rsidR="005D0579" w:rsidRPr="00F374D3">
        <w:rPr>
          <w:sz w:val="20"/>
          <w:szCs w:val="20"/>
        </w:rPr>
        <w:t>,</w:t>
      </w:r>
      <w:proofErr w:type="spellStart"/>
      <w:r w:rsidR="005D0579" w:rsidRPr="00F374D3">
        <w:rPr>
          <w:sz w:val="20"/>
          <w:szCs w:val="20"/>
        </w:rPr>
        <w:t>eGFR</w:t>
      </w:r>
      <w:proofErr w:type="spellEnd"/>
      <w:proofErr w:type="gramEnd"/>
      <w:r w:rsidR="005D0579" w:rsidRPr="00F374D3">
        <w:rPr>
          <w:sz w:val="20"/>
          <w:szCs w:val="20"/>
        </w:rPr>
        <w:t xml:space="preserve"> is normalized in majority of patients  t</w:t>
      </w:r>
      <w:r w:rsidRPr="00F374D3">
        <w:rPr>
          <w:sz w:val="20"/>
          <w:szCs w:val="20"/>
        </w:rPr>
        <w:t>hrough-out the study period and also between every follow-up which statistically highly significant.</w:t>
      </w:r>
    </w:p>
    <w:p w:rsidR="00BA2EF9" w:rsidRPr="00F374D3" w:rsidRDefault="00BA2EF9" w:rsidP="00F374D3">
      <w:pPr>
        <w:pStyle w:val="ListParagraph"/>
        <w:numPr>
          <w:ilvl w:val="0"/>
          <w:numId w:val="26"/>
        </w:numPr>
        <w:spacing w:after="0" w:line="360" w:lineRule="auto"/>
        <w:jc w:val="both"/>
        <w:rPr>
          <w:sz w:val="20"/>
          <w:szCs w:val="20"/>
        </w:rPr>
      </w:pPr>
      <w:r w:rsidRPr="00F374D3">
        <w:rPr>
          <w:sz w:val="20"/>
          <w:szCs w:val="20"/>
        </w:rPr>
        <w:t>None among the study population had progressed to dialysis dependency.</w:t>
      </w:r>
    </w:p>
    <w:p w:rsidR="00F374D3" w:rsidRDefault="00F374D3" w:rsidP="00F374D3">
      <w:pPr>
        <w:spacing w:after="0" w:line="360" w:lineRule="auto"/>
        <w:jc w:val="both"/>
        <w:rPr>
          <w:rFonts w:ascii="Times New Roman" w:hAnsi="Times New Roman" w:cs="Times New Roman"/>
          <w:sz w:val="20"/>
          <w:szCs w:val="20"/>
        </w:rPr>
      </w:pPr>
    </w:p>
    <w:p w:rsidR="00F374D3" w:rsidRPr="00F374D3" w:rsidRDefault="00F374D3" w:rsidP="00F374D3">
      <w:pPr>
        <w:spacing w:after="0" w:line="360" w:lineRule="auto"/>
        <w:jc w:val="both"/>
        <w:rPr>
          <w:rFonts w:ascii="Times New Roman" w:hAnsi="Times New Roman" w:cs="Times New Roman"/>
          <w:b/>
          <w:sz w:val="20"/>
          <w:szCs w:val="20"/>
        </w:rPr>
      </w:pPr>
      <w:r w:rsidRPr="00F374D3">
        <w:rPr>
          <w:rFonts w:ascii="Times New Roman" w:hAnsi="Times New Roman" w:cs="Times New Roman"/>
          <w:b/>
          <w:sz w:val="20"/>
          <w:szCs w:val="20"/>
        </w:rPr>
        <w:t xml:space="preserve">References: </w:t>
      </w:r>
    </w:p>
    <w:p w:rsidR="00FF0FBA" w:rsidRPr="00F374D3" w:rsidRDefault="00FF0FBA" w:rsidP="00F374D3">
      <w:pPr>
        <w:pStyle w:val="ListParagraph"/>
        <w:numPr>
          <w:ilvl w:val="0"/>
          <w:numId w:val="30"/>
        </w:numPr>
        <w:spacing w:after="0" w:line="360" w:lineRule="auto"/>
        <w:jc w:val="both"/>
        <w:rPr>
          <w:sz w:val="18"/>
          <w:szCs w:val="18"/>
        </w:rPr>
      </w:pPr>
      <w:r w:rsidRPr="00F374D3">
        <w:rPr>
          <w:sz w:val="18"/>
          <w:szCs w:val="18"/>
          <w:shd w:val="clear" w:color="auto" w:fill="FDFDFD"/>
        </w:rPr>
        <w:t>Kidney Disease: Improving Global Outcomes (KDIGO) Acute Kidney Injury Work Group. KDIGO Clinical Practice Guideline for Acute Kidney Injury. Kidney inter., Suppl. 2012; 2: 1–138.</w:t>
      </w:r>
    </w:p>
    <w:p w:rsidR="00FF0FBA" w:rsidRPr="00F374D3" w:rsidRDefault="00FF0FBA" w:rsidP="00F374D3">
      <w:pPr>
        <w:pStyle w:val="ListParagraph"/>
        <w:numPr>
          <w:ilvl w:val="0"/>
          <w:numId w:val="30"/>
        </w:numPr>
        <w:spacing w:after="0" w:line="360" w:lineRule="auto"/>
        <w:jc w:val="both"/>
        <w:rPr>
          <w:sz w:val="18"/>
          <w:szCs w:val="18"/>
        </w:rPr>
      </w:pPr>
      <w:proofErr w:type="spellStart"/>
      <w:r w:rsidRPr="00F374D3">
        <w:rPr>
          <w:sz w:val="18"/>
          <w:szCs w:val="18"/>
        </w:rPr>
        <w:t>Kellum</w:t>
      </w:r>
      <w:proofErr w:type="spellEnd"/>
      <w:r w:rsidRPr="00F374D3">
        <w:rPr>
          <w:sz w:val="18"/>
          <w:szCs w:val="18"/>
        </w:rPr>
        <w:t xml:space="preserve"> JA, Levin N, </w:t>
      </w:r>
      <w:proofErr w:type="spellStart"/>
      <w:r w:rsidRPr="00F374D3">
        <w:rPr>
          <w:sz w:val="18"/>
          <w:szCs w:val="18"/>
        </w:rPr>
        <w:t>Bouman</w:t>
      </w:r>
      <w:proofErr w:type="spellEnd"/>
      <w:r w:rsidRPr="00F374D3">
        <w:rPr>
          <w:sz w:val="18"/>
          <w:szCs w:val="18"/>
        </w:rPr>
        <w:t xml:space="preserve"> C, </w:t>
      </w:r>
      <w:proofErr w:type="spellStart"/>
      <w:r w:rsidRPr="00F374D3">
        <w:rPr>
          <w:sz w:val="18"/>
          <w:szCs w:val="18"/>
        </w:rPr>
        <w:t>Lameire</w:t>
      </w:r>
      <w:proofErr w:type="spellEnd"/>
      <w:r w:rsidRPr="00F374D3">
        <w:rPr>
          <w:sz w:val="18"/>
          <w:szCs w:val="18"/>
        </w:rPr>
        <w:t xml:space="preserve"> N. Developing a consensus classification system for acute renal failure. </w:t>
      </w:r>
      <w:proofErr w:type="spellStart"/>
      <w:r w:rsidRPr="00F374D3">
        <w:rPr>
          <w:sz w:val="18"/>
          <w:szCs w:val="18"/>
        </w:rPr>
        <w:t>Curr</w:t>
      </w:r>
      <w:proofErr w:type="spellEnd"/>
      <w:r w:rsidRPr="00F374D3">
        <w:rPr>
          <w:sz w:val="18"/>
          <w:szCs w:val="18"/>
        </w:rPr>
        <w:t xml:space="preserve"> </w:t>
      </w:r>
      <w:proofErr w:type="spellStart"/>
      <w:r w:rsidRPr="00F374D3">
        <w:rPr>
          <w:sz w:val="18"/>
          <w:szCs w:val="18"/>
        </w:rPr>
        <w:t>Opin</w:t>
      </w:r>
      <w:proofErr w:type="spellEnd"/>
      <w:r w:rsidRPr="00F374D3">
        <w:rPr>
          <w:sz w:val="18"/>
          <w:szCs w:val="18"/>
        </w:rPr>
        <w:t xml:space="preserve"> </w:t>
      </w:r>
      <w:proofErr w:type="spellStart"/>
      <w:r w:rsidRPr="00F374D3">
        <w:rPr>
          <w:sz w:val="18"/>
          <w:szCs w:val="18"/>
        </w:rPr>
        <w:t>Crit</w:t>
      </w:r>
      <w:proofErr w:type="spellEnd"/>
      <w:r w:rsidRPr="00F374D3">
        <w:rPr>
          <w:sz w:val="18"/>
          <w:szCs w:val="18"/>
        </w:rPr>
        <w:t xml:space="preserve"> Care 2002; 8: 509–514.</w:t>
      </w:r>
    </w:p>
    <w:p w:rsidR="00FF0FBA" w:rsidRPr="00F374D3" w:rsidRDefault="00FF0FBA" w:rsidP="00F374D3">
      <w:pPr>
        <w:pStyle w:val="ListParagraph"/>
        <w:numPr>
          <w:ilvl w:val="0"/>
          <w:numId w:val="30"/>
        </w:numPr>
        <w:spacing w:after="0" w:line="360" w:lineRule="auto"/>
        <w:jc w:val="both"/>
        <w:rPr>
          <w:sz w:val="18"/>
          <w:szCs w:val="18"/>
        </w:rPr>
      </w:pPr>
      <w:r w:rsidRPr="00F374D3">
        <w:rPr>
          <w:sz w:val="18"/>
          <w:szCs w:val="18"/>
        </w:rPr>
        <w:t xml:space="preserve">Uchino S, </w:t>
      </w:r>
      <w:proofErr w:type="spellStart"/>
      <w:r w:rsidRPr="00F374D3">
        <w:rPr>
          <w:sz w:val="18"/>
          <w:szCs w:val="18"/>
        </w:rPr>
        <w:t>Kellum</w:t>
      </w:r>
      <w:proofErr w:type="spellEnd"/>
      <w:r w:rsidRPr="00F374D3">
        <w:rPr>
          <w:sz w:val="18"/>
          <w:szCs w:val="18"/>
        </w:rPr>
        <w:t xml:space="preserve"> JA, </w:t>
      </w:r>
      <w:proofErr w:type="spellStart"/>
      <w:r w:rsidRPr="00F374D3">
        <w:rPr>
          <w:sz w:val="18"/>
          <w:szCs w:val="18"/>
        </w:rPr>
        <w:t>Bellomo</w:t>
      </w:r>
      <w:proofErr w:type="spellEnd"/>
      <w:r w:rsidRPr="00F374D3">
        <w:rPr>
          <w:sz w:val="18"/>
          <w:szCs w:val="18"/>
        </w:rPr>
        <w:t xml:space="preserve"> R, </w:t>
      </w:r>
      <w:proofErr w:type="spellStart"/>
      <w:r w:rsidRPr="00F374D3">
        <w:rPr>
          <w:sz w:val="18"/>
          <w:szCs w:val="18"/>
        </w:rPr>
        <w:t>Doig</w:t>
      </w:r>
      <w:proofErr w:type="spellEnd"/>
      <w:r w:rsidRPr="00F374D3">
        <w:rPr>
          <w:sz w:val="18"/>
          <w:szCs w:val="18"/>
        </w:rPr>
        <w:t xml:space="preserve"> GS, </w:t>
      </w:r>
      <w:proofErr w:type="spellStart"/>
      <w:r w:rsidRPr="00F374D3">
        <w:rPr>
          <w:sz w:val="18"/>
          <w:szCs w:val="18"/>
        </w:rPr>
        <w:t>Morimatsu</w:t>
      </w:r>
      <w:proofErr w:type="spellEnd"/>
      <w:r w:rsidRPr="00F374D3">
        <w:rPr>
          <w:sz w:val="18"/>
          <w:szCs w:val="18"/>
        </w:rPr>
        <w:t xml:space="preserve"> H, </w:t>
      </w:r>
      <w:proofErr w:type="spellStart"/>
      <w:r w:rsidRPr="00F374D3">
        <w:rPr>
          <w:sz w:val="18"/>
          <w:szCs w:val="18"/>
        </w:rPr>
        <w:t>Morgera</w:t>
      </w:r>
      <w:proofErr w:type="spellEnd"/>
      <w:r w:rsidRPr="00F374D3">
        <w:rPr>
          <w:sz w:val="18"/>
          <w:szCs w:val="18"/>
        </w:rPr>
        <w:t xml:space="preserve"> S et al. Acute renal failure in critically ill patients: a multinational, multicenter study. JAMA 2005; 294: 813–818.</w:t>
      </w:r>
    </w:p>
    <w:p w:rsidR="00FF0FBA" w:rsidRPr="00F374D3" w:rsidRDefault="00FF0FBA" w:rsidP="00F374D3">
      <w:pPr>
        <w:pStyle w:val="ListParagraph"/>
        <w:numPr>
          <w:ilvl w:val="0"/>
          <w:numId w:val="30"/>
        </w:numPr>
        <w:spacing w:after="0" w:line="360" w:lineRule="auto"/>
        <w:jc w:val="both"/>
        <w:rPr>
          <w:sz w:val="18"/>
          <w:szCs w:val="18"/>
        </w:rPr>
      </w:pPr>
      <w:proofErr w:type="spellStart"/>
      <w:r w:rsidRPr="00F374D3">
        <w:rPr>
          <w:sz w:val="18"/>
          <w:szCs w:val="18"/>
        </w:rPr>
        <w:t>Bellomo</w:t>
      </w:r>
      <w:proofErr w:type="spellEnd"/>
      <w:r w:rsidRPr="00F374D3">
        <w:rPr>
          <w:sz w:val="18"/>
          <w:szCs w:val="18"/>
        </w:rPr>
        <w:t xml:space="preserve"> R, </w:t>
      </w:r>
      <w:proofErr w:type="spellStart"/>
      <w:r w:rsidRPr="00F374D3">
        <w:rPr>
          <w:sz w:val="18"/>
          <w:szCs w:val="18"/>
        </w:rPr>
        <w:t>Kellum</w:t>
      </w:r>
      <w:proofErr w:type="spellEnd"/>
      <w:r w:rsidRPr="00F374D3">
        <w:rPr>
          <w:sz w:val="18"/>
          <w:szCs w:val="18"/>
        </w:rPr>
        <w:t xml:space="preserve"> J, </w:t>
      </w:r>
      <w:proofErr w:type="spellStart"/>
      <w:r w:rsidRPr="00F374D3">
        <w:rPr>
          <w:sz w:val="18"/>
          <w:szCs w:val="18"/>
        </w:rPr>
        <w:t>Ronco</w:t>
      </w:r>
      <w:proofErr w:type="spellEnd"/>
      <w:r w:rsidRPr="00F374D3">
        <w:rPr>
          <w:sz w:val="18"/>
          <w:szCs w:val="18"/>
        </w:rPr>
        <w:t xml:space="preserve"> C. Acute renal failure: time for consensus. Intensive Care Med 2001; 27: 1685–1688.</w:t>
      </w:r>
    </w:p>
    <w:p w:rsidR="00FF0FBA" w:rsidRPr="00F374D3" w:rsidRDefault="00FF0FBA" w:rsidP="00F374D3">
      <w:pPr>
        <w:pStyle w:val="ListParagraph"/>
        <w:numPr>
          <w:ilvl w:val="0"/>
          <w:numId w:val="30"/>
        </w:numPr>
        <w:spacing w:after="0" w:line="360" w:lineRule="auto"/>
        <w:jc w:val="both"/>
        <w:rPr>
          <w:sz w:val="18"/>
          <w:szCs w:val="18"/>
        </w:rPr>
      </w:pPr>
      <w:proofErr w:type="spellStart"/>
      <w:r w:rsidRPr="00F374D3">
        <w:rPr>
          <w:sz w:val="18"/>
          <w:szCs w:val="18"/>
        </w:rPr>
        <w:t>Bellomo</w:t>
      </w:r>
      <w:proofErr w:type="spellEnd"/>
      <w:r w:rsidRPr="00F374D3">
        <w:rPr>
          <w:sz w:val="18"/>
          <w:szCs w:val="18"/>
        </w:rPr>
        <w:t xml:space="preserve"> R, </w:t>
      </w:r>
      <w:proofErr w:type="spellStart"/>
      <w:r w:rsidRPr="00F374D3">
        <w:rPr>
          <w:sz w:val="18"/>
          <w:szCs w:val="18"/>
        </w:rPr>
        <w:t>Ronco</w:t>
      </w:r>
      <w:proofErr w:type="spellEnd"/>
      <w:r w:rsidRPr="00F374D3">
        <w:rPr>
          <w:sz w:val="18"/>
          <w:szCs w:val="18"/>
        </w:rPr>
        <w:t xml:space="preserve"> C, </w:t>
      </w:r>
      <w:proofErr w:type="spellStart"/>
      <w:r w:rsidRPr="00F374D3">
        <w:rPr>
          <w:sz w:val="18"/>
          <w:szCs w:val="18"/>
        </w:rPr>
        <w:t>Kellum</w:t>
      </w:r>
      <w:proofErr w:type="spellEnd"/>
      <w:r w:rsidRPr="00F374D3">
        <w:rPr>
          <w:sz w:val="18"/>
          <w:szCs w:val="18"/>
        </w:rPr>
        <w:t xml:space="preserve"> JA, Mehta RL, </w:t>
      </w:r>
      <w:proofErr w:type="spellStart"/>
      <w:r w:rsidRPr="00F374D3">
        <w:rPr>
          <w:sz w:val="18"/>
          <w:szCs w:val="18"/>
        </w:rPr>
        <w:t>Palevsky</w:t>
      </w:r>
      <w:proofErr w:type="spellEnd"/>
      <w:r w:rsidRPr="00F374D3">
        <w:rPr>
          <w:sz w:val="18"/>
          <w:szCs w:val="18"/>
        </w:rPr>
        <w:t xml:space="preserve"> P, ADQI workgroup. Acute renal failure - definition, outcome measures, animal models, fluid therapy and information technology needs: the Second International Consensus Conference of the Acute Dialysis Quality Initiative (ADQI) Group. </w:t>
      </w:r>
      <w:proofErr w:type="spellStart"/>
      <w:r w:rsidRPr="00F374D3">
        <w:rPr>
          <w:sz w:val="18"/>
          <w:szCs w:val="18"/>
        </w:rPr>
        <w:t>Crit</w:t>
      </w:r>
      <w:proofErr w:type="spellEnd"/>
      <w:r w:rsidRPr="00F374D3">
        <w:rPr>
          <w:sz w:val="18"/>
          <w:szCs w:val="18"/>
        </w:rPr>
        <w:t xml:space="preserve"> Care 2004; 8: R204–R212.</w:t>
      </w:r>
    </w:p>
    <w:p w:rsidR="00FF0FBA" w:rsidRPr="00F374D3" w:rsidRDefault="00FF0FBA" w:rsidP="00F374D3">
      <w:pPr>
        <w:pStyle w:val="ListParagraph"/>
        <w:numPr>
          <w:ilvl w:val="0"/>
          <w:numId w:val="30"/>
        </w:numPr>
        <w:spacing w:after="0" w:line="360" w:lineRule="auto"/>
        <w:jc w:val="both"/>
        <w:rPr>
          <w:sz w:val="18"/>
          <w:szCs w:val="18"/>
        </w:rPr>
      </w:pPr>
      <w:r w:rsidRPr="00F374D3">
        <w:rPr>
          <w:sz w:val="18"/>
          <w:szCs w:val="18"/>
        </w:rPr>
        <w:t xml:space="preserve">Mehta RL, </w:t>
      </w:r>
      <w:proofErr w:type="spellStart"/>
      <w:r w:rsidRPr="00F374D3">
        <w:rPr>
          <w:sz w:val="18"/>
          <w:szCs w:val="18"/>
        </w:rPr>
        <w:t>Kellum</w:t>
      </w:r>
      <w:proofErr w:type="spellEnd"/>
      <w:r w:rsidRPr="00F374D3">
        <w:rPr>
          <w:sz w:val="18"/>
          <w:szCs w:val="18"/>
        </w:rPr>
        <w:t xml:space="preserve"> JA, Shah SV, </w:t>
      </w:r>
      <w:proofErr w:type="spellStart"/>
      <w:r w:rsidRPr="00F374D3">
        <w:rPr>
          <w:sz w:val="18"/>
          <w:szCs w:val="18"/>
        </w:rPr>
        <w:t>Molitoris</w:t>
      </w:r>
      <w:proofErr w:type="spellEnd"/>
      <w:r w:rsidRPr="00F374D3">
        <w:rPr>
          <w:sz w:val="18"/>
          <w:szCs w:val="18"/>
        </w:rPr>
        <w:t xml:space="preserve"> BA, </w:t>
      </w:r>
      <w:proofErr w:type="spellStart"/>
      <w:r w:rsidRPr="00F374D3">
        <w:rPr>
          <w:sz w:val="18"/>
          <w:szCs w:val="18"/>
        </w:rPr>
        <w:t>Ronco</w:t>
      </w:r>
      <w:proofErr w:type="spellEnd"/>
      <w:r w:rsidRPr="00F374D3">
        <w:rPr>
          <w:sz w:val="18"/>
          <w:szCs w:val="18"/>
        </w:rPr>
        <w:t xml:space="preserve"> C, Warnock DG et al. Acute kidney injury network: report of an initiative to improve outcomes in acute kidney injury. </w:t>
      </w:r>
      <w:proofErr w:type="spellStart"/>
      <w:r w:rsidRPr="00F374D3">
        <w:rPr>
          <w:sz w:val="18"/>
          <w:szCs w:val="18"/>
        </w:rPr>
        <w:t>Crit</w:t>
      </w:r>
      <w:proofErr w:type="spellEnd"/>
      <w:r w:rsidRPr="00F374D3">
        <w:rPr>
          <w:sz w:val="18"/>
          <w:szCs w:val="18"/>
        </w:rPr>
        <w:t xml:space="preserve"> Care 2007; 11: R31.</w:t>
      </w:r>
    </w:p>
    <w:p w:rsidR="00FF0FBA" w:rsidRPr="00F374D3" w:rsidRDefault="00FF0FBA" w:rsidP="00F374D3">
      <w:pPr>
        <w:pStyle w:val="ListParagraph"/>
        <w:numPr>
          <w:ilvl w:val="0"/>
          <w:numId w:val="30"/>
        </w:numPr>
        <w:spacing w:after="0" w:line="360" w:lineRule="auto"/>
        <w:jc w:val="both"/>
        <w:rPr>
          <w:sz w:val="18"/>
          <w:szCs w:val="18"/>
        </w:rPr>
      </w:pPr>
      <w:proofErr w:type="spellStart"/>
      <w:r w:rsidRPr="00F374D3">
        <w:rPr>
          <w:sz w:val="18"/>
          <w:szCs w:val="18"/>
        </w:rPr>
        <w:t>Hoste</w:t>
      </w:r>
      <w:proofErr w:type="spellEnd"/>
      <w:r w:rsidRPr="00F374D3">
        <w:rPr>
          <w:sz w:val="18"/>
          <w:szCs w:val="18"/>
        </w:rPr>
        <w:t xml:space="preserve"> EA, </w:t>
      </w:r>
      <w:proofErr w:type="spellStart"/>
      <w:r w:rsidRPr="00F374D3">
        <w:rPr>
          <w:sz w:val="18"/>
          <w:szCs w:val="18"/>
        </w:rPr>
        <w:t>Kellum</w:t>
      </w:r>
      <w:proofErr w:type="spellEnd"/>
      <w:r w:rsidRPr="00F374D3">
        <w:rPr>
          <w:sz w:val="18"/>
          <w:szCs w:val="18"/>
        </w:rPr>
        <w:t xml:space="preserve"> JA. Acute kidney injury: epidemiology and diagnostic criteria. </w:t>
      </w:r>
      <w:proofErr w:type="spellStart"/>
      <w:r w:rsidRPr="00F374D3">
        <w:rPr>
          <w:sz w:val="18"/>
          <w:szCs w:val="18"/>
        </w:rPr>
        <w:t>CurrOpin</w:t>
      </w:r>
      <w:proofErr w:type="spellEnd"/>
      <w:r w:rsidRPr="00F374D3">
        <w:rPr>
          <w:sz w:val="18"/>
          <w:szCs w:val="18"/>
        </w:rPr>
        <w:t xml:space="preserve"> </w:t>
      </w:r>
      <w:proofErr w:type="spellStart"/>
      <w:r w:rsidRPr="00F374D3">
        <w:rPr>
          <w:sz w:val="18"/>
          <w:szCs w:val="18"/>
        </w:rPr>
        <w:t>Crit</w:t>
      </w:r>
      <w:proofErr w:type="spellEnd"/>
      <w:r w:rsidRPr="00F374D3">
        <w:rPr>
          <w:sz w:val="18"/>
          <w:szCs w:val="18"/>
        </w:rPr>
        <w:t xml:space="preserve"> Care 2006; 12: 531–537.</w:t>
      </w:r>
    </w:p>
    <w:p w:rsidR="00FF0FBA" w:rsidRPr="00F374D3" w:rsidRDefault="00FF0FBA" w:rsidP="00F374D3">
      <w:pPr>
        <w:pStyle w:val="ListParagraph"/>
        <w:numPr>
          <w:ilvl w:val="0"/>
          <w:numId w:val="30"/>
        </w:numPr>
        <w:spacing w:after="0" w:line="360" w:lineRule="auto"/>
        <w:jc w:val="both"/>
        <w:rPr>
          <w:sz w:val="18"/>
          <w:szCs w:val="18"/>
        </w:rPr>
      </w:pPr>
      <w:proofErr w:type="spellStart"/>
      <w:r w:rsidRPr="00F374D3">
        <w:rPr>
          <w:sz w:val="18"/>
          <w:szCs w:val="18"/>
        </w:rPr>
        <w:t>Bagshaw</w:t>
      </w:r>
      <w:proofErr w:type="spellEnd"/>
      <w:r w:rsidRPr="00F374D3">
        <w:rPr>
          <w:sz w:val="18"/>
          <w:szCs w:val="18"/>
        </w:rPr>
        <w:t xml:space="preserve"> SM, George C, </w:t>
      </w:r>
      <w:proofErr w:type="spellStart"/>
      <w:r w:rsidRPr="00F374D3">
        <w:rPr>
          <w:sz w:val="18"/>
          <w:szCs w:val="18"/>
        </w:rPr>
        <w:t>Bellomo</w:t>
      </w:r>
      <w:proofErr w:type="spellEnd"/>
      <w:r w:rsidRPr="00F374D3">
        <w:rPr>
          <w:sz w:val="18"/>
          <w:szCs w:val="18"/>
        </w:rPr>
        <w:t xml:space="preserve"> R, ANZICS Database Management Committee. A comparison of the RIFLE and </w:t>
      </w:r>
      <w:proofErr w:type="gramStart"/>
      <w:r w:rsidRPr="00F374D3">
        <w:rPr>
          <w:sz w:val="18"/>
          <w:szCs w:val="18"/>
        </w:rPr>
        <w:t>AKIN</w:t>
      </w:r>
      <w:proofErr w:type="gramEnd"/>
      <w:r w:rsidRPr="00F374D3">
        <w:rPr>
          <w:sz w:val="18"/>
          <w:szCs w:val="18"/>
        </w:rPr>
        <w:t xml:space="preserve"> criteria for acute kidney injury in critically ill patients. </w:t>
      </w:r>
      <w:proofErr w:type="spellStart"/>
      <w:r w:rsidRPr="00F374D3">
        <w:rPr>
          <w:sz w:val="18"/>
          <w:szCs w:val="18"/>
        </w:rPr>
        <w:t>Nephrol</w:t>
      </w:r>
      <w:proofErr w:type="spellEnd"/>
      <w:r w:rsidRPr="00F374D3">
        <w:rPr>
          <w:sz w:val="18"/>
          <w:szCs w:val="18"/>
        </w:rPr>
        <w:t xml:space="preserve"> Dial Transplant 2008; 23: 1569–1574.</w:t>
      </w:r>
    </w:p>
    <w:p w:rsidR="00EA4554" w:rsidRPr="00F374D3" w:rsidRDefault="00EA4554" w:rsidP="00F374D3">
      <w:pPr>
        <w:pStyle w:val="ListParagraph"/>
        <w:numPr>
          <w:ilvl w:val="0"/>
          <w:numId w:val="30"/>
        </w:numPr>
        <w:spacing w:after="0" w:line="360" w:lineRule="auto"/>
        <w:jc w:val="both"/>
        <w:rPr>
          <w:sz w:val="18"/>
          <w:szCs w:val="18"/>
        </w:rPr>
      </w:pPr>
      <w:r w:rsidRPr="00F374D3">
        <w:rPr>
          <w:sz w:val="18"/>
          <w:szCs w:val="18"/>
        </w:rPr>
        <w:lastRenderedPageBreak/>
        <w:t xml:space="preserve">Ali T, Khan I, Simpson W, Prescott G, </w:t>
      </w:r>
      <w:proofErr w:type="spellStart"/>
      <w:r w:rsidRPr="00F374D3">
        <w:rPr>
          <w:sz w:val="18"/>
          <w:szCs w:val="18"/>
        </w:rPr>
        <w:t>Townend</w:t>
      </w:r>
      <w:proofErr w:type="spellEnd"/>
      <w:r w:rsidRPr="00F374D3">
        <w:rPr>
          <w:sz w:val="18"/>
          <w:szCs w:val="18"/>
        </w:rPr>
        <w:t xml:space="preserve"> J, Smith W et al. Incidence and outcomes in acute kidney injury: a comprehensive population-based study. J Am </w:t>
      </w:r>
      <w:proofErr w:type="spellStart"/>
      <w:r w:rsidRPr="00F374D3">
        <w:rPr>
          <w:sz w:val="18"/>
          <w:szCs w:val="18"/>
        </w:rPr>
        <w:t>Soc</w:t>
      </w:r>
      <w:proofErr w:type="spellEnd"/>
      <w:r w:rsidRPr="00F374D3">
        <w:rPr>
          <w:sz w:val="18"/>
          <w:szCs w:val="18"/>
        </w:rPr>
        <w:t xml:space="preserve"> </w:t>
      </w:r>
      <w:proofErr w:type="spellStart"/>
      <w:r w:rsidRPr="00F374D3">
        <w:rPr>
          <w:sz w:val="18"/>
          <w:szCs w:val="18"/>
        </w:rPr>
        <w:t>Nephrol</w:t>
      </w:r>
      <w:proofErr w:type="spellEnd"/>
      <w:r w:rsidRPr="00F374D3">
        <w:rPr>
          <w:sz w:val="18"/>
          <w:szCs w:val="18"/>
        </w:rPr>
        <w:t xml:space="preserve"> 2007; 18: 1292–1298.</w:t>
      </w:r>
    </w:p>
    <w:p w:rsidR="00FF0FBA" w:rsidRPr="00F374D3" w:rsidRDefault="00471C13" w:rsidP="00F374D3">
      <w:pPr>
        <w:pStyle w:val="ListParagraph"/>
        <w:numPr>
          <w:ilvl w:val="0"/>
          <w:numId w:val="30"/>
        </w:numPr>
        <w:autoSpaceDE w:val="0"/>
        <w:autoSpaceDN w:val="0"/>
        <w:adjustRightInd w:val="0"/>
        <w:spacing w:after="0" w:line="360" w:lineRule="auto"/>
        <w:jc w:val="both"/>
        <w:rPr>
          <w:color w:val="231F20"/>
          <w:sz w:val="18"/>
          <w:szCs w:val="18"/>
        </w:rPr>
      </w:pPr>
      <w:r w:rsidRPr="00F374D3">
        <w:rPr>
          <w:color w:val="231F20"/>
          <w:sz w:val="18"/>
          <w:szCs w:val="18"/>
        </w:rPr>
        <w:t>National Kidney Foundation. K/DOQI clinical practice guidelines for chronic kidney disease: evaluation, classification, and stratification. Am J Kidney Dis 2002; 39: S1–266.</w:t>
      </w:r>
    </w:p>
    <w:p w:rsidR="001B0AE5" w:rsidRPr="00F374D3" w:rsidRDefault="001B0AE5" w:rsidP="00F374D3">
      <w:pPr>
        <w:pStyle w:val="ListParagraph"/>
        <w:numPr>
          <w:ilvl w:val="0"/>
          <w:numId w:val="30"/>
        </w:numPr>
        <w:autoSpaceDE w:val="0"/>
        <w:autoSpaceDN w:val="0"/>
        <w:adjustRightInd w:val="0"/>
        <w:spacing w:after="0" w:line="360" w:lineRule="auto"/>
        <w:jc w:val="both"/>
        <w:rPr>
          <w:sz w:val="18"/>
          <w:szCs w:val="18"/>
        </w:rPr>
      </w:pPr>
      <w:proofErr w:type="spellStart"/>
      <w:r w:rsidRPr="00F374D3">
        <w:rPr>
          <w:sz w:val="18"/>
          <w:szCs w:val="18"/>
        </w:rPr>
        <w:t>Schiffl</w:t>
      </w:r>
      <w:proofErr w:type="spellEnd"/>
      <w:r w:rsidRPr="00F374D3">
        <w:rPr>
          <w:sz w:val="18"/>
          <w:szCs w:val="18"/>
        </w:rPr>
        <w:t xml:space="preserve"> H, Fischer R. Five-year outcomes of severe acute kidney injury requiring renal replacement therapy. </w:t>
      </w:r>
      <w:proofErr w:type="spellStart"/>
      <w:r w:rsidRPr="00F374D3">
        <w:rPr>
          <w:iCs/>
          <w:sz w:val="18"/>
          <w:szCs w:val="18"/>
        </w:rPr>
        <w:t>Nephrol</w:t>
      </w:r>
      <w:proofErr w:type="spellEnd"/>
      <w:r w:rsidRPr="00F374D3">
        <w:rPr>
          <w:iCs/>
          <w:sz w:val="18"/>
          <w:szCs w:val="18"/>
        </w:rPr>
        <w:t xml:space="preserve"> Dial Transplant</w:t>
      </w:r>
      <w:r w:rsidRPr="00F374D3">
        <w:rPr>
          <w:i/>
          <w:iCs/>
          <w:sz w:val="18"/>
          <w:szCs w:val="18"/>
        </w:rPr>
        <w:t xml:space="preserve"> </w:t>
      </w:r>
      <w:r w:rsidRPr="00F374D3">
        <w:rPr>
          <w:sz w:val="18"/>
          <w:szCs w:val="18"/>
        </w:rPr>
        <w:t>2008; 23: 2235-2241.</w:t>
      </w:r>
    </w:p>
    <w:p w:rsidR="00065F92" w:rsidRDefault="00065F92" w:rsidP="00065F92">
      <w:pPr>
        <w:spacing w:after="0" w:line="480" w:lineRule="auto"/>
        <w:jc w:val="both"/>
        <w:rPr>
          <w:sz w:val="24"/>
          <w:szCs w:val="24"/>
        </w:rPr>
      </w:pPr>
    </w:p>
    <w:p w:rsidR="00F54AA8" w:rsidRDefault="00F54AA8" w:rsidP="00F54AA8">
      <w:pPr>
        <w:pStyle w:val="ListParagraph"/>
        <w:spacing w:after="0" w:line="480" w:lineRule="auto"/>
        <w:jc w:val="both"/>
        <w:rPr>
          <w:bCs/>
          <w:sz w:val="18"/>
          <w:szCs w:val="18"/>
        </w:rPr>
      </w:pPr>
    </w:p>
    <w:p w:rsidR="00F54AA8" w:rsidRPr="00DF45E0" w:rsidRDefault="00F54AA8" w:rsidP="00F54AA8">
      <w:pPr>
        <w:spacing w:after="0" w:line="240" w:lineRule="auto"/>
        <w:ind w:left="737"/>
        <w:rPr>
          <w:rFonts w:ascii="Times New Roman" w:eastAsia="Times New Roman" w:hAnsi="Times New Roman" w:cs="Times New Roman"/>
          <w:sz w:val="18"/>
          <w:szCs w:val="18"/>
        </w:rPr>
      </w:pPr>
      <w:r>
        <w:rPr>
          <w:rFonts w:ascii="Times New Roman" w:eastAsia="Times New Roman" w:hAnsi="Times New Roman" w:cs="Times New Roman"/>
          <w:sz w:val="18"/>
          <w:szCs w:val="18"/>
        </w:rPr>
        <w:t>Date of Submission: 21</w:t>
      </w:r>
      <w:r w:rsidRPr="00DF45E0">
        <w:rPr>
          <w:rFonts w:ascii="Times New Roman" w:eastAsia="Times New Roman" w:hAnsi="Times New Roman" w:cs="Times New Roman"/>
          <w:sz w:val="18"/>
          <w:szCs w:val="18"/>
        </w:rPr>
        <w:t xml:space="preserve">Aug 2020                           </w:t>
      </w:r>
      <w:r>
        <w:rPr>
          <w:rFonts w:ascii="Times New Roman" w:eastAsia="Times New Roman" w:hAnsi="Times New Roman" w:cs="Times New Roman"/>
          <w:sz w:val="18"/>
          <w:szCs w:val="18"/>
        </w:rPr>
        <w:t xml:space="preserve"> </w:t>
      </w:r>
      <w:r w:rsidRPr="00DF45E0">
        <w:rPr>
          <w:rFonts w:ascii="Times New Roman" w:eastAsia="Times New Roman" w:hAnsi="Times New Roman" w:cs="Times New Roman"/>
          <w:sz w:val="18"/>
          <w:szCs w:val="18"/>
        </w:rPr>
        <w:t xml:space="preserve">Date of Publishing: 30 September 2020 </w:t>
      </w:r>
    </w:p>
    <w:p w:rsidR="00F54AA8" w:rsidRPr="00DF45E0" w:rsidRDefault="00F54AA8" w:rsidP="00F54AA8">
      <w:pPr>
        <w:spacing w:after="0"/>
        <w:ind w:left="737"/>
        <w:rPr>
          <w:rFonts w:ascii="Times New Roman" w:eastAsia="Times New Roman" w:hAnsi="Times New Roman" w:cs="Times New Roman"/>
          <w:sz w:val="18"/>
          <w:szCs w:val="18"/>
        </w:rPr>
      </w:pPr>
      <w:r w:rsidRPr="00DF45E0">
        <w:rPr>
          <w:rFonts w:ascii="Times New Roman" w:eastAsia="Times New Roman" w:hAnsi="Times New Roman" w:cs="Times New Roman"/>
          <w:sz w:val="18"/>
          <w:szCs w:val="18"/>
        </w:rPr>
        <w:t xml:space="preserve">Author Declaration:  Source of support: Nil,           Conflict of interest: Nil </w:t>
      </w:r>
    </w:p>
    <w:p w:rsidR="00F54AA8" w:rsidRPr="00DF45E0" w:rsidRDefault="00F54AA8" w:rsidP="00F54AA8">
      <w:pPr>
        <w:spacing w:after="0"/>
        <w:ind w:left="737"/>
        <w:rPr>
          <w:rFonts w:ascii="Times New Roman" w:eastAsia="Times New Roman" w:hAnsi="Times New Roman" w:cs="Times New Roman"/>
          <w:sz w:val="18"/>
          <w:szCs w:val="18"/>
        </w:rPr>
      </w:pPr>
      <w:r w:rsidRPr="00DF45E0">
        <w:rPr>
          <w:rFonts w:ascii="Times New Roman" w:eastAsia="Times New Roman" w:hAnsi="Times New Roman" w:cs="Times New Roman"/>
          <w:sz w:val="18"/>
          <w:szCs w:val="18"/>
        </w:rPr>
        <w:t xml:space="preserve"> Ethics Committee Approv</w:t>
      </w:r>
      <w:r>
        <w:rPr>
          <w:rFonts w:ascii="Times New Roman" w:eastAsia="Times New Roman" w:hAnsi="Times New Roman" w:cs="Times New Roman"/>
          <w:sz w:val="18"/>
          <w:szCs w:val="18"/>
        </w:rPr>
        <w:t>al obtained for this study?  YES</w:t>
      </w:r>
    </w:p>
    <w:p w:rsidR="00F54AA8" w:rsidRPr="00DF45E0" w:rsidRDefault="00F54AA8" w:rsidP="00F54AA8">
      <w:pPr>
        <w:spacing w:after="0"/>
        <w:ind w:left="737"/>
        <w:rPr>
          <w:rFonts w:ascii="Times New Roman" w:eastAsia="Times New Roman" w:hAnsi="Times New Roman" w:cs="Times New Roman"/>
          <w:sz w:val="18"/>
          <w:szCs w:val="18"/>
        </w:rPr>
      </w:pPr>
      <w:r w:rsidRPr="00DF45E0">
        <w:rPr>
          <w:rFonts w:ascii="Times New Roman" w:eastAsia="Times New Roman" w:hAnsi="Times New Roman" w:cs="Times New Roman"/>
          <w:sz w:val="18"/>
          <w:szCs w:val="18"/>
        </w:rPr>
        <w:t>Was informed consent obtained from the subjects involved in the study?  YES</w:t>
      </w:r>
    </w:p>
    <w:p w:rsidR="00F54AA8" w:rsidRPr="00DF45E0" w:rsidRDefault="00F54AA8" w:rsidP="00F54AA8">
      <w:pPr>
        <w:spacing w:after="0"/>
        <w:ind w:left="737"/>
        <w:rPr>
          <w:rFonts w:ascii="Times New Roman" w:eastAsia="Times New Roman" w:hAnsi="Times New Roman" w:cs="Times New Roman"/>
          <w:sz w:val="18"/>
          <w:szCs w:val="18"/>
        </w:rPr>
      </w:pPr>
      <w:r w:rsidRPr="00DF45E0">
        <w:rPr>
          <w:rFonts w:ascii="Times New Roman" w:eastAsia="Times New Roman" w:hAnsi="Times New Roman" w:cs="Times New Roman"/>
          <w:sz w:val="18"/>
          <w:szCs w:val="18"/>
        </w:rPr>
        <w:t xml:space="preserve">For any images presented appropriate consent has been obtained from the subjects:  YES </w:t>
      </w:r>
    </w:p>
    <w:p w:rsidR="00F54AA8" w:rsidRPr="00DF45E0" w:rsidRDefault="00F54AA8" w:rsidP="00F54AA8">
      <w:pPr>
        <w:spacing w:after="0"/>
        <w:ind w:left="737"/>
        <w:rPr>
          <w:rFonts w:ascii="Times New Roman" w:eastAsia="Times New Roman" w:hAnsi="Times New Roman" w:cs="Times New Roman"/>
          <w:sz w:val="18"/>
          <w:szCs w:val="18"/>
        </w:rPr>
      </w:pPr>
      <w:r>
        <w:rPr>
          <w:rFonts w:ascii="Times New Roman" w:eastAsia="Times New Roman" w:hAnsi="Times New Roman" w:cs="Times New Roman"/>
          <w:sz w:val="18"/>
          <w:szCs w:val="18"/>
        </w:rPr>
        <w:t>Plagiarism Checked: Using duplichecker.com</w:t>
      </w:r>
    </w:p>
    <w:p w:rsidR="00F54AA8" w:rsidRPr="00DF45E0" w:rsidRDefault="00F54AA8" w:rsidP="00F54AA8">
      <w:pPr>
        <w:spacing w:after="0"/>
        <w:ind w:left="737"/>
        <w:rPr>
          <w:rFonts w:ascii="Times New Roman" w:eastAsia="Times New Roman" w:hAnsi="Times New Roman" w:cs="Times New Roman"/>
          <w:sz w:val="18"/>
          <w:szCs w:val="18"/>
        </w:rPr>
      </w:pPr>
      <w:r w:rsidRPr="00DF45E0">
        <w:rPr>
          <w:rFonts w:ascii="Times New Roman" w:eastAsia="Times New Roman" w:hAnsi="Times New Roman" w:cs="Times New Roman"/>
          <w:sz w:val="18"/>
          <w:szCs w:val="18"/>
        </w:rPr>
        <w:t>Author work published under a Creative Commons Attribution 4.0 International License</w:t>
      </w:r>
    </w:p>
    <w:p w:rsidR="00F54AA8" w:rsidRPr="00DF45E0" w:rsidRDefault="00F54AA8" w:rsidP="00F54AA8">
      <w:pPr>
        <w:spacing w:after="0"/>
        <w:ind w:left="737"/>
        <w:rPr>
          <w:rFonts w:ascii="Times New Roman" w:eastAsia="Times New Roman" w:hAnsi="Times New Roman" w:cs="Times New Roman"/>
          <w:sz w:val="18"/>
          <w:szCs w:val="18"/>
        </w:rPr>
      </w:pPr>
      <w:r w:rsidRPr="00DF45E0">
        <w:rPr>
          <w:rFonts w:ascii="Times New Roman" w:eastAsia="Times New Roman" w:hAnsi="Times New Roman" w:cs="Times New Roman"/>
          <w:sz w:val="18"/>
          <w:szCs w:val="18"/>
        </w:rPr>
        <w:t xml:space="preserve"> </w:t>
      </w:r>
    </w:p>
    <w:p w:rsidR="00F54AA8" w:rsidRPr="00DF45E0" w:rsidRDefault="00F54AA8" w:rsidP="00F54AA8">
      <w:pPr>
        <w:spacing w:after="0"/>
        <w:ind w:left="737"/>
        <w:rPr>
          <w:rFonts w:ascii="Times New Roman" w:eastAsia="Times New Roman" w:hAnsi="Times New Roman" w:cs="Times New Roman"/>
          <w:sz w:val="18"/>
          <w:szCs w:val="18"/>
        </w:rPr>
      </w:pPr>
      <w:r w:rsidRPr="00DF45E0">
        <w:rPr>
          <w:rFonts w:ascii="Times New Roman" w:eastAsia="Times New Roman" w:hAnsi="Times New Roman" w:cs="Times New Roman"/>
          <w:sz w:val="18"/>
          <w:szCs w:val="18"/>
        </w:rPr>
        <w:t xml:space="preserve"> </w:t>
      </w:r>
      <w:r>
        <w:rPr>
          <w:rFonts w:ascii="Times New Roman" w:eastAsia="Times New Roman" w:hAnsi="Times New Roman" w:cs="Times New Roman"/>
          <w:noProof/>
          <w:sz w:val="18"/>
          <w:szCs w:val="18"/>
        </w:rPr>
        <w:drawing>
          <wp:inline distT="0" distB="0" distL="0" distR="0">
            <wp:extent cx="777240" cy="586740"/>
            <wp:effectExtent l="0" t="0" r="3810" b="3810"/>
            <wp:docPr id="2" name="Picture 2"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tayade\Desktop\Screen-Shot-2018-01-09-at-2.32.41-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586740"/>
                    </a:xfrm>
                    <a:prstGeom prst="rect">
                      <a:avLst/>
                    </a:prstGeom>
                    <a:noFill/>
                    <a:ln>
                      <a:noFill/>
                    </a:ln>
                  </pic:spPr>
                </pic:pic>
              </a:graphicData>
            </a:graphic>
          </wp:inline>
        </w:drawing>
      </w:r>
    </w:p>
    <w:p w:rsidR="00F54AA8" w:rsidRPr="00CD5789" w:rsidRDefault="00F54AA8" w:rsidP="00F54AA8">
      <w:pPr>
        <w:spacing w:after="0"/>
        <w:ind w:left="737"/>
        <w:rPr>
          <w:rFonts w:ascii="Times New Roman" w:hAnsi="Times New Roman" w:cs="Times New Roman"/>
          <w:sz w:val="20"/>
          <w:szCs w:val="20"/>
        </w:rPr>
      </w:pPr>
      <w:r w:rsidRPr="00DF45E0">
        <w:rPr>
          <w:rFonts w:ascii="Times New Roman" w:eastAsia="Times New Roman" w:hAnsi="Times New Roman" w:cs="Times New Roman"/>
          <w:sz w:val="18"/>
          <w:szCs w:val="18"/>
        </w:rPr>
        <w:t xml:space="preserve"> DOI: </w:t>
      </w:r>
      <w:r>
        <w:rPr>
          <w:rFonts w:ascii="Times New Roman" w:eastAsia="Times New Roman" w:hAnsi="Times New Roman" w:cs="Times New Roman"/>
          <w:sz w:val="18"/>
          <w:szCs w:val="18"/>
        </w:rPr>
        <w:t>10.36848/IJBAMR/2020/18215.56122</w:t>
      </w:r>
    </w:p>
    <w:p w:rsidR="00F54AA8" w:rsidRPr="00DF45E0" w:rsidRDefault="00F54AA8" w:rsidP="00F54AA8">
      <w:pPr>
        <w:pStyle w:val="ListParagraph"/>
        <w:spacing w:after="0" w:line="480" w:lineRule="auto"/>
        <w:ind w:left="737"/>
        <w:jc w:val="both"/>
        <w:rPr>
          <w:sz w:val="18"/>
          <w:szCs w:val="18"/>
        </w:rPr>
      </w:pPr>
    </w:p>
    <w:p w:rsidR="00F54AA8" w:rsidRDefault="00F54AA8" w:rsidP="00065F92">
      <w:pPr>
        <w:spacing w:after="0" w:line="480" w:lineRule="auto"/>
        <w:jc w:val="both"/>
        <w:rPr>
          <w:sz w:val="24"/>
          <w:szCs w:val="24"/>
        </w:rPr>
      </w:pPr>
    </w:p>
    <w:sectPr w:rsidR="00F54AA8" w:rsidSect="00F54AA8">
      <w:headerReference w:type="default" r:id="rId9"/>
      <w:footerReference w:type="default" r:id="rId10"/>
      <w:pgSz w:w="12240" w:h="15840"/>
      <w:pgMar w:top="1440" w:right="1440" w:bottom="1440" w:left="1440" w:header="708" w:footer="708" w:gutter="0"/>
      <w:pgNumType w:start="3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354" w:rsidRDefault="00805354" w:rsidP="00F54AA8">
      <w:pPr>
        <w:spacing w:after="0" w:line="240" w:lineRule="auto"/>
      </w:pPr>
      <w:r>
        <w:separator/>
      </w:r>
    </w:p>
  </w:endnote>
  <w:endnote w:type="continuationSeparator" w:id="0">
    <w:p w:rsidR="00805354" w:rsidRDefault="00805354" w:rsidP="00F5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F54AA8">
      <w:trPr>
        <w:trHeight w:val="360"/>
      </w:trPr>
      <w:tc>
        <w:tcPr>
          <w:tcW w:w="3500" w:type="pct"/>
        </w:tcPr>
        <w:p w:rsidR="00F54AA8" w:rsidRDefault="00F54AA8">
          <w:pPr>
            <w:pStyle w:val="Footer"/>
            <w:jc w:val="right"/>
          </w:pPr>
          <w:r w:rsidRPr="00F54AA8">
            <w:t>www.ijbamr.com   P ISSN: 2250-284X, E ISSN: 2250-2858</w:t>
          </w:r>
        </w:p>
      </w:tc>
      <w:tc>
        <w:tcPr>
          <w:tcW w:w="1500" w:type="pct"/>
          <w:shd w:val="clear" w:color="auto" w:fill="8064A2" w:themeFill="accent4"/>
        </w:tcPr>
        <w:p w:rsidR="00F54AA8" w:rsidRDefault="00F54AA8">
          <w:pPr>
            <w:pStyle w:val="Footer"/>
            <w:jc w:val="right"/>
            <w:rPr>
              <w:color w:val="FFFFFF" w:themeColor="background1"/>
            </w:rPr>
          </w:pPr>
          <w:r>
            <w:fldChar w:fldCharType="begin"/>
          </w:r>
          <w:r>
            <w:instrText xml:space="preserve"> PAGE    \* MERGEFORMAT </w:instrText>
          </w:r>
          <w:r>
            <w:fldChar w:fldCharType="separate"/>
          </w:r>
          <w:r w:rsidRPr="00F54AA8">
            <w:rPr>
              <w:noProof/>
              <w:color w:val="FFFFFF" w:themeColor="background1"/>
            </w:rPr>
            <w:t>354</w:t>
          </w:r>
          <w:r>
            <w:rPr>
              <w:noProof/>
              <w:color w:val="FFFFFF" w:themeColor="background1"/>
            </w:rPr>
            <w:fldChar w:fldCharType="end"/>
          </w:r>
        </w:p>
      </w:tc>
    </w:tr>
  </w:tbl>
  <w:p w:rsidR="00F54AA8" w:rsidRDefault="00F54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354" w:rsidRDefault="00805354" w:rsidP="00F54AA8">
      <w:pPr>
        <w:spacing w:after="0" w:line="240" w:lineRule="auto"/>
      </w:pPr>
      <w:r>
        <w:separator/>
      </w:r>
    </w:p>
  </w:footnote>
  <w:footnote w:type="continuationSeparator" w:id="0">
    <w:p w:rsidR="00805354" w:rsidRDefault="00805354" w:rsidP="00F54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A8" w:rsidRDefault="00F54AA8" w:rsidP="00F54AA8">
    <w:pPr>
      <w:pStyle w:val="Header"/>
    </w:pPr>
    <w:r>
      <w:t>Indian Journal of Basic and Applied Medical Research; September 2020</w:t>
    </w:r>
    <w:r>
      <w:t>: Vol.-9, Issue- 4, P. 344 - 354</w:t>
    </w:r>
  </w:p>
  <w:p w:rsidR="00F54AA8" w:rsidRDefault="00F54AA8">
    <w:pPr>
      <w:pStyle w:val="Header"/>
    </w:pPr>
    <w:r w:rsidRPr="00F54AA8">
      <w:t>DOI: 10.36848/IJBAMR/2020/18215.56122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03F5"/>
    <w:multiLevelType w:val="hybridMultilevel"/>
    <w:tmpl w:val="F632A14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7F43F3C"/>
    <w:multiLevelType w:val="hybridMultilevel"/>
    <w:tmpl w:val="7666AFF6"/>
    <w:lvl w:ilvl="0" w:tplc="F27864DE">
      <w:start w:val="1"/>
      <w:numFmt w:val="bullet"/>
      <w:lvlText w:val=""/>
      <w:lvlJc w:val="left"/>
      <w:pPr>
        <w:ind w:left="502" w:hanging="360"/>
      </w:pPr>
      <w:rPr>
        <w:rFonts w:ascii="Symbol" w:hAnsi="Symbol"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DF16F7"/>
    <w:multiLevelType w:val="hybridMultilevel"/>
    <w:tmpl w:val="BF8ABF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D91372D"/>
    <w:multiLevelType w:val="hybridMultilevel"/>
    <w:tmpl w:val="E1CA8B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F5C7E91"/>
    <w:multiLevelType w:val="hybridMultilevel"/>
    <w:tmpl w:val="0CEC14E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98B1025"/>
    <w:multiLevelType w:val="hybridMultilevel"/>
    <w:tmpl w:val="305A7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12A5B"/>
    <w:multiLevelType w:val="hybridMultilevel"/>
    <w:tmpl w:val="100E4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72754"/>
    <w:multiLevelType w:val="hybridMultilevel"/>
    <w:tmpl w:val="F19ECE34"/>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D2D7829"/>
    <w:multiLevelType w:val="hybridMultilevel"/>
    <w:tmpl w:val="382E9D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1545294"/>
    <w:multiLevelType w:val="hybridMultilevel"/>
    <w:tmpl w:val="601C9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3794D"/>
    <w:multiLevelType w:val="hybridMultilevel"/>
    <w:tmpl w:val="A86A9B6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8E688C"/>
    <w:multiLevelType w:val="hybridMultilevel"/>
    <w:tmpl w:val="230601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2047A7B"/>
    <w:multiLevelType w:val="hybridMultilevel"/>
    <w:tmpl w:val="7B1AF802"/>
    <w:lvl w:ilvl="0" w:tplc="28F0DD1A">
      <w:start w:val="1"/>
      <w:numFmt w:val="bullet"/>
      <w:lvlText w:val=""/>
      <w:lvlJc w:val="left"/>
      <w:pPr>
        <w:ind w:left="502"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638470F"/>
    <w:multiLevelType w:val="hybridMultilevel"/>
    <w:tmpl w:val="C136D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9E09C8"/>
    <w:multiLevelType w:val="hybridMultilevel"/>
    <w:tmpl w:val="133E70A8"/>
    <w:lvl w:ilvl="0" w:tplc="5DB8E336">
      <w:start w:val="1"/>
      <w:numFmt w:val="bullet"/>
      <w:lvlText w:val=""/>
      <w:lvlJc w:val="left"/>
      <w:pPr>
        <w:ind w:left="502" w:hanging="360"/>
      </w:pPr>
      <w:rPr>
        <w:rFonts w:ascii="Symbol" w:hAnsi="Symbol" w:hint="default"/>
        <w:sz w:val="4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9F23CB8"/>
    <w:multiLevelType w:val="hybridMultilevel"/>
    <w:tmpl w:val="1DF00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3D3447"/>
    <w:multiLevelType w:val="hybridMultilevel"/>
    <w:tmpl w:val="75F81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9C2D6A"/>
    <w:multiLevelType w:val="hybridMultilevel"/>
    <w:tmpl w:val="EA56990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2DA67C2"/>
    <w:multiLevelType w:val="hybridMultilevel"/>
    <w:tmpl w:val="9B1C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22749"/>
    <w:multiLevelType w:val="hybridMultilevel"/>
    <w:tmpl w:val="8B8E6FC8"/>
    <w:lvl w:ilvl="0" w:tplc="5DB8E336">
      <w:start w:val="1"/>
      <w:numFmt w:val="bullet"/>
      <w:lvlText w:val=""/>
      <w:lvlJc w:val="left"/>
      <w:pPr>
        <w:ind w:left="502" w:hanging="360"/>
      </w:pPr>
      <w:rPr>
        <w:rFonts w:ascii="Symbol" w:hAnsi="Symbol" w:hint="default"/>
        <w:sz w:val="4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33675A5"/>
    <w:multiLevelType w:val="hybridMultilevel"/>
    <w:tmpl w:val="11FA1F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6874D28"/>
    <w:multiLevelType w:val="hybridMultilevel"/>
    <w:tmpl w:val="082E18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B73265B"/>
    <w:multiLevelType w:val="hybridMultilevel"/>
    <w:tmpl w:val="47063190"/>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5CB43141"/>
    <w:multiLevelType w:val="hybridMultilevel"/>
    <w:tmpl w:val="71229C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D636C15"/>
    <w:multiLevelType w:val="hybridMultilevel"/>
    <w:tmpl w:val="7DDE511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6607723C"/>
    <w:multiLevelType w:val="hybridMultilevel"/>
    <w:tmpl w:val="11FA1F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75455D9"/>
    <w:multiLevelType w:val="hybridMultilevel"/>
    <w:tmpl w:val="36BC28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89147CA"/>
    <w:multiLevelType w:val="hybridMultilevel"/>
    <w:tmpl w:val="367A5F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E230F08"/>
    <w:multiLevelType w:val="hybridMultilevel"/>
    <w:tmpl w:val="F162ECC2"/>
    <w:lvl w:ilvl="0" w:tplc="4009000B">
      <w:start w:val="1"/>
      <w:numFmt w:val="bullet"/>
      <w:lvlText w:val=""/>
      <w:lvlJc w:val="left"/>
      <w:pPr>
        <w:ind w:left="1222" w:hanging="360"/>
      </w:pPr>
      <w:rPr>
        <w:rFonts w:ascii="Wingdings" w:hAnsi="Wingdings" w:hint="default"/>
      </w:r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29">
    <w:nsid w:val="6E4C3840"/>
    <w:multiLevelType w:val="hybridMultilevel"/>
    <w:tmpl w:val="75C81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8243D8"/>
    <w:multiLevelType w:val="hybridMultilevel"/>
    <w:tmpl w:val="0CEC14E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7EF12DFF"/>
    <w:multiLevelType w:val="hybridMultilevel"/>
    <w:tmpl w:val="8EDA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7"/>
  </w:num>
  <w:num w:numId="4">
    <w:abstractNumId w:val="8"/>
  </w:num>
  <w:num w:numId="5">
    <w:abstractNumId w:val="26"/>
  </w:num>
  <w:num w:numId="6">
    <w:abstractNumId w:val="10"/>
  </w:num>
  <w:num w:numId="7">
    <w:abstractNumId w:val="16"/>
  </w:num>
  <w:num w:numId="8">
    <w:abstractNumId w:val="14"/>
  </w:num>
  <w:num w:numId="9">
    <w:abstractNumId w:val="19"/>
  </w:num>
  <w:num w:numId="10">
    <w:abstractNumId w:val="12"/>
  </w:num>
  <w:num w:numId="11">
    <w:abstractNumId w:val="1"/>
  </w:num>
  <w:num w:numId="12">
    <w:abstractNumId w:val="28"/>
  </w:num>
  <w:num w:numId="13">
    <w:abstractNumId w:val="17"/>
  </w:num>
  <w:num w:numId="14">
    <w:abstractNumId w:val="20"/>
  </w:num>
  <w:num w:numId="15">
    <w:abstractNumId w:val="11"/>
  </w:num>
  <w:num w:numId="16">
    <w:abstractNumId w:val="4"/>
  </w:num>
  <w:num w:numId="17">
    <w:abstractNumId w:val="3"/>
  </w:num>
  <w:num w:numId="18">
    <w:abstractNumId w:val="24"/>
  </w:num>
  <w:num w:numId="19">
    <w:abstractNumId w:val="23"/>
  </w:num>
  <w:num w:numId="20">
    <w:abstractNumId w:val="22"/>
  </w:num>
  <w:num w:numId="21">
    <w:abstractNumId w:val="25"/>
  </w:num>
  <w:num w:numId="22">
    <w:abstractNumId w:val="30"/>
  </w:num>
  <w:num w:numId="23">
    <w:abstractNumId w:val="7"/>
  </w:num>
  <w:num w:numId="24">
    <w:abstractNumId w:val="2"/>
  </w:num>
  <w:num w:numId="25">
    <w:abstractNumId w:val="0"/>
  </w:num>
  <w:num w:numId="26">
    <w:abstractNumId w:val="21"/>
  </w:num>
  <w:num w:numId="27">
    <w:abstractNumId w:val="15"/>
  </w:num>
  <w:num w:numId="28">
    <w:abstractNumId w:val="6"/>
  </w:num>
  <w:num w:numId="29">
    <w:abstractNumId w:val="13"/>
  </w:num>
  <w:num w:numId="30">
    <w:abstractNumId w:val="29"/>
  </w:num>
  <w:num w:numId="31">
    <w:abstractNumId w:val="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24"/>
    <w:rsid w:val="00065F92"/>
    <w:rsid w:val="000C25C3"/>
    <w:rsid w:val="001178A4"/>
    <w:rsid w:val="00127A07"/>
    <w:rsid w:val="00137C60"/>
    <w:rsid w:val="001B0AE5"/>
    <w:rsid w:val="00251DC9"/>
    <w:rsid w:val="002F7824"/>
    <w:rsid w:val="00381C95"/>
    <w:rsid w:val="003B4A47"/>
    <w:rsid w:val="00471C13"/>
    <w:rsid w:val="005564EA"/>
    <w:rsid w:val="005D0579"/>
    <w:rsid w:val="0065748A"/>
    <w:rsid w:val="007B5DC3"/>
    <w:rsid w:val="00805354"/>
    <w:rsid w:val="008B0395"/>
    <w:rsid w:val="009C52E9"/>
    <w:rsid w:val="00A83D62"/>
    <w:rsid w:val="00B61870"/>
    <w:rsid w:val="00B8045E"/>
    <w:rsid w:val="00BA2EF9"/>
    <w:rsid w:val="00BB03EC"/>
    <w:rsid w:val="00BD07CC"/>
    <w:rsid w:val="00D13186"/>
    <w:rsid w:val="00E63DD5"/>
    <w:rsid w:val="00EA4554"/>
    <w:rsid w:val="00F374D3"/>
    <w:rsid w:val="00F54AA8"/>
    <w:rsid w:val="00FD2BC2"/>
    <w:rsid w:val="00FF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8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B61870"/>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65F92"/>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065F92"/>
    <w:rPr>
      <w:rFonts w:ascii="Tahoma" w:eastAsia="Times New Roman" w:hAnsi="Tahoma" w:cs="Times New Roman"/>
      <w:sz w:val="16"/>
      <w:szCs w:val="16"/>
      <w:lang w:val="en-IN"/>
    </w:rPr>
  </w:style>
  <w:style w:type="table" w:styleId="TableGrid">
    <w:name w:val="Table Grid"/>
    <w:basedOn w:val="TableNormal"/>
    <w:uiPriority w:val="59"/>
    <w:rsid w:val="00065F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5F92"/>
    <w:pPr>
      <w:tabs>
        <w:tab w:val="center" w:pos="4513"/>
        <w:tab w:val="right" w:pos="902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065F92"/>
    <w:rPr>
      <w:rFonts w:ascii="Times New Roman" w:eastAsia="Times New Roman" w:hAnsi="Times New Roman" w:cs="Times New Roman"/>
      <w:lang w:val="en-IN"/>
    </w:rPr>
  </w:style>
  <w:style w:type="paragraph" w:styleId="Footer">
    <w:name w:val="footer"/>
    <w:basedOn w:val="Normal"/>
    <w:link w:val="FooterChar"/>
    <w:uiPriority w:val="99"/>
    <w:unhideWhenUsed/>
    <w:rsid w:val="00065F92"/>
    <w:pPr>
      <w:tabs>
        <w:tab w:val="center" w:pos="4513"/>
        <w:tab w:val="right" w:pos="902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065F92"/>
    <w:rPr>
      <w:rFonts w:ascii="Times New Roman" w:eastAsia="Times New Roman" w:hAnsi="Times New Roman" w:cs="Times New Roman"/>
      <w:lang w:val="en-IN"/>
    </w:rPr>
  </w:style>
  <w:style w:type="paragraph" w:customStyle="1" w:styleId="DecimalAligned">
    <w:name w:val="Decimal Aligned"/>
    <w:basedOn w:val="Normal"/>
    <w:uiPriority w:val="40"/>
    <w:qFormat/>
    <w:rsid w:val="00065F92"/>
    <w:pPr>
      <w:tabs>
        <w:tab w:val="decimal" w:pos="360"/>
      </w:tabs>
    </w:pPr>
    <w:rPr>
      <w:rFonts w:ascii="Times New Roman" w:eastAsia="Times New Roman" w:hAnsi="Times New Roman" w:cs="Times New Roman"/>
      <w:lang w:eastAsia="ja-JP"/>
    </w:rPr>
  </w:style>
  <w:style w:type="paragraph" w:styleId="FootnoteText">
    <w:name w:val="footnote text"/>
    <w:basedOn w:val="Normal"/>
    <w:link w:val="FootnoteTextChar"/>
    <w:uiPriority w:val="99"/>
    <w:unhideWhenUsed/>
    <w:rsid w:val="00065F92"/>
    <w:pPr>
      <w:spacing w:after="0" w:line="240" w:lineRule="auto"/>
    </w:pPr>
    <w:rPr>
      <w:rFonts w:ascii="Times New Roman" w:eastAsia="Times New Roman" w:hAnsi="Times New Roman" w:cs="Times New Roman"/>
      <w:sz w:val="20"/>
      <w:szCs w:val="20"/>
      <w:lang w:eastAsia="ja-JP"/>
    </w:rPr>
  </w:style>
  <w:style w:type="character" w:customStyle="1" w:styleId="FootnoteTextChar">
    <w:name w:val="Footnote Text Char"/>
    <w:basedOn w:val="DefaultParagraphFont"/>
    <w:link w:val="FootnoteText"/>
    <w:uiPriority w:val="99"/>
    <w:rsid w:val="00065F92"/>
    <w:rPr>
      <w:rFonts w:ascii="Times New Roman" w:eastAsia="Times New Roman" w:hAnsi="Times New Roman" w:cs="Times New Roman"/>
      <w:sz w:val="20"/>
      <w:szCs w:val="20"/>
      <w:lang w:eastAsia="ja-JP"/>
    </w:rPr>
  </w:style>
  <w:style w:type="character" w:styleId="SubtleEmphasis">
    <w:name w:val="Subtle Emphasis"/>
    <w:uiPriority w:val="19"/>
    <w:qFormat/>
    <w:rsid w:val="00065F92"/>
    <w:rPr>
      <w:i/>
      <w:iCs/>
      <w:color w:val="7F7F7F"/>
    </w:rPr>
  </w:style>
  <w:style w:type="paragraph" w:styleId="NoSpacing">
    <w:name w:val="No Spacing"/>
    <w:uiPriority w:val="1"/>
    <w:qFormat/>
    <w:rsid w:val="00065F92"/>
    <w:pPr>
      <w:spacing w:after="0" w:line="240" w:lineRule="auto"/>
    </w:pPr>
    <w:rPr>
      <w:rFonts w:ascii="Times New Roman" w:eastAsia="Times New Roman" w:hAnsi="Times New Roman" w:cs="Times New Roman"/>
    </w:rPr>
  </w:style>
  <w:style w:type="paragraph" w:styleId="Subtitle">
    <w:name w:val="Subtitle"/>
    <w:basedOn w:val="Normal"/>
    <w:next w:val="Normal"/>
    <w:link w:val="SubtitleChar"/>
    <w:uiPriority w:val="11"/>
    <w:qFormat/>
    <w:rsid w:val="00065F92"/>
    <w:pPr>
      <w:spacing w:after="60"/>
      <w:jc w:val="center"/>
      <w:outlineLvl w:val="1"/>
    </w:pPr>
    <w:rPr>
      <w:rFonts w:ascii="Arial" w:eastAsia="Times New Roman" w:hAnsi="Arial" w:cs="Times New Roman"/>
      <w:sz w:val="24"/>
      <w:szCs w:val="24"/>
    </w:rPr>
  </w:style>
  <w:style w:type="character" w:customStyle="1" w:styleId="SubtitleChar">
    <w:name w:val="Subtitle Char"/>
    <w:basedOn w:val="DefaultParagraphFont"/>
    <w:link w:val="Subtitle"/>
    <w:uiPriority w:val="11"/>
    <w:rsid w:val="00065F92"/>
    <w:rPr>
      <w:rFonts w:ascii="Arial" w:eastAsia="Times New Roman" w:hAnsi="Arial" w:cs="Times New Roman"/>
      <w:sz w:val="24"/>
      <w:szCs w:val="24"/>
    </w:rPr>
  </w:style>
  <w:style w:type="character" w:styleId="Emphasis">
    <w:name w:val="Emphasis"/>
    <w:uiPriority w:val="20"/>
    <w:qFormat/>
    <w:rsid w:val="00065F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8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B61870"/>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65F92"/>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065F92"/>
    <w:rPr>
      <w:rFonts w:ascii="Tahoma" w:eastAsia="Times New Roman" w:hAnsi="Tahoma" w:cs="Times New Roman"/>
      <w:sz w:val="16"/>
      <w:szCs w:val="16"/>
      <w:lang w:val="en-IN"/>
    </w:rPr>
  </w:style>
  <w:style w:type="table" w:styleId="TableGrid">
    <w:name w:val="Table Grid"/>
    <w:basedOn w:val="TableNormal"/>
    <w:uiPriority w:val="59"/>
    <w:rsid w:val="00065F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5F92"/>
    <w:pPr>
      <w:tabs>
        <w:tab w:val="center" w:pos="4513"/>
        <w:tab w:val="right" w:pos="902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065F92"/>
    <w:rPr>
      <w:rFonts w:ascii="Times New Roman" w:eastAsia="Times New Roman" w:hAnsi="Times New Roman" w:cs="Times New Roman"/>
      <w:lang w:val="en-IN"/>
    </w:rPr>
  </w:style>
  <w:style w:type="paragraph" w:styleId="Footer">
    <w:name w:val="footer"/>
    <w:basedOn w:val="Normal"/>
    <w:link w:val="FooterChar"/>
    <w:uiPriority w:val="99"/>
    <w:unhideWhenUsed/>
    <w:rsid w:val="00065F92"/>
    <w:pPr>
      <w:tabs>
        <w:tab w:val="center" w:pos="4513"/>
        <w:tab w:val="right" w:pos="902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065F92"/>
    <w:rPr>
      <w:rFonts w:ascii="Times New Roman" w:eastAsia="Times New Roman" w:hAnsi="Times New Roman" w:cs="Times New Roman"/>
      <w:lang w:val="en-IN"/>
    </w:rPr>
  </w:style>
  <w:style w:type="paragraph" w:customStyle="1" w:styleId="DecimalAligned">
    <w:name w:val="Decimal Aligned"/>
    <w:basedOn w:val="Normal"/>
    <w:uiPriority w:val="40"/>
    <w:qFormat/>
    <w:rsid w:val="00065F92"/>
    <w:pPr>
      <w:tabs>
        <w:tab w:val="decimal" w:pos="360"/>
      </w:tabs>
    </w:pPr>
    <w:rPr>
      <w:rFonts w:ascii="Times New Roman" w:eastAsia="Times New Roman" w:hAnsi="Times New Roman" w:cs="Times New Roman"/>
      <w:lang w:eastAsia="ja-JP"/>
    </w:rPr>
  </w:style>
  <w:style w:type="paragraph" w:styleId="FootnoteText">
    <w:name w:val="footnote text"/>
    <w:basedOn w:val="Normal"/>
    <w:link w:val="FootnoteTextChar"/>
    <w:uiPriority w:val="99"/>
    <w:unhideWhenUsed/>
    <w:rsid w:val="00065F92"/>
    <w:pPr>
      <w:spacing w:after="0" w:line="240" w:lineRule="auto"/>
    </w:pPr>
    <w:rPr>
      <w:rFonts w:ascii="Times New Roman" w:eastAsia="Times New Roman" w:hAnsi="Times New Roman" w:cs="Times New Roman"/>
      <w:sz w:val="20"/>
      <w:szCs w:val="20"/>
      <w:lang w:eastAsia="ja-JP"/>
    </w:rPr>
  </w:style>
  <w:style w:type="character" w:customStyle="1" w:styleId="FootnoteTextChar">
    <w:name w:val="Footnote Text Char"/>
    <w:basedOn w:val="DefaultParagraphFont"/>
    <w:link w:val="FootnoteText"/>
    <w:uiPriority w:val="99"/>
    <w:rsid w:val="00065F92"/>
    <w:rPr>
      <w:rFonts w:ascii="Times New Roman" w:eastAsia="Times New Roman" w:hAnsi="Times New Roman" w:cs="Times New Roman"/>
      <w:sz w:val="20"/>
      <w:szCs w:val="20"/>
      <w:lang w:eastAsia="ja-JP"/>
    </w:rPr>
  </w:style>
  <w:style w:type="character" w:styleId="SubtleEmphasis">
    <w:name w:val="Subtle Emphasis"/>
    <w:uiPriority w:val="19"/>
    <w:qFormat/>
    <w:rsid w:val="00065F92"/>
    <w:rPr>
      <w:i/>
      <w:iCs/>
      <w:color w:val="7F7F7F"/>
    </w:rPr>
  </w:style>
  <w:style w:type="paragraph" w:styleId="NoSpacing">
    <w:name w:val="No Spacing"/>
    <w:uiPriority w:val="1"/>
    <w:qFormat/>
    <w:rsid w:val="00065F92"/>
    <w:pPr>
      <w:spacing w:after="0" w:line="240" w:lineRule="auto"/>
    </w:pPr>
    <w:rPr>
      <w:rFonts w:ascii="Times New Roman" w:eastAsia="Times New Roman" w:hAnsi="Times New Roman" w:cs="Times New Roman"/>
    </w:rPr>
  </w:style>
  <w:style w:type="paragraph" w:styleId="Subtitle">
    <w:name w:val="Subtitle"/>
    <w:basedOn w:val="Normal"/>
    <w:next w:val="Normal"/>
    <w:link w:val="SubtitleChar"/>
    <w:uiPriority w:val="11"/>
    <w:qFormat/>
    <w:rsid w:val="00065F92"/>
    <w:pPr>
      <w:spacing w:after="60"/>
      <w:jc w:val="center"/>
      <w:outlineLvl w:val="1"/>
    </w:pPr>
    <w:rPr>
      <w:rFonts w:ascii="Arial" w:eastAsia="Times New Roman" w:hAnsi="Arial" w:cs="Times New Roman"/>
      <w:sz w:val="24"/>
      <w:szCs w:val="24"/>
    </w:rPr>
  </w:style>
  <w:style w:type="character" w:customStyle="1" w:styleId="SubtitleChar">
    <w:name w:val="Subtitle Char"/>
    <w:basedOn w:val="DefaultParagraphFont"/>
    <w:link w:val="Subtitle"/>
    <w:uiPriority w:val="11"/>
    <w:rsid w:val="00065F92"/>
    <w:rPr>
      <w:rFonts w:ascii="Arial" w:eastAsia="Times New Roman" w:hAnsi="Arial" w:cs="Times New Roman"/>
      <w:sz w:val="24"/>
      <w:szCs w:val="24"/>
    </w:rPr>
  </w:style>
  <w:style w:type="character" w:styleId="Emphasis">
    <w:name w:val="Emphasis"/>
    <w:uiPriority w:val="20"/>
    <w:qFormat/>
    <w:rsid w:val="00065F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3217</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RDRL</cp:lastModifiedBy>
  <cp:revision>3</cp:revision>
  <cp:lastPrinted>2020-11-25T07:21:00Z</cp:lastPrinted>
  <dcterms:created xsi:type="dcterms:W3CDTF">2020-11-25T07:12:00Z</dcterms:created>
  <dcterms:modified xsi:type="dcterms:W3CDTF">2020-11-25T07:21:00Z</dcterms:modified>
</cp:coreProperties>
</file>