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A93590" w14:textId="413EBBDE" w:rsidR="00982642" w:rsidRPr="00982642" w:rsidRDefault="00982642" w:rsidP="00982642">
      <w:pPr>
        <w:spacing w:line="360" w:lineRule="auto"/>
        <w:jc w:val="left"/>
        <w:rPr>
          <w:rFonts w:ascii="Cambria" w:hAnsi="Cambria"/>
          <w:b/>
          <w:sz w:val="24"/>
          <w:szCs w:val="24"/>
          <w:lang w:val="en-US"/>
        </w:rPr>
      </w:pPr>
      <w:r w:rsidRPr="00982642">
        <w:rPr>
          <w:rFonts w:ascii="Cambria" w:hAnsi="Cambria"/>
          <w:b/>
          <w:sz w:val="24"/>
          <w:szCs w:val="24"/>
          <w:highlight w:val="lightGray"/>
          <w:lang w:val="en-US"/>
        </w:rPr>
        <w:t>Original article:</w:t>
      </w:r>
    </w:p>
    <w:p w14:paraId="4E90C2B1" w14:textId="585D15CA" w:rsidR="00F515A8" w:rsidRPr="00982642" w:rsidRDefault="00F515A8" w:rsidP="00982642">
      <w:pPr>
        <w:spacing w:line="360" w:lineRule="auto"/>
        <w:jc w:val="left"/>
        <w:rPr>
          <w:rFonts w:ascii="Cambria" w:hAnsi="Cambria"/>
          <w:b/>
          <w:color w:val="0070C0"/>
          <w:sz w:val="28"/>
          <w:szCs w:val="28"/>
        </w:rPr>
      </w:pPr>
      <w:r w:rsidRPr="00982642">
        <w:rPr>
          <w:rFonts w:ascii="Cambria" w:hAnsi="Cambria"/>
          <w:b/>
          <w:color w:val="0070C0"/>
          <w:sz w:val="28"/>
          <w:szCs w:val="28"/>
          <w:lang w:val="en-US"/>
        </w:rPr>
        <w:t>Retrospective study and Management of clinical outcome of 50 patients presenting with ventral hernia</w:t>
      </w:r>
    </w:p>
    <w:p w14:paraId="1FC86DDF" w14:textId="77777777" w:rsidR="00982642" w:rsidRPr="00982642" w:rsidRDefault="00982642" w:rsidP="00982642">
      <w:pPr>
        <w:spacing w:line="360" w:lineRule="auto"/>
        <w:rPr>
          <w:rFonts w:ascii="Cambria" w:hAnsi="Cambria"/>
          <w:b/>
          <w:sz w:val="20"/>
          <w:lang w:val="en-US"/>
        </w:rPr>
      </w:pPr>
      <w:r w:rsidRPr="00982642">
        <w:rPr>
          <w:rFonts w:ascii="Cambria" w:hAnsi="Cambria"/>
          <w:b/>
          <w:sz w:val="20"/>
          <w:vertAlign w:val="superscript"/>
          <w:lang w:val="en-US"/>
        </w:rPr>
        <w:t>1</w:t>
      </w:r>
      <w:r w:rsidRPr="00982642">
        <w:rPr>
          <w:rFonts w:ascii="Cambria" w:hAnsi="Cambria"/>
          <w:b/>
          <w:sz w:val="20"/>
          <w:lang w:val="en-US"/>
        </w:rPr>
        <w:t xml:space="preserve">Dr Jude Rodrigues, </w:t>
      </w:r>
      <w:r w:rsidRPr="00982642">
        <w:rPr>
          <w:rFonts w:ascii="Cambria" w:hAnsi="Cambria"/>
          <w:b/>
          <w:sz w:val="20"/>
          <w:vertAlign w:val="superscript"/>
          <w:lang w:val="en-US"/>
        </w:rPr>
        <w:t>2</w:t>
      </w:r>
      <w:r w:rsidRPr="00982642">
        <w:rPr>
          <w:rFonts w:ascii="Cambria" w:hAnsi="Cambria"/>
          <w:b/>
          <w:sz w:val="20"/>
          <w:lang w:val="en-US"/>
        </w:rPr>
        <w:t xml:space="preserve">Dr. Samiksha Shyam Naik Talaulikar , </w:t>
      </w:r>
      <w:r w:rsidRPr="00982642">
        <w:rPr>
          <w:rFonts w:ascii="Cambria" w:hAnsi="Cambria"/>
          <w:b/>
          <w:sz w:val="20"/>
          <w:vertAlign w:val="superscript"/>
          <w:lang w:val="en-US"/>
        </w:rPr>
        <w:t>3</w:t>
      </w:r>
      <w:r w:rsidRPr="00982642">
        <w:rPr>
          <w:rFonts w:ascii="Cambria" w:hAnsi="Cambria"/>
          <w:b/>
          <w:sz w:val="20"/>
          <w:lang w:val="en-US"/>
        </w:rPr>
        <w:t>Dr.Gautam Cormoli*</w:t>
      </w:r>
    </w:p>
    <w:p w14:paraId="672BCAAB" w14:textId="77777777" w:rsidR="00982642" w:rsidRPr="00982642" w:rsidRDefault="00982642" w:rsidP="00982642">
      <w:pPr>
        <w:spacing w:line="360" w:lineRule="auto"/>
        <w:rPr>
          <w:rFonts w:ascii="Cambria" w:hAnsi="Cambria"/>
          <w:b/>
          <w:sz w:val="20"/>
          <w:lang w:val="en-US"/>
        </w:rPr>
      </w:pPr>
    </w:p>
    <w:p w14:paraId="160AE6FA" w14:textId="77777777" w:rsidR="00982642" w:rsidRPr="00982642" w:rsidRDefault="00982642" w:rsidP="00982642">
      <w:pPr>
        <w:spacing w:line="360" w:lineRule="auto"/>
        <w:rPr>
          <w:rFonts w:ascii="Cambria" w:hAnsi="Cambria"/>
          <w:sz w:val="18"/>
          <w:szCs w:val="18"/>
          <w:lang w:val="en-US"/>
        </w:rPr>
      </w:pPr>
      <w:r w:rsidRPr="00982642">
        <w:rPr>
          <w:rFonts w:ascii="Cambria" w:hAnsi="Cambria"/>
          <w:sz w:val="18"/>
          <w:szCs w:val="18"/>
          <w:vertAlign w:val="superscript"/>
          <w:lang w:val="en-US"/>
        </w:rPr>
        <w:t>1</w:t>
      </w:r>
      <w:r w:rsidRPr="00982642">
        <w:rPr>
          <w:rFonts w:ascii="Cambria" w:hAnsi="Cambria"/>
          <w:sz w:val="18"/>
          <w:szCs w:val="18"/>
          <w:lang w:val="en-US"/>
        </w:rPr>
        <w:t>Professor and Head, Department of General Surgery, Goa Medical College Bambolim</w:t>
      </w:r>
    </w:p>
    <w:p w14:paraId="3B4BCB07" w14:textId="77777777" w:rsidR="00982642" w:rsidRPr="00982642" w:rsidRDefault="00982642" w:rsidP="00982642">
      <w:pPr>
        <w:spacing w:line="360" w:lineRule="auto"/>
        <w:rPr>
          <w:rFonts w:ascii="Cambria" w:hAnsi="Cambria"/>
          <w:sz w:val="18"/>
          <w:szCs w:val="18"/>
          <w:lang w:val="en-US"/>
        </w:rPr>
      </w:pPr>
      <w:r w:rsidRPr="00982642">
        <w:rPr>
          <w:rFonts w:ascii="Cambria" w:hAnsi="Cambria"/>
          <w:sz w:val="18"/>
          <w:szCs w:val="18"/>
          <w:vertAlign w:val="superscript"/>
          <w:lang w:val="en-US"/>
        </w:rPr>
        <w:t>2</w:t>
      </w:r>
      <w:r w:rsidRPr="00982642">
        <w:rPr>
          <w:rFonts w:ascii="Cambria" w:hAnsi="Cambria"/>
          <w:sz w:val="18"/>
          <w:szCs w:val="18"/>
          <w:lang w:val="en-US"/>
        </w:rPr>
        <w:t>Junior Resident, Department of General Surgery, Goa Medical College Bambolim</w:t>
      </w:r>
    </w:p>
    <w:p w14:paraId="65B8ACF3" w14:textId="77777777" w:rsidR="00982642" w:rsidRPr="00982642" w:rsidRDefault="00982642" w:rsidP="00982642">
      <w:pPr>
        <w:spacing w:line="360" w:lineRule="auto"/>
        <w:rPr>
          <w:rFonts w:ascii="Cambria" w:hAnsi="Cambria"/>
          <w:sz w:val="18"/>
          <w:szCs w:val="18"/>
          <w:lang w:val="en-US"/>
        </w:rPr>
      </w:pPr>
      <w:r w:rsidRPr="00982642">
        <w:rPr>
          <w:rFonts w:ascii="Cambria" w:hAnsi="Cambria"/>
          <w:sz w:val="18"/>
          <w:szCs w:val="18"/>
          <w:vertAlign w:val="superscript"/>
          <w:lang w:val="en-US"/>
        </w:rPr>
        <w:t>3</w:t>
      </w:r>
      <w:r w:rsidRPr="00982642">
        <w:rPr>
          <w:rFonts w:ascii="Cambria" w:hAnsi="Cambria"/>
          <w:sz w:val="18"/>
          <w:szCs w:val="18"/>
          <w:lang w:val="en-US"/>
        </w:rPr>
        <w:t>Associate Professor, Department of General Surgery, Goa Medical College Bambolim</w:t>
      </w:r>
    </w:p>
    <w:p w14:paraId="78CFC535" w14:textId="77777777" w:rsidR="00982642" w:rsidRPr="00982642" w:rsidRDefault="00982642" w:rsidP="00982642">
      <w:pPr>
        <w:spacing w:line="360" w:lineRule="auto"/>
        <w:rPr>
          <w:rFonts w:ascii="Cambria" w:hAnsi="Cambria"/>
          <w:sz w:val="18"/>
          <w:szCs w:val="18"/>
          <w:lang w:val="en-US"/>
        </w:rPr>
      </w:pPr>
      <w:r w:rsidRPr="00982642">
        <w:rPr>
          <w:rFonts w:ascii="Cambria" w:hAnsi="Cambria"/>
          <w:sz w:val="18"/>
          <w:szCs w:val="18"/>
          <w:lang w:val="en-US"/>
        </w:rPr>
        <w:t>Corresponding author*</w:t>
      </w:r>
    </w:p>
    <w:p w14:paraId="02BBDA5B" w14:textId="7BB47B7E" w:rsidR="00C350D4" w:rsidRPr="00982642" w:rsidRDefault="00C350D4" w:rsidP="00982642">
      <w:pPr>
        <w:spacing w:line="360" w:lineRule="auto"/>
        <w:rPr>
          <w:sz w:val="20"/>
        </w:rPr>
      </w:pPr>
    </w:p>
    <w:p w14:paraId="785B543F" w14:textId="77777777" w:rsidR="00C350D4" w:rsidRPr="00982642" w:rsidRDefault="00C350D4" w:rsidP="00982642">
      <w:pPr>
        <w:spacing w:line="360" w:lineRule="auto"/>
        <w:rPr>
          <w:sz w:val="20"/>
        </w:rPr>
      </w:pPr>
    </w:p>
    <w:p w14:paraId="55F297F2" w14:textId="62BBF6F6" w:rsidR="00C350D4" w:rsidRPr="00982642" w:rsidRDefault="00C350D4" w:rsidP="00982642">
      <w:pPr>
        <w:spacing w:line="360" w:lineRule="auto"/>
        <w:rPr>
          <w:b/>
          <w:bCs/>
          <w:sz w:val="20"/>
        </w:rPr>
      </w:pPr>
      <w:r w:rsidRPr="00982642">
        <w:rPr>
          <w:b/>
          <w:bCs/>
          <w:sz w:val="20"/>
        </w:rPr>
        <w:t>Abstract:</w:t>
      </w:r>
    </w:p>
    <w:p w14:paraId="1EDAF435" w14:textId="1DA4F33D" w:rsidR="00982642" w:rsidRDefault="00C350D4" w:rsidP="00982642">
      <w:pPr>
        <w:spacing w:line="360" w:lineRule="auto"/>
        <w:rPr>
          <w:color w:val="212121"/>
          <w:sz w:val="18"/>
          <w:szCs w:val="18"/>
          <w:shd w:val="clear" w:color="auto" w:fill="FFFFFF"/>
        </w:rPr>
      </w:pPr>
      <w:r w:rsidRPr="00982642">
        <w:rPr>
          <w:sz w:val="18"/>
          <w:szCs w:val="18"/>
        </w:rPr>
        <w:t xml:space="preserve">A </w:t>
      </w:r>
      <w:r w:rsidR="00FF7534" w:rsidRPr="00982642">
        <w:rPr>
          <w:sz w:val="18"/>
          <w:szCs w:val="18"/>
        </w:rPr>
        <w:t>T</w:t>
      </w:r>
      <w:r w:rsidRPr="00982642">
        <w:rPr>
          <w:sz w:val="18"/>
          <w:szCs w:val="18"/>
        </w:rPr>
        <w:t>otal of 50 cases of ventral hernias were studied at Goa Medical college, Bambolim. They constituted</w:t>
      </w:r>
      <w:r w:rsidRPr="00982642">
        <w:rPr>
          <w:color w:val="212121"/>
          <w:sz w:val="18"/>
          <w:szCs w:val="18"/>
          <w:shd w:val="clear" w:color="auto" w:fill="FFFFFF"/>
        </w:rPr>
        <w:t xml:space="preserve"> </w:t>
      </w:r>
      <w:r w:rsidR="00FF7534" w:rsidRPr="00982642">
        <w:rPr>
          <w:color w:val="212121"/>
          <w:sz w:val="18"/>
          <w:szCs w:val="18"/>
          <w:shd w:val="clear" w:color="auto" w:fill="FFFFFF"/>
        </w:rPr>
        <w:t>P</w:t>
      </w:r>
      <w:r w:rsidRPr="00982642">
        <w:rPr>
          <w:color w:val="212121"/>
          <w:sz w:val="18"/>
          <w:szCs w:val="18"/>
          <w:shd w:val="clear" w:color="auto" w:fill="FFFFFF"/>
        </w:rPr>
        <w:t>araumbilical hernia</w:t>
      </w:r>
      <w:r w:rsidR="00FF7534" w:rsidRPr="00982642">
        <w:rPr>
          <w:color w:val="212121"/>
          <w:sz w:val="18"/>
          <w:szCs w:val="18"/>
          <w:shd w:val="clear" w:color="auto" w:fill="FFFFFF"/>
        </w:rPr>
        <w:t xml:space="preserve"> </w:t>
      </w:r>
      <w:r w:rsidRPr="00982642">
        <w:rPr>
          <w:color w:val="212121"/>
          <w:sz w:val="18"/>
          <w:szCs w:val="18"/>
          <w:shd w:val="clear" w:color="auto" w:fill="FFFFFF"/>
        </w:rPr>
        <w:t>(30) ,</w:t>
      </w:r>
      <w:r w:rsidR="00FF7534" w:rsidRPr="00982642">
        <w:rPr>
          <w:color w:val="212121"/>
          <w:sz w:val="18"/>
          <w:szCs w:val="18"/>
          <w:shd w:val="clear" w:color="auto" w:fill="FFFFFF"/>
        </w:rPr>
        <w:t>I</w:t>
      </w:r>
      <w:r w:rsidRPr="00982642">
        <w:rPr>
          <w:color w:val="212121"/>
          <w:sz w:val="18"/>
          <w:szCs w:val="18"/>
          <w:shd w:val="clear" w:color="auto" w:fill="FFFFFF"/>
        </w:rPr>
        <w:t xml:space="preserve">ncisional hernia (12), </w:t>
      </w:r>
      <w:r w:rsidR="00FF7534" w:rsidRPr="00982642">
        <w:rPr>
          <w:color w:val="212121"/>
          <w:sz w:val="18"/>
          <w:szCs w:val="18"/>
          <w:shd w:val="clear" w:color="auto" w:fill="FFFFFF"/>
        </w:rPr>
        <w:t>U</w:t>
      </w:r>
      <w:r w:rsidRPr="00982642">
        <w:rPr>
          <w:color w:val="212121"/>
          <w:sz w:val="18"/>
          <w:szCs w:val="18"/>
          <w:shd w:val="clear" w:color="auto" w:fill="FFFFFF"/>
        </w:rPr>
        <w:t xml:space="preserve">mbilical hernia(4) , </w:t>
      </w:r>
      <w:r w:rsidR="00FF7534" w:rsidRPr="00982642">
        <w:rPr>
          <w:color w:val="212121"/>
          <w:sz w:val="18"/>
          <w:szCs w:val="18"/>
          <w:shd w:val="clear" w:color="auto" w:fill="FFFFFF"/>
        </w:rPr>
        <w:t>E</w:t>
      </w:r>
      <w:r w:rsidRPr="00982642">
        <w:rPr>
          <w:color w:val="212121"/>
          <w:sz w:val="18"/>
          <w:szCs w:val="18"/>
          <w:shd w:val="clear" w:color="auto" w:fill="FFFFFF"/>
        </w:rPr>
        <w:t xml:space="preserve">pigastric hernia (3) and </w:t>
      </w:r>
      <w:r w:rsidR="00FF7534" w:rsidRPr="00982642">
        <w:rPr>
          <w:color w:val="212121"/>
          <w:sz w:val="18"/>
          <w:szCs w:val="18"/>
          <w:shd w:val="clear" w:color="auto" w:fill="FFFFFF"/>
        </w:rPr>
        <w:t>S</w:t>
      </w:r>
      <w:r w:rsidRPr="00982642">
        <w:rPr>
          <w:color w:val="212121"/>
          <w:sz w:val="18"/>
          <w:szCs w:val="18"/>
          <w:shd w:val="clear" w:color="auto" w:fill="FFFFFF"/>
        </w:rPr>
        <w:t>pigelian hernia(1). Most of them were diagnosed clinically. Surgical repair gave favourable results.</w:t>
      </w:r>
      <w:r w:rsidR="00982642" w:rsidRPr="00982642">
        <w:rPr>
          <w:color w:val="212121"/>
          <w:sz w:val="18"/>
          <w:szCs w:val="18"/>
          <w:shd w:val="clear" w:color="auto" w:fill="FFFFFF"/>
        </w:rPr>
        <w:t xml:space="preserve"> Obesity was a major risk factor for ventral hernias. The risk of Surgical site infection for ventral hernias was 6 %.Since it was a retrospective study the delayed complications, recurrence rate could not be opined on.</w:t>
      </w:r>
    </w:p>
    <w:p w14:paraId="4F6AF424" w14:textId="52F508F3" w:rsidR="00982642" w:rsidRPr="00982642" w:rsidRDefault="00982642" w:rsidP="00982642">
      <w:pPr>
        <w:spacing w:line="360" w:lineRule="auto"/>
        <w:rPr>
          <w:color w:val="212121"/>
          <w:sz w:val="18"/>
          <w:szCs w:val="18"/>
          <w:shd w:val="clear" w:color="auto" w:fill="FFFFFF"/>
        </w:rPr>
      </w:pPr>
      <w:r w:rsidRPr="00982642">
        <w:rPr>
          <w:b/>
          <w:color w:val="212121"/>
          <w:sz w:val="18"/>
          <w:szCs w:val="18"/>
          <w:shd w:val="clear" w:color="auto" w:fill="FFFFFF"/>
        </w:rPr>
        <w:t>Keywords:</w:t>
      </w:r>
      <w:r>
        <w:rPr>
          <w:color w:val="212121"/>
          <w:sz w:val="18"/>
          <w:szCs w:val="18"/>
          <w:shd w:val="clear" w:color="auto" w:fill="FFFFFF"/>
        </w:rPr>
        <w:t xml:space="preserve"> </w:t>
      </w:r>
      <w:r w:rsidRPr="00982642">
        <w:rPr>
          <w:color w:val="212121"/>
          <w:sz w:val="18"/>
          <w:szCs w:val="18"/>
          <w:shd w:val="clear" w:color="auto" w:fill="FFFFFF"/>
          <w:lang w:val="en-US"/>
        </w:rPr>
        <w:t xml:space="preserve">ventral hernia, </w:t>
      </w:r>
      <w:r w:rsidRPr="00982642">
        <w:rPr>
          <w:color w:val="212121"/>
          <w:sz w:val="18"/>
          <w:szCs w:val="18"/>
          <w:shd w:val="clear" w:color="auto" w:fill="FFFFFF"/>
        </w:rPr>
        <w:t>recurrence rate</w:t>
      </w:r>
    </w:p>
    <w:p w14:paraId="56AE00CB" w14:textId="210D2A87" w:rsidR="00C350D4" w:rsidRPr="00982642" w:rsidRDefault="00C350D4" w:rsidP="00982642">
      <w:pPr>
        <w:spacing w:line="360" w:lineRule="auto"/>
        <w:rPr>
          <w:color w:val="212121"/>
          <w:sz w:val="20"/>
          <w:shd w:val="clear" w:color="auto" w:fill="FFFFFF"/>
        </w:rPr>
      </w:pPr>
    </w:p>
    <w:p w14:paraId="1ABFB889" w14:textId="50510634" w:rsidR="00F515A8" w:rsidRPr="00982642" w:rsidRDefault="00F515A8" w:rsidP="00982642">
      <w:pPr>
        <w:spacing w:line="360" w:lineRule="auto"/>
        <w:rPr>
          <w:b/>
          <w:bCs/>
          <w:sz w:val="20"/>
        </w:rPr>
      </w:pPr>
      <w:r w:rsidRPr="00982642">
        <w:rPr>
          <w:b/>
          <w:bCs/>
          <w:sz w:val="20"/>
        </w:rPr>
        <w:t>Introduction</w:t>
      </w:r>
    </w:p>
    <w:p w14:paraId="4373C6B9" w14:textId="19B30D21" w:rsidR="00F515A8" w:rsidRPr="00982642" w:rsidRDefault="008F2929" w:rsidP="00982642">
      <w:pPr>
        <w:pStyle w:val="NormalWeb"/>
        <w:spacing w:before="0" w:beforeAutospacing="0" w:after="0" w:afterAutospacing="0" w:line="360" w:lineRule="auto"/>
        <w:jc w:val="both"/>
        <w:rPr>
          <w:sz w:val="20"/>
          <w:szCs w:val="20"/>
        </w:rPr>
      </w:pPr>
      <w:r w:rsidRPr="00982642">
        <w:rPr>
          <w:sz w:val="20"/>
          <w:szCs w:val="20"/>
        </w:rPr>
        <w:t>A hernia is defined as an abnormal protrusion of an organ or tissue through a defect in its surrounding walls.</w:t>
      </w:r>
      <w:r w:rsidRPr="00982642">
        <w:rPr>
          <w:sz w:val="20"/>
          <w:szCs w:val="20"/>
          <w:vertAlign w:val="superscript"/>
        </w:rPr>
        <w:t xml:space="preserve">20 </w:t>
      </w:r>
      <w:r w:rsidRPr="00982642">
        <w:rPr>
          <w:sz w:val="20"/>
          <w:szCs w:val="20"/>
        </w:rPr>
        <w:t xml:space="preserve">A ventral hernia is defined </w:t>
      </w:r>
      <w:r w:rsidR="00FA6CCD" w:rsidRPr="00982642">
        <w:rPr>
          <w:sz w:val="20"/>
          <w:szCs w:val="20"/>
        </w:rPr>
        <w:t xml:space="preserve">as </w:t>
      </w:r>
      <w:r w:rsidRPr="00982642">
        <w:rPr>
          <w:sz w:val="20"/>
          <w:szCs w:val="20"/>
        </w:rPr>
        <w:t>a protrusion through the anterior abdominal wall.</w:t>
      </w:r>
      <w:r w:rsidR="00F515A8" w:rsidRPr="00982642">
        <w:rPr>
          <w:sz w:val="20"/>
          <w:szCs w:val="20"/>
        </w:rPr>
        <w:t>These hernias mainly present as a swelling and they rarely go for complications like strangulation, incarceration with their respective clinical features.</w:t>
      </w:r>
      <w:r w:rsidRPr="00982642">
        <w:rPr>
          <w:sz w:val="20"/>
          <w:szCs w:val="20"/>
          <w:vertAlign w:val="superscript"/>
        </w:rPr>
        <w:t>1</w:t>
      </w:r>
      <w:r w:rsidR="00982642">
        <w:rPr>
          <w:sz w:val="20"/>
          <w:szCs w:val="20"/>
          <w:vertAlign w:val="superscript"/>
        </w:rPr>
        <w:t xml:space="preserve"> </w:t>
      </w:r>
      <w:r w:rsidR="00F515A8" w:rsidRPr="00982642">
        <w:rPr>
          <w:sz w:val="20"/>
          <w:szCs w:val="20"/>
        </w:rPr>
        <w:t>Commonly ventral hernias do not require any special investigation to diagnose them. It’s usually clinically diagnosed</w:t>
      </w:r>
      <w:r w:rsidR="00FF7534" w:rsidRPr="00982642">
        <w:rPr>
          <w:sz w:val="20"/>
          <w:szCs w:val="20"/>
        </w:rPr>
        <w:t xml:space="preserve">, </w:t>
      </w:r>
      <w:r w:rsidR="00F515A8" w:rsidRPr="00982642">
        <w:rPr>
          <w:sz w:val="20"/>
          <w:szCs w:val="20"/>
        </w:rPr>
        <w:t>rarely they need</w:t>
      </w:r>
      <w:r w:rsidR="00C350D4" w:rsidRPr="00982642">
        <w:rPr>
          <w:sz w:val="20"/>
          <w:szCs w:val="20"/>
        </w:rPr>
        <w:t xml:space="preserve"> </w:t>
      </w:r>
      <w:r w:rsidR="00F515A8" w:rsidRPr="00982642">
        <w:rPr>
          <w:sz w:val="20"/>
          <w:szCs w:val="20"/>
        </w:rPr>
        <w:t>ultrasound</w:t>
      </w:r>
      <w:r w:rsidR="00C350D4" w:rsidRPr="00982642">
        <w:rPr>
          <w:sz w:val="20"/>
          <w:szCs w:val="20"/>
        </w:rPr>
        <w:t xml:space="preserve"> ,CT scan an</w:t>
      </w:r>
      <w:r w:rsidR="00F515A8" w:rsidRPr="00982642">
        <w:rPr>
          <w:sz w:val="20"/>
          <w:szCs w:val="20"/>
        </w:rPr>
        <w:t>d herniography for diagnosis</w:t>
      </w:r>
      <w:r w:rsidR="00FF7534" w:rsidRPr="00982642">
        <w:rPr>
          <w:sz w:val="20"/>
          <w:szCs w:val="20"/>
        </w:rPr>
        <w:t>.</w:t>
      </w:r>
      <w:r w:rsidR="00F515A8" w:rsidRPr="00982642">
        <w:rPr>
          <w:sz w:val="20"/>
          <w:szCs w:val="20"/>
        </w:rPr>
        <w:t>Among all ventral hernias , incisional, epigastric, umbilical hernias are common</w:t>
      </w:r>
      <w:r w:rsidR="00982642">
        <w:rPr>
          <w:sz w:val="20"/>
          <w:szCs w:val="20"/>
        </w:rPr>
        <w:t xml:space="preserve"> </w:t>
      </w:r>
      <w:r w:rsidR="00F515A8" w:rsidRPr="00982642">
        <w:rPr>
          <w:sz w:val="20"/>
          <w:szCs w:val="20"/>
        </w:rPr>
        <w:t xml:space="preserve">Incisional hernia is common complication following abdominal surgery. </w:t>
      </w:r>
      <w:r w:rsidR="00982642" w:rsidRPr="00982642">
        <w:rPr>
          <w:sz w:val="20"/>
          <w:szCs w:val="20"/>
        </w:rPr>
        <w:t>Incidence</w:t>
      </w:r>
      <w:r w:rsidR="00F515A8" w:rsidRPr="00982642">
        <w:rPr>
          <w:sz w:val="20"/>
          <w:szCs w:val="20"/>
        </w:rPr>
        <w:t xml:space="preserve"> varies from 2-20%</w:t>
      </w:r>
      <w:r w:rsidRPr="00982642">
        <w:rPr>
          <w:sz w:val="20"/>
          <w:szCs w:val="20"/>
          <w:vertAlign w:val="superscript"/>
        </w:rPr>
        <w:t>16</w:t>
      </w:r>
      <w:r w:rsidR="00982642">
        <w:rPr>
          <w:sz w:val="20"/>
          <w:szCs w:val="20"/>
          <w:vertAlign w:val="superscript"/>
        </w:rPr>
        <w:t xml:space="preserve"> </w:t>
      </w:r>
      <w:r w:rsidR="00F515A8" w:rsidRPr="00982642">
        <w:rPr>
          <w:sz w:val="20"/>
          <w:szCs w:val="20"/>
        </w:rPr>
        <w:t>Epigastric hernia is not very common. Its more common in men than in children and rare in women.</w:t>
      </w:r>
      <w:r w:rsidRPr="00982642">
        <w:rPr>
          <w:sz w:val="20"/>
          <w:szCs w:val="20"/>
          <w:vertAlign w:val="superscript"/>
        </w:rPr>
        <w:t>20</w:t>
      </w:r>
    </w:p>
    <w:p w14:paraId="00AD5143" w14:textId="4176DD82" w:rsidR="00F515A8" w:rsidRPr="00982642" w:rsidRDefault="00F515A8" w:rsidP="00982642">
      <w:pPr>
        <w:tabs>
          <w:tab w:val="left" w:pos="1119"/>
        </w:tabs>
        <w:spacing w:line="360" w:lineRule="auto"/>
        <w:rPr>
          <w:sz w:val="20"/>
          <w:vertAlign w:val="superscript"/>
        </w:rPr>
      </w:pPr>
      <w:r w:rsidRPr="00982642">
        <w:rPr>
          <w:sz w:val="20"/>
        </w:rPr>
        <w:t xml:space="preserve">Adult paraumbilical hernias are more common in women and obese patients. The strangulation of adult paraumbilical hernia is more common in females than </w:t>
      </w:r>
      <w:r w:rsidR="00FF7534" w:rsidRPr="00982642">
        <w:rPr>
          <w:sz w:val="20"/>
        </w:rPr>
        <w:t xml:space="preserve">in </w:t>
      </w:r>
      <w:r w:rsidR="00C350D4" w:rsidRPr="00982642">
        <w:rPr>
          <w:sz w:val="20"/>
        </w:rPr>
        <w:t>males.</w:t>
      </w:r>
      <w:r w:rsidR="00FA6CCD" w:rsidRPr="00982642">
        <w:rPr>
          <w:sz w:val="20"/>
          <w:vertAlign w:val="superscript"/>
        </w:rPr>
        <w:t>13</w:t>
      </w:r>
      <w:r w:rsidR="00982642">
        <w:rPr>
          <w:sz w:val="20"/>
          <w:vertAlign w:val="superscript"/>
        </w:rPr>
        <w:t xml:space="preserve"> </w:t>
      </w:r>
      <w:r w:rsidR="00C350D4" w:rsidRPr="00982642">
        <w:rPr>
          <w:sz w:val="20"/>
        </w:rPr>
        <w:t>The purpose of this study was to</w:t>
      </w:r>
      <w:r w:rsidRPr="00982642">
        <w:rPr>
          <w:sz w:val="20"/>
        </w:rPr>
        <w:t xml:space="preserve"> </w:t>
      </w:r>
      <w:r w:rsidR="00FF7534" w:rsidRPr="00982642">
        <w:rPr>
          <w:sz w:val="20"/>
        </w:rPr>
        <w:t>identify</w:t>
      </w:r>
      <w:r w:rsidRPr="00982642">
        <w:rPr>
          <w:sz w:val="20"/>
        </w:rPr>
        <w:t xml:space="preserve"> different types of ventral hernias</w:t>
      </w:r>
      <w:r w:rsidR="00FF7534" w:rsidRPr="00982642">
        <w:rPr>
          <w:sz w:val="20"/>
        </w:rPr>
        <w:t xml:space="preserve">, </w:t>
      </w:r>
      <w:r w:rsidRPr="00982642">
        <w:rPr>
          <w:sz w:val="20"/>
        </w:rPr>
        <w:t>its</w:t>
      </w:r>
      <w:r w:rsidR="00FF7534" w:rsidRPr="00982642">
        <w:rPr>
          <w:sz w:val="20"/>
        </w:rPr>
        <w:t xml:space="preserve"> </w:t>
      </w:r>
      <w:r w:rsidRPr="00982642">
        <w:rPr>
          <w:sz w:val="20"/>
        </w:rPr>
        <w:t>sites and their clinical features such as swelling, pain</w:t>
      </w:r>
      <w:r w:rsidR="00FA6CCD" w:rsidRPr="00982642">
        <w:rPr>
          <w:sz w:val="20"/>
        </w:rPr>
        <w:t xml:space="preserve">, </w:t>
      </w:r>
      <w:r w:rsidRPr="00982642">
        <w:rPr>
          <w:sz w:val="20"/>
        </w:rPr>
        <w:t xml:space="preserve">various risk factors and </w:t>
      </w:r>
      <w:r w:rsidR="00FA6CCD" w:rsidRPr="00982642">
        <w:rPr>
          <w:sz w:val="20"/>
        </w:rPr>
        <w:t xml:space="preserve">its </w:t>
      </w:r>
      <w:r w:rsidRPr="00982642">
        <w:rPr>
          <w:sz w:val="20"/>
        </w:rPr>
        <w:t>complications</w:t>
      </w:r>
      <w:r w:rsidR="00C350D4" w:rsidRPr="00982642">
        <w:rPr>
          <w:sz w:val="20"/>
        </w:rPr>
        <w:t xml:space="preserve"> and t</w:t>
      </w:r>
      <w:r w:rsidRPr="00982642">
        <w:rPr>
          <w:sz w:val="20"/>
        </w:rPr>
        <w:t>o study management protocol adopted i</w:t>
      </w:r>
      <w:r w:rsidR="00C350D4" w:rsidRPr="00982642">
        <w:rPr>
          <w:sz w:val="20"/>
        </w:rPr>
        <w:t>n</w:t>
      </w:r>
      <w:r w:rsidRPr="00982642">
        <w:rPr>
          <w:sz w:val="20"/>
        </w:rPr>
        <w:t xml:space="preserve"> </w:t>
      </w:r>
      <w:r w:rsidR="00FF7534" w:rsidRPr="00982642">
        <w:rPr>
          <w:sz w:val="20"/>
        </w:rPr>
        <w:t xml:space="preserve">our </w:t>
      </w:r>
      <w:r w:rsidRPr="00982642">
        <w:rPr>
          <w:sz w:val="20"/>
        </w:rPr>
        <w:t xml:space="preserve">institution that is </w:t>
      </w:r>
      <w:r w:rsidR="00FF7534" w:rsidRPr="00982642">
        <w:rPr>
          <w:sz w:val="20"/>
        </w:rPr>
        <w:t>D</w:t>
      </w:r>
      <w:r w:rsidRPr="00982642">
        <w:rPr>
          <w:sz w:val="20"/>
        </w:rPr>
        <w:t>epartment of General surgery, Goa Medical College.</w:t>
      </w:r>
    </w:p>
    <w:p w14:paraId="3D1F53F4" w14:textId="77777777" w:rsidR="00F515A8" w:rsidRPr="00982642" w:rsidRDefault="00F515A8" w:rsidP="00982642">
      <w:pPr>
        <w:spacing w:line="360" w:lineRule="auto"/>
        <w:rPr>
          <w:b/>
          <w:bCs/>
          <w:sz w:val="20"/>
        </w:rPr>
      </w:pPr>
      <w:r w:rsidRPr="00982642">
        <w:rPr>
          <w:b/>
          <w:bCs/>
          <w:sz w:val="20"/>
        </w:rPr>
        <w:t>Methodology</w:t>
      </w:r>
    </w:p>
    <w:p w14:paraId="544E06A6" w14:textId="4B22EC6F" w:rsidR="00F515A8" w:rsidRPr="00982642" w:rsidRDefault="00F515A8" w:rsidP="00982642">
      <w:pPr>
        <w:spacing w:line="360" w:lineRule="auto"/>
        <w:jc w:val="left"/>
        <w:rPr>
          <w:sz w:val="20"/>
        </w:rPr>
      </w:pPr>
      <w:r w:rsidRPr="00982642">
        <w:rPr>
          <w:sz w:val="20"/>
        </w:rPr>
        <w:t>Study Design: Retrospective observationa</w:t>
      </w:r>
      <w:r w:rsidR="00FF7534" w:rsidRPr="00982642">
        <w:rPr>
          <w:sz w:val="20"/>
        </w:rPr>
        <w:t xml:space="preserve">l </w:t>
      </w:r>
      <w:r w:rsidRPr="00982642">
        <w:rPr>
          <w:sz w:val="20"/>
        </w:rPr>
        <w:t>Study</w:t>
      </w:r>
    </w:p>
    <w:p w14:paraId="5061F40E" w14:textId="77777777" w:rsidR="00F515A8" w:rsidRPr="00982642" w:rsidRDefault="00F515A8" w:rsidP="00982642">
      <w:pPr>
        <w:spacing w:line="360" w:lineRule="auto"/>
        <w:rPr>
          <w:sz w:val="20"/>
        </w:rPr>
      </w:pPr>
      <w:r w:rsidRPr="00982642">
        <w:rPr>
          <w:sz w:val="20"/>
        </w:rPr>
        <w:t>Sample size: 50</w:t>
      </w:r>
    </w:p>
    <w:p w14:paraId="58DCB08D" w14:textId="77777777" w:rsidR="00F515A8" w:rsidRPr="00982642" w:rsidRDefault="00F515A8" w:rsidP="00982642">
      <w:pPr>
        <w:spacing w:line="360" w:lineRule="auto"/>
        <w:rPr>
          <w:sz w:val="20"/>
        </w:rPr>
      </w:pPr>
      <w:r w:rsidRPr="00982642">
        <w:rPr>
          <w:sz w:val="20"/>
        </w:rPr>
        <w:t>Duration of study : Till attaining sample size</w:t>
      </w:r>
    </w:p>
    <w:p w14:paraId="256DE78B" w14:textId="32ACD457" w:rsidR="00F515A8" w:rsidRPr="00982642" w:rsidRDefault="00F515A8" w:rsidP="00982642">
      <w:pPr>
        <w:spacing w:line="360" w:lineRule="auto"/>
        <w:rPr>
          <w:sz w:val="20"/>
        </w:rPr>
      </w:pPr>
      <w:r w:rsidRPr="00982642">
        <w:rPr>
          <w:sz w:val="20"/>
        </w:rPr>
        <w:t xml:space="preserve">Study setting: Inpatients and outpatients in </w:t>
      </w:r>
      <w:r w:rsidR="00FF7534" w:rsidRPr="00982642">
        <w:rPr>
          <w:sz w:val="20"/>
        </w:rPr>
        <w:t>D</w:t>
      </w:r>
      <w:r w:rsidRPr="00982642">
        <w:rPr>
          <w:sz w:val="20"/>
        </w:rPr>
        <w:t xml:space="preserve">epartment of General surgery, Goa Medical College with ventral hernias. Retrospective data </w:t>
      </w:r>
      <w:r w:rsidR="00C350D4" w:rsidRPr="00982642">
        <w:rPr>
          <w:sz w:val="20"/>
        </w:rPr>
        <w:t>was</w:t>
      </w:r>
      <w:r w:rsidRPr="00982642">
        <w:rPr>
          <w:sz w:val="20"/>
        </w:rPr>
        <w:t xml:space="preserve"> collected from medical records department for this study for the year 2021 an</w:t>
      </w:r>
      <w:r w:rsidR="00C350D4" w:rsidRPr="00982642">
        <w:rPr>
          <w:sz w:val="20"/>
        </w:rPr>
        <w:t>d</w:t>
      </w:r>
      <w:r w:rsidRPr="00982642">
        <w:rPr>
          <w:sz w:val="20"/>
        </w:rPr>
        <w:t xml:space="preserve"> 2022.The data of 50 patients </w:t>
      </w:r>
      <w:r w:rsidR="00C350D4" w:rsidRPr="00982642">
        <w:rPr>
          <w:sz w:val="20"/>
        </w:rPr>
        <w:t>was</w:t>
      </w:r>
      <w:r w:rsidRPr="00982642">
        <w:rPr>
          <w:sz w:val="20"/>
        </w:rPr>
        <w:t xml:space="preserve"> collected and analysed. </w:t>
      </w:r>
    </w:p>
    <w:p w14:paraId="51AF7B93" w14:textId="77777777" w:rsidR="00F515A8" w:rsidRPr="00982642" w:rsidRDefault="00F515A8" w:rsidP="00982642">
      <w:pPr>
        <w:spacing w:line="360" w:lineRule="auto"/>
        <w:rPr>
          <w:sz w:val="20"/>
        </w:rPr>
      </w:pPr>
      <w:r w:rsidRPr="00982642">
        <w:rPr>
          <w:sz w:val="20"/>
        </w:rPr>
        <w:lastRenderedPageBreak/>
        <w:t>Inclusion criteria:</w:t>
      </w:r>
    </w:p>
    <w:p w14:paraId="54249962" w14:textId="4BD7DBF8" w:rsidR="00F515A8" w:rsidRPr="00982642" w:rsidRDefault="00F515A8" w:rsidP="00982642">
      <w:pPr>
        <w:spacing w:line="360" w:lineRule="auto"/>
        <w:rPr>
          <w:sz w:val="20"/>
        </w:rPr>
      </w:pPr>
      <w:r w:rsidRPr="00982642">
        <w:rPr>
          <w:sz w:val="20"/>
        </w:rPr>
        <w:t>Patient undergoing surgery</w:t>
      </w:r>
      <w:r w:rsidR="00FF7534" w:rsidRPr="00982642">
        <w:rPr>
          <w:sz w:val="20"/>
        </w:rPr>
        <w:t xml:space="preserve"> for ventral </w:t>
      </w:r>
      <w:r w:rsidR="008F2929" w:rsidRPr="00982642">
        <w:rPr>
          <w:sz w:val="20"/>
        </w:rPr>
        <w:t>hernia</w:t>
      </w:r>
      <w:r w:rsidRPr="00982642">
        <w:rPr>
          <w:sz w:val="20"/>
        </w:rPr>
        <w:t xml:space="preserve"> in our department.</w:t>
      </w:r>
    </w:p>
    <w:p w14:paraId="46D80A37" w14:textId="77777777" w:rsidR="00F515A8" w:rsidRPr="00982642" w:rsidRDefault="00F515A8" w:rsidP="00982642">
      <w:pPr>
        <w:spacing w:line="360" w:lineRule="auto"/>
        <w:rPr>
          <w:sz w:val="20"/>
        </w:rPr>
      </w:pPr>
      <w:r w:rsidRPr="00982642">
        <w:rPr>
          <w:sz w:val="20"/>
        </w:rPr>
        <w:t>Exclusion Criteria:</w:t>
      </w:r>
    </w:p>
    <w:p w14:paraId="690CB58C" w14:textId="77777777" w:rsidR="00F515A8" w:rsidRPr="00982642" w:rsidRDefault="00F515A8" w:rsidP="00982642">
      <w:pPr>
        <w:spacing w:line="360" w:lineRule="auto"/>
        <w:rPr>
          <w:sz w:val="20"/>
        </w:rPr>
      </w:pPr>
      <w:r w:rsidRPr="00982642">
        <w:rPr>
          <w:sz w:val="20"/>
        </w:rPr>
        <w:t xml:space="preserve">Patient operated with laparoscopic hernia repair </w:t>
      </w:r>
    </w:p>
    <w:p w14:paraId="6995BBDE" w14:textId="69E0D456" w:rsidR="00F515A8" w:rsidRPr="00982642" w:rsidRDefault="00FF7534" w:rsidP="00982642">
      <w:pPr>
        <w:spacing w:line="360" w:lineRule="auto"/>
        <w:rPr>
          <w:sz w:val="20"/>
        </w:rPr>
      </w:pPr>
      <w:r w:rsidRPr="00982642">
        <w:rPr>
          <w:sz w:val="20"/>
        </w:rPr>
        <w:t>Patients</w:t>
      </w:r>
      <w:r w:rsidR="00F515A8" w:rsidRPr="00982642">
        <w:rPr>
          <w:sz w:val="20"/>
        </w:rPr>
        <w:t xml:space="preserve"> with defect size less than 1.5</w:t>
      </w:r>
    </w:p>
    <w:p w14:paraId="4BBF3164" w14:textId="77777777" w:rsidR="00F515A8" w:rsidRPr="00982642" w:rsidRDefault="00F515A8" w:rsidP="00982642">
      <w:pPr>
        <w:spacing w:line="360" w:lineRule="auto"/>
        <w:rPr>
          <w:sz w:val="20"/>
        </w:rPr>
      </w:pPr>
      <w:r w:rsidRPr="00982642">
        <w:rPr>
          <w:sz w:val="20"/>
        </w:rPr>
        <w:t>Analysis:</w:t>
      </w:r>
    </w:p>
    <w:p w14:paraId="00D69B87" w14:textId="7A470E30" w:rsidR="00F515A8" w:rsidRPr="00982642" w:rsidRDefault="00F515A8" w:rsidP="00982642">
      <w:pPr>
        <w:spacing w:line="360" w:lineRule="auto"/>
        <w:jc w:val="left"/>
        <w:rPr>
          <w:color w:val="212121"/>
          <w:sz w:val="20"/>
          <w:shd w:val="clear" w:color="auto" w:fill="FFFFFF"/>
        </w:rPr>
      </w:pPr>
      <w:r w:rsidRPr="00982642">
        <w:rPr>
          <w:sz w:val="20"/>
        </w:rPr>
        <w:t xml:space="preserve">Data </w:t>
      </w:r>
      <w:r w:rsidR="00C350D4" w:rsidRPr="00982642">
        <w:rPr>
          <w:sz w:val="20"/>
        </w:rPr>
        <w:t>was</w:t>
      </w:r>
      <w:r w:rsidRPr="00982642">
        <w:rPr>
          <w:sz w:val="20"/>
        </w:rPr>
        <w:t xml:space="preserve"> analysed using SPSS Version software.</w:t>
      </w:r>
    </w:p>
    <w:p w14:paraId="2678F6CE" w14:textId="6935BFFA" w:rsidR="00F515A8" w:rsidRPr="00982642" w:rsidRDefault="00F515A8" w:rsidP="00982642">
      <w:pPr>
        <w:spacing w:line="360" w:lineRule="auto"/>
        <w:jc w:val="left"/>
        <w:rPr>
          <w:b/>
          <w:bCs/>
          <w:color w:val="212121"/>
          <w:sz w:val="20"/>
          <w:shd w:val="clear" w:color="auto" w:fill="FFFFFF"/>
        </w:rPr>
      </w:pPr>
      <w:r w:rsidRPr="00982642">
        <w:rPr>
          <w:b/>
          <w:bCs/>
          <w:color w:val="212121"/>
          <w:sz w:val="20"/>
          <w:shd w:val="clear" w:color="auto" w:fill="FFFFFF"/>
        </w:rPr>
        <w:t>Conclusion:</w:t>
      </w:r>
    </w:p>
    <w:p w14:paraId="2B6FA7B6" w14:textId="677B2014" w:rsidR="00775326" w:rsidRPr="00982642" w:rsidRDefault="00FF7534" w:rsidP="00982642">
      <w:pPr>
        <w:spacing w:line="360" w:lineRule="auto"/>
        <w:rPr>
          <w:color w:val="212121"/>
          <w:sz w:val="20"/>
          <w:shd w:val="clear" w:color="auto" w:fill="FFFFFF"/>
        </w:rPr>
      </w:pPr>
      <w:r w:rsidRPr="00982642">
        <w:rPr>
          <w:color w:val="212121"/>
          <w:sz w:val="20"/>
          <w:shd w:val="clear" w:color="auto" w:fill="FFFFFF"/>
        </w:rPr>
        <w:t>Out of 50 patients with ventral Hernias ,</w:t>
      </w:r>
      <w:r w:rsidR="005A4770" w:rsidRPr="00982642">
        <w:rPr>
          <w:color w:val="212121"/>
          <w:sz w:val="20"/>
          <w:shd w:val="clear" w:color="auto" w:fill="FFFFFF"/>
        </w:rPr>
        <w:t>30 patients (60%)</w:t>
      </w:r>
      <w:r w:rsidRPr="00982642">
        <w:rPr>
          <w:color w:val="212121"/>
          <w:sz w:val="20"/>
          <w:shd w:val="clear" w:color="auto" w:fill="FFFFFF"/>
        </w:rPr>
        <w:t xml:space="preserve"> had</w:t>
      </w:r>
      <w:r w:rsidR="005A4770" w:rsidRPr="00982642">
        <w:rPr>
          <w:color w:val="212121"/>
          <w:sz w:val="20"/>
          <w:shd w:val="clear" w:color="auto" w:fill="FFFFFF"/>
        </w:rPr>
        <w:t xml:space="preserve"> </w:t>
      </w:r>
      <w:r w:rsidRPr="00982642">
        <w:rPr>
          <w:color w:val="212121"/>
          <w:sz w:val="20"/>
          <w:shd w:val="clear" w:color="auto" w:fill="FFFFFF"/>
        </w:rPr>
        <w:t>p</w:t>
      </w:r>
      <w:r w:rsidR="005A4770" w:rsidRPr="00982642">
        <w:rPr>
          <w:color w:val="212121"/>
          <w:sz w:val="20"/>
          <w:shd w:val="clear" w:color="auto" w:fill="FFFFFF"/>
        </w:rPr>
        <w:t xml:space="preserve">araumbilical hernia ,12 (24%) were incisional hernia and 4 (8)% were umbilical hernia and 3(4%) were epigastric hernia and 1 (2%) was spigelian </w:t>
      </w:r>
      <w:r w:rsidR="00A13A09" w:rsidRPr="00982642">
        <w:rPr>
          <w:color w:val="212121"/>
          <w:sz w:val="20"/>
          <w:shd w:val="clear" w:color="auto" w:fill="FFFFFF"/>
        </w:rPr>
        <w:t>hernia. Among</w:t>
      </w:r>
      <w:r w:rsidR="005A4770" w:rsidRPr="00982642">
        <w:rPr>
          <w:color w:val="212121"/>
          <w:sz w:val="20"/>
          <w:shd w:val="clear" w:color="auto" w:fill="FFFFFF"/>
        </w:rPr>
        <w:t xml:space="preserve"> 50 cases of ventral hernia, 30 ( 60%) were Females and 20 cases (40%) were males.</w:t>
      </w:r>
      <w:r w:rsidR="005A4770" w:rsidRPr="00982642">
        <w:rPr>
          <w:rFonts w:eastAsia="Calibri"/>
          <w:color w:val="000000"/>
          <w:position w:val="1"/>
          <w:sz w:val="20"/>
        </w:rPr>
        <w:t xml:space="preserve"> </w:t>
      </w:r>
    </w:p>
    <w:p w14:paraId="237A0519" w14:textId="77777777" w:rsidR="00775326" w:rsidRPr="00982642" w:rsidRDefault="00775326" w:rsidP="00982642">
      <w:pPr>
        <w:spacing w:line="360" w:lineRule="auto"/>
        <w:rPr>
          <w:color w:val="212121"/>
          <w:sz w:val="20"/>
          <w:shd w:val="clear" w:color="auto" w:fill="FFFFFF"/>
        </w:rPr>
      </w:pPr>
    </w:p>
    <w:p w14:paraId="5AD7436A" w14:textId="0F422E2D" w:rsidR="00775326" w:rsidRPr="00982642" w:rsidRDefault="00775326" w:rsidP="00982642">
      <w:pPr>
        <w:spacing w:line="360" w:lineRule="auto"/>
        <w:rPr>
          <w:color w:val="212121"/>
          <w:sz w:val="20"/>
          <w:shd w:val="clear" w:color="auto" w:fill="FFFFFF"/>
        </w:rPr>
      </w:pPr>
      <w:r w:rsidRPr="00982642">
        <w:rPr>
          <w:noProof/>
          <w:sz w:val="20"/>
          <w:lang w:eastAsia="en-IN"/>
        </w:rPr>
        <w:drawing>
          <wp:inline distT="0" distB="0" distL="0" distR="0" wp14:anchorId="78F220B4" wp14:editId="646C40F6">
            <wp:extent cx="3245476" cy="1313645"/>
            <wp:effectExtent l="0" t="0" r="12700" b="20320"/>
            <wp:docPr id="1" name="Chart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E57E0892-60EE-AA1E-BB7C-D4757D9C55D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59D7387D" w14:textId="77777777" w:rsidR="00FA6CCD" w:rsidRPr="00982642" w:rsidRDefault="00FA6CCD" w:rsidP="00982642">
      <w:pPr>
        <w:spacing w:line="360" w:lineRule="auto"/>
        <w:rPr>
          <w:color w:val="212121"/>
          <w:sz w:val="20"/>
          <w:shd w:val="clear" w:color="auto" w:fill="FFFFFF"/>
        </w:rPr>
      </w:pPr>
    </w:p>
    <w:p w14:paraId="0E11F92A" w14:textId="71580C27" w:rsidR="00775326" w:rsidRPr="00982642" w:rsidRDefault="00775326" w:rsidP="00982642">
      <w:pPr>
        <w:spacing w:line="360" w:lineRule="auto"/>
        <w:rPr>
          <w:color w:val="212121"/>
          <w:sz w:val="20"/>
          <w:shd w:val="clear" w:color="auto" w:fill="FFFFFF"/>
        </w:rPr>
      </w:pPr>
      <w:r w:rsidRPr="00982642">
        <w:rPr>
          <w:color w:val="212121"/>
          <w:sz w:val="20"/>
          <w:shd w:val="clear" w:color="auto" w:fill="FFFFFF"/>
        </w:rPr>
        <w:t>Fig 1 : Sex distribution of study participants according to</w:t>
      </w:r>
      <w:r w:rsidR="00FF7534" w:rsidRPr="00982642">
        <w:rPr>
          <w:color w:val="212121"/>
          <w:sz w:val="20"/>
          <w:shd w:val="clear" w:color="auto" w:fill="FFFFFF"/>
        </w:rPr>
        <w:t xml:space="preserve"> different</w:t>
      </w:r>
      <w:r w:rsidRPr="00982642">
        <w:rPr>
          <w:color w:val="212121"/>
          <w:sz w:val="20"/>
          <w:shd w:val="clear" w:color="auto" w:fill="FFFFFF"/>
        </w:rPr>
        <w:t xml:space="preserve"> type of </w:t>
      </w:r>
      <w:r w:rsidR="00FF7534" w:rsidRPr="00982642">
        <w:rPr>
          <w:color w:val="212121"/>
          <w:sz w:val="20"/>
          <w:shd w:val="clear" w:color="auto" w:fill="FFFFFF"/>
        </w:rPr>
        <w:t xml:space="preserve">ventral </w:t>
      </w:r>
      <w:r w:rsidRPr="00982642">
        <w:rPr>
          <w:color w:val="212121"/>
          <w:sz w:val="20"/>
          <w:shd w:val="clear" w:color="auto" w:fill="FFFFFF"/>
        </w:rPr>
        <w:t>hernia.</w:t>
      </w:r>
    </w:p>
    <w:p w14:paraId="3C432C7F" w14:textId="77777777" w:rsidR="00775326" w:rsidRPr="00982642" w:rsidRDefault="00775326" w:rsidP="00982642">
      <w:pPr>
        <w:spacing w:line="360" w:lineRule="auto"/>
        <w:rPr>
          <w:color w:val="212121"/>
          <w:sz w:val="20"/>
          <w:shd w:val="clear" w:color="auto" w:fill="FFFFFF"/>
        </w:rPr>
      </w:pPr>
    </w:p>
    <w:p w14:paraId="228D7B25" w14:textId="2B275893" w:rsidR="005A4770" w:rsidRPr="00982642" w:rsidRDefault="005A4770" w:rsidP="00982642">
      <w:pPr>
        <w:spacing w:line="360" w:lineRule="auto"/>
        <w:rPr>
          <w:color w:val="212121"/>
          <w:sz w:val="20"/>
          <w:shd w:val="clear" w:color="auto" w:fill="FFFFFF"/>
        </w:rPr>
      </w:pPr>
      <w:r w:rsidRPr="00982642">
        <w:rPr>
          <w:color w:val="212121"/>
          <w:sz w:val="20"/>
          <w:shd w:val="clear" w:color="auto" w:fill="FFFFFF"/>
        </w:rPr>
        <w:t xml:space="preserve">Paraumbilical hernia </w:t>
      </w:r>
      <w:r w:rsidR="00C350D4" w:rsidRPr="00982642">
        <w:rPr>
          <w:color w:val="212121"/>
          <w:sz w:val="20"/>
          <w:shd w:val="clear" w:color="auto" w:fill="FFFFFF"/>
        </w:rPr>
        <w:t>was</w:t>
      </w:r>
      <w:r w:rsidRPr="00982642">
        <w:rPr>
          <w:color w:val="212121"/>
          <w:sz w:val="20"/>
          <w:shd w:val="clear" w:color="auto" w:fill="FFFFFF"/>
        </w:rPr>
        <w:t xml:space="preserve"> more common in females</w:t>
      </w:r>
      <w:r w:rsidR="00FF7534" w:rsidRPr="00982642">
        <w:rPr>
          <w:color w:val="212121"/>
          <w:sz w:val="20"/>
          <w:shd w:val="clear" w:color="auto" w:fill="FFFFFF"/>
        </w:rPr>
        <w:t xml:space="preserve">. </w:t>
      </w:r>
      <w:r w:rsidRPr="00982642">
        <w:rPr>
          <w:color w:val="212121"/>
          <w:sz w:val="20"/>
          <w:shd w:val="clear" w:color="auto" w:fill="FFFFFF"/>
        </w:rPr>
        <w:t>57% (17 out of 30)</w:t>
      </w:r>
      <w:r w:rsidR="00FF7534" w:rsidRPr="00982642">
        <w:rPr>
          <w:color w:val="212121"/>
          <w:sz w:val="20"/>
          <w:shd w:val="clear" w:color="auto" w:fill="FFFFFF"/>
        </w:rPr>
        <w:t xml:space="preserve"> cases were females whereas</w:t>
      </w:r>
      <w:r w:rsidRPr="00982642">
        <w:rPr>
          <w:color w:val="212121"/>
          <w:sz w:val="20"/>
          <w:shd w:val="clear" w:color="auto" w:fill="FFFFFF"/>
        </w:rPr>
        <w:t>13 out of 30</w:t>
      </w:r>
      <w:r w:rsidR="00FF7534" w:rsidRPr="00982642">
        <w:rPr>
          <w:color w:val="212121"/>
          <w:sz w:val="20"/>
          <w:shd w:val="clear" w:color="auto" w:fill="FFFFFF"/>
        </w:rPr>
        <w:t xml:space="preserve"> (47%) were males</w:t>
      </w:r>
      <w:r w:rsidRPr="00982642">
        <w:rPr>
          <w:color w:val="212121"/>
          <w:sz w:val="20"/>
          <w:shd w:val="clear" w:color="auto" w:fill="FFFFFF"/>
        </w:rPr>
        <w:t>.</w:t>
      </w:r>
      <w:r w:rsidR="00C350D4" w:rsidRPr="00982642">
        <w:rPr>
          <w:color w:val="212121"/>
          <w:sz w:val="20"/>
          <w:shd w:val="clear" w:color="auto" w:fill="FFFFFF"/>
        </w:rPr>
        <w:t xml:space="preserve"> </w:t>
      </w:r>
      <w:r w:rsidRPr="00982642">
        <w:rPr>
          <w:color w:val="212121"/>
          <w:sz w:val="20"/>
          <w:shd w:val="clear" w:color="auto" w:fill="FFFFFF"/>
        </w:rPr>
        <w:t>Among incisional hernia majority cases were females</w:t>
      </w:r>
      <w:r w:rsidR="00FF7534" w:rsidRPr="00982642">
        <w:rPr>
          <w:color w:val="212121"/>
          <w:sz w:val="20"/>
          <w:shd w:val="clear" w:color="auto" w:fill="FFFFFF"/>
        </w:rPr>
        <w:t xml:space="preserve">. </w:t>
      </w:r>
      <w:r w:rsidRPr="00982642">
        <w:rPr>
          <w:color w:val="212121"/>
          <w:sz w:val="20"/>
          <w:shd w:val="clear" w:color="auto" w:fill="FFFFFF"/>
        </w:rPr>
        <w:t>8 out of 12 cases (67%)were females and 4 out of 12 cases were males (33%).Umbilical hernia more cases were found in females</w:t>
      </w:r>
      <w:r w:rsidR="00FA6CCD" w:rsidRPr="00982642">
        <w:rPr>
          <w:color w:val="212121"/>
          <w:sz w:val="20"/>
          <w:shd w:val="clear" w:color="auto" w:fill="FFFFFF"/>
        </w:rPr>
        <w:t xml:space="preserve"> i.e.</w:t>
      </w:r>
      <w:r w:rsidRPr="00982642">
        <w:rPr>
          <w:color w:val="212121"/>
          <w:sz w:val="20"/>
          <w:shd w:val="clear" w:color="auto" w:fill="FFFFFF"/>
        </w:rPr>
        <w:t xml:space="preserve"> 3 out of 4 (75%)</w:t>
      </w:r>
      <w:r w:rsidR="00FA6CCD" w:rsidRPr="00982642">
        <w:rPr>
          <w:color w:val="212121"/>
          <w:sz w:val="20"/>
          <w:shd w:val="clear" w:color="auto" w:fill="FFFFFF"/>
        </w:rPr>
        <w:t>females</w:t>
      </w:r>
      <w:r w:rsidRPr="00982642">
        <w:rPr>
          <w:color w:val="212121"/>
          <w:sz w:val="20"/>
          <w:shd w:val="clear" w:color="auto" w:fill="FFFFFF"/>
        </w:rPr>
        <w:t xml:space="preserve"> than males (1 out of 4 (25%)).Among epigastric hernia 2 out of 3 were males (67%) and one was female(33%) .Also one case of spigelian hernia was seen, that was in females. </w:t>
      </w:r>
    </w:p>
    <w:p w14:paraId="6B18571C" w14:textId="70027670" w:rsidR="00775326" w:rsidRPr="00982642" w:rsidRDefault="005A4770" w:rsidP="00982642">
      <w:pPr>
        <w:pStyle w:val="NoSpacing"/>
        <w:spacing w:line="360" w:lineRule="auto"/>
        <w:rPr>
          <w:sz w:val="20"/>
          <w:shd w:val="clear" w:color="auto" w:fill="FFFFFF"/>
        </w:rPr>
      </w:pPr>
      <w:r w:rsidRPr="00982642">
        <w:rPr>
          <w:sz w:val="20"/>
          <w:shd w:val="clear" w:color="auto" w:fill="FFFFFF"/>
        </w:rPr>
        <w:t xml:space="preserve">The youngest  patient with ventral hernia was a female with 22 years of age with umbilical </w:t>
      </w:r>
      <w:r w:rsidR="00C350D4" w:rsidRPr="00982642">
        <w:rPr>
          <w:sz w:val="20"/>
          <w:shd w:val="clear" w:color="auto" w:fill="FFFFFF"/>
        </w:rPr>
        <w:t>hernia. Oldest</w:t>
      </w:r>
      <w:r w:rsidRPr="00982642">
        <w:rPr>
          <w:sz w:val="20"/>
          <w:shd w:val="clear" w:color="auto" w:fill="FFFFFF"/>
        </w:rPr>
        <w:t xml:space="preserve"> </w:t>
      </w:r>
      <w:r w:rsidR="00C350D4" w:rsidRPr="00982642">
        <w:rPr>
          <w:sz w:val="20"/>
          <w:shd w:val="clear" w:color="auto" w:fill="FFFFFF"/>
        </w:rPr>
        <w:t>case was a</w:t>
      </w:r>
      <w:r w:rsidRPr="00982642">
        <w:rPr>
          <w:sz w:val="20"/>
          <w:shd w:val="clear" w:color="auto" w:fill="FFFFFF"/>
        </w:rPr>
        <w:t xml:space="preserve"> female aged 72 years with paraumbilical hernia. The highest incidence of ventral hernia was seen in 6</w:t>
      </w:r>
      <w:r w:rsidRPr="00982642">
        <w:rPr>
          <w:sz w:val="20"/>
          <w:shd w:val="clear" w:color="auto" w:fill="FFFFFF"/>
          <w:vertAlign w:val="superscript"/>
        </w:rPr>
        <w:t>th</w:t>
      </w:r>
      <w:r w:rsidRPr="00982642">
        <w:rPr>
          <w:sz w:val="20"/>
          <w:shd w:val="clear" w:color="auto" w:fill="FFFFFF"/>
        </w:rPr>
        <w:t xml:space="preserve"> decade that is 20 cases which accounted to 40% and the lowest incidence was in 8</w:t>
      </w:r>
      <w:r w:rsidRPr="00982642">
        <w:rPr>
          <w:sz w:val="20"/>
          <w:shd w:val="clear" w:color="auto" w:fill="FFFFFF"/>
          <w:vertAlign w:val="superscript"/>
        </w:rPr>
        <w:t>th</w:t>
      </w:r>
      <w:r w:rsidRPr="00982642">
        <w:rPr>
          <w:sz w:val="20"/>
          <w:shd w:val="clear" w:color="auto" w:fill="FFFFFF"/>
        </w:rPr>
        <w:t xml:space="preserve"> decade that is 1 case(2%).The incidence of umbilical hernia  is the highest in 3</w:t>
      </w:r>
      <w:r w:rsidRPr="00982642">
        <w:rPr>
          <w:sz w:val="20"/>
          <w:shd w:val="clear" w:color="auto" w:fill="FFFFFF"/>
          <w:vertAlign w:val="superscript"/>
        </w:rPr>
        <w:t>rd</w:t>
      </w:r>
      <w:r w:rsidRPr="00982642">
        <w:rPr>
          <w:sz w:val="20"/>
          <w:shd w:val="clear" w:color="auto" w:fill="FFFFFF"/>
        </w:rPr>
        <w:t xml:space="preserve"> decade that is 40% (3 Cases)</w:t>
      </w:r>
      <w:r w:rsidR="00C350D4" w:rsidRPr="00982642">
        <w:rPr>
          <w:sz w:val="20"/>
          <w:shd w:val="clear" w:color="auto" w:fill="FFFFFF"/>
        </w:rPr>
        <w:t xml:space="preserve"> </w:t>
      </w:r>
      <w:r w:rsidRPr="00982642">
        <w:rPr>
          <w:sz w:val="20"/>
          <w:shd w:val="clear" w:color="auto" w:fill="FFFFFF"/>
        </w:rPr>
        <w:t>and lowest in 6</w:t>
      </w:r>
      <w:r w:rsidRPr="00982642">
        <w:rPr>
          <w:sz w:val="20"/>
          <w:shd w:val="clear" w:color="auto" w:fill="FFFFFF"/>
          <w:vertAlign w:val="superscript"/>
        </w:rPr>
        <w:t>th</w:t>
      </w:r>
      <w:r w:rsidRPr="00982642">
        <w:rPr>
          <w:sz w:val="20"/>
          <w:shd w:val="clear" w:color="auto" w:fill="FFFFFF"/>
        </w:rPr>
        <w:t xml:space="preserve">  decade that is</w:t>
      </w:r>
      <w:r w:rsidR="00C350D4" w:rsidRPr="00982642">
        <w:rPr>
          <w:sz w:val="20"/>
          <w:shd w:val="clear" w:color="auto" w:fill="FFFFFF"/>
        </w:rPr>
        <w:t xml:space="preserve"> </w:t>
      </w:r>
      <w:r w:rsidRPr="00982642">
        <w:rPr>
          <w:sz w:val="20"/>
          <w:shd w:val="clear" w:color="auto" w:fill="FFFFFF"/>
        </w:rPr>
        <w:t>20% (1Case ).</w:t>
      </w:r>
      <w:r w:rsidR="00C350D4" w:rsidRPr="00982642">
        <w:rPr>
          <w:sz w:val="20"/>
          <w:shd w:val="clear" w:color="auto" w:fill="FFFFFF"/>
        </w:rPr>
        <w:t xml:space="preserve"> </w:t>
      </w:r>
      <w:r w:rsidRPr="00982642">
        <w:rPr>
          <w:sz w:val="20"/>
          <w:shd w:val="clear" w:color="auto" w:fill="FFFFFF"/>
        </w:rPr>
        <w:t xml:space="preserve">In epigastric hernia all cases were </w:t>
      </w:r>
      <w:r w:rsidR="00FA6CCD" w:rsidRPr="00982642">
        <w:rPr>
          <w:sz w:val="20"/>
          <w:shd w:val="clear" w:color="auto" w:fill="FFFFFF"/>
        </w:rPr>
        <w:t>seen</w:t>
      </w:r>
      <w:r w:rsidRPr="00982642">
        <w:rPr>
          <w:sz w:val="20"/>
          <w:shd w:val="clear" w:color="auto" w:fill="FFFFFF"/>
        </w:rPr>
        <w:t xml:space="preserve"> in 4</w:t>
      </w:r>
      <w:r w:rsidRPr="00982642">
        <w:rPr>
          <w:sz w:val="20"/>
          <w:shd w:val="clear" w:color="auto" w:fill="FFFFFF"/>
          <w:vertAlign w:val="superscript"/>
        </w:rPr>
        <w:t>th</w:t>
      </w:r>
      <w:r w:rsidRPr="00982642">
        <w:rPr>
          <w:sz w:val="20"/>
          <w:shd w:val="clear" w:color="auto" w:fill="FFFFFF"/>
        </w:rPr>
        <w:t xml:space="preserve">  and 6</w:t>
      </w:r>
      <w:r w:rsidRPr="00982642">
        <w:rPr>
          <w:sz w:val="20"/>
          <w:shd w:val="clear" w:color="auto" w:fill="FFFFFF"/>
          <w:vertAlign w:val="superscript"/>
        </w:rPr>
        <w:t>th</w:t>
      </w:r>
      <w:r w:rsidRPr="00982642">
        <w:rPr>
          <w:sz w:val="20"/>
          <w:shd w:val="clear" w:color="auto" w:fill="FFFFFF"/>
        </w:rPr>
        <w:t xml:space="preserve">  decade that is 67% and 33% </w:t>
      </w:r>
      <w:r w:rsidR="00C350D4" w:rsidRPr="00982642">
        <w:rPr>
          <w:sz w:val="20"/>
          <w:shd w:val="clear" w:color="auto" w:fill="FFFFFF"/>
        </w:rPr>
        <w:t>.</w:t>
      </w:r>
      <w:r w:rsidRPr="00982642">
        <w:rPr>
          <w:sz w:val="20"/>
          <w:shd w:val="clear" w:color="auto" w:fill="FFFFFF"/>
        </w:rPr>
        <w:t xml:space="preserve"> Among incisional hernia most cases were found in 5</w:t>
      </w:r>
      <w:r w:rsidRPr="00982642">
        <w:rPr>
          <w:sz w:val="20"/>
          <w:shd w:val="clear" w:color="auto" w:fill="FFFFFF"/>
          <w:vertAlign w:val="superscript"/>
        </w:rPr>
        <w:t>th</w:t>
      </w:r>
      <w:r w:rsidRPr="00982642">
        <w:rPr>
          <w:sz w:val="20"/>
          <w:shd w:val="clear" w:color="auto" w:fill="FFFFFF"/>
        </w:rPr>
        <w:t xml:space="preserve"> decade (5 cases)and in 4</w:t>
      </w:r>
      <w:r w:rsidRPr="00982642">
        <w:rPr>
          <w:sz w:val="20"/>
          <w:shd w:val="clear" w:color="auto" w:fill="FFFFFF"/>
          <w:vertAlign w:val="superscript"/>
        </w:rPr>
        <w:t>th</w:t>
      </w:r>
      <w:r w:rsidRPr="00982642">
        <w:rPr>
          <w:sz w:val="20"/>
          <w:shd w:val="clear" w:color="auto" w:fill="FFFFFF"/>
        </w:rPr>
        <w:t xml:space="preserve">  decade (3 cases) which accounted to 66% of all incisional hernia. </w:t>
      </w:r>
    </w:p>
    <w:p w14:paraId="756B5597" w14:textId="0A87FEC4" w:rsidR="00775326" w:rsidRDefault="00775326" w:rsidP="00982642">
      <w:pPr>
        <w:pStyle w:val="NoSpacing"/>
        <w:spacing w:line="360" w:lineRule="auto"/>
        <w:rPr>
          <w:sz w:val="20"/>
          <w:shd w:val="clear" w:color="auto" w:fill="FFFFFF"/>
        </w:rPr>
      </w:pPr>
    </w:p>
    <w:p w14:paraId="054AF26B" w14:textId="77777777" w:rsidR="00982642" w:rsidRDefault="00982642" w:rsidP="00982642">
      <w:pPr>
        <w:pStyle w:val="NoSpacing"/>
        <w:spacing w:line="360" w:lineRule="auto"/>
        <w:rPr>
          <w:sz w:val="20"/>
          <w:shd w:val="clear" w:color="auto" w:fill="FFFFFF"/>
        </w:rPr>
      </w:pPr>
    </w:p>
    <w:p w14:paraId="2742A6F3" w14:textId="77777777" w:rsidR="00982642" w:rsidRDefault="00982642" w:rsidP="00982642">
      <w:pPr>
        <w:pStyle w:val="NoSpacing"/>
        <w:spacing w:line="360" w:lineRule="auto"/>
        <w:rPr>
          <w:sz w:val="20"/>
          <w:shd w:val="clear" w:color="auto" w:fill="FFFFFF"/>
        </w:rPr>
      </w:pPr>
    </w:p>
    <w:p w14:paraId="430B74F8" w14:textId="77777777" w:rsidR="00982642" w:rsidRDefault="00982642" w:rsidP="00982642">
      <w:pPr>
        <w:pStyle w:val="NoSpacing"/>
        <w:spacing w:line="360" w:lineRule="auto"/>
        <w:rPr>
          <w:sz w:val="20"/>
          <w:shd w:val="clear" w:color="auto" w:fill="FFFFFF"/>
        </w:rPr>
      </w:pPr>
    </w:p>
    <w:p w14:paraId="29932CE1" w14:textId="77777777" w:rsidR="00982642" w:rsidRDefault="00982642" w:rsidP="00982642">
      <w:pPr>
        <w:pStyle w:val="NoSpacing"/>
        <w:spacing w:line="360" w:lineRule="auto"/>
        <w:rPr>
          <w:sz w:val="20"/>
          <w:shd w:val="clear" w:color="auto" w:fill="FFFFFF"/>
        </w:rPr>
      </w:pPr>
    </w:p>
    <w:p w14:paraId="0E2D84F7" w14:textId="77777777" w:rsidR="00982642" w:rsidRDefault="00982642" w:rsidP="00982642">
      <w:pPr>
        <w:pStyle w:val="NoSpacing"/>
        <w:spacing w:line="360" w:lineRule="auto"/>
        <w:rPr>
          <w:sz w:val="20"/>
          <w:shd w:val="clear" w:color="auto" w:fill="FFFFFF"/>
        </w:rPr>
      </w:pPr>
    </w:p>
    <w:p w14:paraId="0352A750" w14:textId="77777777" w:rsidR="00982642" w:rsidRPr="00982642" w:rsidRDefault="00982642" w:rsidP="00982642">
      <w:pPr>
        <w:pStyle w:val="NoSpacing"/>
        <w:spacing w:line="360" w:lineRule="auto"/>
        <w:rPr>
          <w:sz w:val="20"/>
          <w:shd w:val="clear" w:color="auto" w:fill="FFFFFF"/>
        </w:rPr>
      </w:pPr>
    </w:p>
    <w:p w14:paraId="1E455B4E" w14:textId="77777777" w:rsidR="00775326" w:rsidRPr="00982642" w:rsidRDefault="00775326" w:rsidP="00982642">
      <w:pPr>
        <w:pStyle w:val="NoSpacing"/>
        <w:spacing w:line="360" w:lineRule="auto"/>
        <w:rPr>
          <w:sz w:val="20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775326" w:rsidRPr="00982642" w14:paraId="06A43AC5" w14:textId="77777777" w:rsidTr="00F628D5">
        <w:tc>
          <w:tcPr>
            <w:tcW w:w="1803" w:type="dxa"/>
          </w:tcPr>
          <w:p w14:paraId="76F45000" w14:textId="77777777" w:rsidR="00775326" w:rsidRPr="00982642" w:rsidRDefault="00775326" w:rsidP="00982642">
            <w:pPr>
              <w:spacing w:line="360" w:lineRule="auto"/>
              <w:rPr>
                <w:sz w:val="20"/>
              </w:rPr>
            </w:pPr>
          </w:p>
        </w:tc>
        <w:tc>
          <w:tcPr>
            <w:tcW w:w="1803" w:type="dxa"/>
          </w:tcPr>
          <w:p w14:paraId="15AE07F7" w14:textId="2357AAE4" w:rsidR="00775326" w:rsidRPr="00982642" w:rsidRDefault="00775326" w:rsidP="00982642">
            <w:pPr>
              <w:spacing w:line="360" w:lineRule="auto"/>
              <w:rPr>
                <w:sz w:val="20"/>
              </w:rPr>
            </w:pPr>
            <w:r w:rsidRPr="00982642">
              <w:rPr>
                <w:sz w:val="20"/>
              </w:rPr>
              <w:t>P</w:t>
            </w:r>
            <w:r w:rsidR="00C350D4" w:rsidRPr="00982642">
              <w:rPr>
                <w:sz w:val="20"/>
              </w:rPr>
              <w:t>araumbilical Hernia</w:t>
            </w:r>
          </w:p>
        </w:tc>
        <w:tc>
          <w:tcPr>
            <w:tcW w:w="1803" w:type="dxa"/>
          </w:tcPr>
          <w:p w14:paraId="50743ADD" w14:textId="049CF792" w:rsidR="00775326" w:rsidRPr="00982642" w:rsidRDefault="00C350D4" w:rsidP="00982642">
            <w:pPr>
              <w:spacing w:line="360" w:lineRule="auto"/>
              <w:rPr>
                <w:sz w:val="20"/>
              </w:rPr>
            </w:pPr>
            <w:r w:rsidRPr="00982642">
              <w:rPr>
                <w:sz w:val="20"/>
              </w:rPr>
              <w:t>Incisional Hernia</w:t>
            </w:r>
          </w:p>
        </w:tc>
        <w:tc>
          <w:tcPr>
            <w:tcW w:w="1803" w:type="dxa"/>
          </w:tcPr>
          <w:p w14:paraId="1603099A" w14:textId="09BA325E" w:rsidR="00775326" w:rsidRPr="00982642" w:rsidRDefault="00775326" w:rsidP="00982642">
            <w:pPr>
              <w:spacing w:line="360" w:lineRule="auto"/>
              <w:rPr>
                <w:sz w:val="20"/>
              </w:rPr>
            </w:pPr>
            <w:r w:rsidRPr="00982642">
              <w:rPr>
                <w:sz w:val="20"/>
              </w:rPr>
              <w:t>U</w:t>
            </w:r>
            <w:r w:rsidR="00C350D4" w:rsidRPr="00982642">
              <w:rPr>
                <w:sz w:val="20"/>
              </w:rPr>
              <w:t>mbilical Hernia</w:t>
            </w:r>
          </w:p>
        </w:tc>
        <w:tc>
          <w:tcPr>
            <w:tcW w:w="1804" w:type="dxa"/>
          </w:tcPr>
          <w:p w14:paraId="0D942035" w14:textId="6733EC6B" w:rsidR="00775326" w:rsidRPr="00982642" w:rsidRDefault="00775326" w:rsidP="00982642">
            <w:pPr>
              <w:spacing w:line="360" w:lineRule="auto"/>
              <w:rPr>
                <w:sz w:val="20"/>
              </w:rPr>
            </w:pPr>
            <w:r w:rsidRPr="00982642">
              <w:rPr>
                <w:sz w:val="20"/>
              </w:rPr>
              <w:t>S</w:t>
            </w:r>
            <w:r w:rsidR="00C350D4" w:rsidRPr="00982642">
              <w:rPr>
                <w:sz w:val="20"/>
              </w:rPr>
              <w:t>pigelian Hernia</w:t>
            </w:r>
          </w:p>
        </w:tc>
      </w:tr>
      <w:tr w:rsidR="00775326" w:rsidRPr="00982642" w14:paraId="7F5B4F5A" w14:textId="77777777" w:rsidTr="00F628D5">
        <w:tc>
          <w:tcPr>
            <w:tcW w:w="1803" w:type="dxa"/>
          </w:tcPr>
          <w:p w14:paraId="656F3CCE" w14:textId="77777777" w:rsidR="00775326" w:rsidRPr="00982642" w:rsidRDefault="00775326" w:rsidP="00982642">
            <w:pPr>
              <w:spacing w:line="360" w:lineRule="auto"/>
              <w:rPr>
                <w:sz w:val="20"/>
              </w:rPr>
            </w:pPr>
            <w:r w:rsidRPr="00982642">
              <w:rPr>
                <w:sz w:val="20"/>
              </w:rPr>
              <w:t>Swelling</w:t>
            </w:r>
          </w:p>
        </w:tc>
        <w:tc>
          <w:tcPr>
            <w:tcW w:w="1803" w:type="dxa"/>
          </w:tcPr>
          <w:p w14:paraId="777C8F3D" w14:textId="77777777" w:rsidR="00775326" w:rsidRPr="00982642" w:rsidRDefault="00775326" w:rsidP="00982642">
            <w:pPr>
              <w:spacing w:line="360" w:lineRule="auto"/>
              <w:rPr>
                <w:sz w:val="20"/>
              </w:rPr>
            </w:pPr>
            <w:r w:rsidRPr="00982642">
              <w:rPr>
                <w:sz w:val="20"/>
              </w:rPr>
              <w:t>100%</w:t>
            </w:r>
          </w:p>
        </w:tc>
        <w:tc>
          <w:tcPr>
            <w:tcW w:w="1803" w:type="dxa"/>
          </w:tcPr>
          <w:p w14:paraId="0090004A" w14:textId="77777777" w:rsidR="00775326" w:rsidRPr="00982642" w:rsidRDefault="00775326" w:rsidP="00982642">
            <w:pPr>
              <w:spacing w:line="360" w:lineRule="auto"/>
              <w:rPr>
                <w:sz w:val="20"/>
              </w:rPr>
            </w:pPr>
            <w:r w:rsidRPr="00982642">
              <w:rPr>
                <w:sz w:val="20"/>
              </w:rPr>
              <w:t>100%</w:t>
            </w:r>
          </w:p>
        </w:tc>
        <w:tc>
          <w:tcPr>
            <w:tcW w:w="1803" w:type="dxa"/>
          </w:tcPr>
          <w:p w14:paraId="2F67C45E" w14:textId="77777777" w:rsidR="00775326" w:rsidRPr="00982642" w:rsidRDefault="00775326" w:rsidP="00982642">
            <w:pPr>
              <w:spacing w:line="360" w:lineRule="auto"/>
              <w:rPr>
                <w:sz w:val="20"/>
              </w:rPr>
            </w:pPr>
            <w:r w:rsidRPr="00982642">
              <w:rPr>
                <w:sz w:val="20"/>
              </w:rPr>
              <w:t>100%</w:t>
            </w:r>
          </w:p>
        </w:tc>
        <w:tc>
          <w:tcPr>
            <w:tcW w:w="1804" w:type="dxa"/>
          </w:tcPr>
          <w:p w14:paraId="3AE50771" w14:textId="77777777" w:rsidR="00775326" w:rsidRPr="00982642" w:rsidRDefault="00775326" w:rsidP="00982642">
            <w:pPr>
              <w:spacing w:line="360" w:lineRule="auto"/>
              <w:rPr>
                <w:sz w:val="20"/>
              </w:rPr>
            </w:pPr>
          </w:p>
        </w:tc>
      </w:tr>
      <w:tr w:rsidR="00775326" w:rsidRPr="00982642" w14:paraId="267381D3" w14:textId="77777777" w:rsidTr="00F628D5">
        <w:tc>
          <w:tcPr>
            <w:tcW w:w="1803" w:type="dxa"/>
          </w:tcPr>
          <w:p w14:paraId="6D003B5C" w14:textId="77777777" w:rsidR="00775326" w:rsidRPr="00982642" w:rsidRDefault="00775326" w:rsidP="00982642">
            <w:pPr>
              <w:spacing w:line="360" w:lineRule="auto"/>
              <w:rPr>
                <w:sz w:val="20"/>
              </w:rPr>
            </w:pPr>
            <w:r w:rsidRPr="00982642">
              <w:rPr>
                <w:sz w:val="20"/>
              </w:rPr>
              <w:t>Pain</w:t>
            </w:r>
          </w:p>
        </w:tc>
        <w:tc>
          <w:tcPr>
            <w:tcW w:w="1803" w:type="dxa"/>
          </w:tcPr>
          <w:p w14:paraId="3CF22871" w14:textId="77777777" w:rsidR="00775326" w:rsidRPr="00982642" w:rsidRDefault="00775326" w:rsidP="00982642">
            <w:pPr>
              <w:spacing w:line="360" w:lineRule="auto"/>
              <w:rPr>
                <w:sz w:val="20"/>
              </w:rPr>
            </w:pPr>
            <w:r w:rsidRPr="00982642">
              <w:rPr>
                <w:sz w:val="20"/>
              </w:rPr>
              <w:t>33%</w:t>
            </w:r>
          </w:p>
        </w:tc>
        <w:tc>
          <w:tcPr>
            <w:tcW w:w="1803" w:type="dxa"/>
          </w:tcPr>
          <w:p w14:paraId="31063FCF" w14:textId="77777777" w:rsidR="00775326" w:rsidRPr="00982642" w:rsidRDefault="00775326" w:rsidP="00982642">
            <w:pPr>
              <w:spacing w:line="360" w:lineRule="auto"/>
              <w:rPr>
                <w:sz w:val="20"/>
              </w:rPr>
            </w:pPr>
            <w:r w:rsidRPr="00982642">
              <w:rPr>
                <w:sz w:val="20"/>
              </w:rPr>
              <w:t>18%</w:t>
            </w:r>
          </w:p>
        </w:tc>
        <w:tc>
          <w:tcPr>
            <w:tcW w:w="1803" w:type="dxa"/>
          </w:tcPr>
          <w:p w14:paraId="57CAA9FC" w14:textId="77777777" w:rsidR="00775326" w:rsidRPr="00982642" w:rsidRDefault="00775326" w:rsidP="00982642">
            <w:pPr>
              <w:spacing w:line="360" w:lineRule="auto"/>
              <w:rPr>
                <w:sz w:val="20"/>
              </w:rPr>
            </w:pPr>
            <w:r w:rsidRPr="00982642">
              <w:rPr>
                <w:sz w:val="20"/>
              </w:rPr>
              <w:t>20%</w:t>
            </w:r>
          </w:p>
        </w:tc>
        <w:tc>
          <w:tcPr>
            <w:tcW w:w="1804" w:type="dxa"/>
          </w:tcPr>
          <w:p w14:paraId="14E814D2" w14:textId="77777777" w:rsidR="00775326" w:rsidRPr="00982642" w:rsidRDefault="00775326" w:rsidP="00982642">
            <w:pPr>
              <w:spacing w:line="360" w:lineRule="auto"/>
              <w:rPr>
                <w:sz w:val="20"/>
              </w:rPr>
            </w:pPr>
            <w:r w:rsidRPr="00982642">
              <w:rPr>
                <w:sz w:val="20"/>
              </w:rPr>
              <w:t>100%</w:t>
            </w:r>
          </w:p>
        </w:tc>
      </w:tr>
      <w:tr w:rsidR="00775326" w:rsidRPr="00982642" w14:paraId="574517AF" w14:textId="77777777" w:rsidTr="00F628D5">
        <w:tc>
          <w:tcPr>
            <w:tcW w:w="1803" w:type="dxa"/>
          </w:tcPr>
          <w:p w14:paraId="384844B5" w14:textId="77777777" w:rsidR="00775326" w:rsidRPr="00982642" w:rsidRDefault="00775326" w:rsidP="00982642">
            <w:pPr>
              <w:spacing w:line="360" w:lineRule="auto"/>
              <w:rPr>
                <w:sz w:val="20"/>
              </w:rPr>
            </w:pPr>
            <w:r w:rsidRPr="00982642">
              <w:rPr>
                <w:sz w:val="20"/>
              </w:rPr>
              <w:t>Irreducibility</w:t>
            </w:r>
          </w:p>
        </w:tc>
        <w:tc>
          <w:tcPr>
            <w:tcW w:w="1803" w:type="dxa"/>
          </w:tcPr>
          <w:p w14:paraId="4780B16A" w14:textId="77777777" w:rsidR="00775326" w:rsidRPr="00982642" w:rsidRDefault="00775326" w:rsidP="00982642">
            <w:pPr>
              <w:spacing w:line="360" w:lineRule="auto"/>
              <w:rPr>
                <w:sz w:val="20"/>
              </w:rPr>
            </w:pPr>
          </w:p>
        </w:tc>
        <w:tc>
          <w:tcPr>
            <w:tcW w:w="1803" w:type="dxa"/>
          </w:tcPr>
          <w:p w14:paraId="2F230B4C" w14:textId="77777777" w:rsidR="00775326" w:rsidRPr="00982642" w:rsidRDefault="00775326" w:rsidP="00982642">
            <w:pPr>
              <w:spacing w:line="360" w:lineRule="auto"/>
              <w:rPr>
                <w:sz w:val="20"/>
              </w:rPr>
            </w:pPr>
            <w:r w:rsidRPr="00982642">
              <w:rPr>
                <w:sz w:val="20"/>
              </w:rPr>
              <w:t>9%</w:t>
            </w:r>
          </w:p>
        </w:tc>
        <w:tc>
          <w:tcPr>
            <w:tcW w:w="1803" w:type="dxa"/>
          </w:tcPr>
          <w:p w14:paraId="6E7529A4" w14:textId="77777777" w:rsidR="00775326" w:rsidRPr="00982642" w:rsidRDefault="00775326" w:rsidP="00982642">
            <w:pPr>
              <w:spacing w:line="360" w:lineRule="auto"/>
              <w:rPr>
                <w:sz w:val="20"/>
              </w:rPr>
            </w:pPr>
            <w:r w:rsidRPr="00982642">
              <w:rPr>
                <w:sz w:val="20"/>
              </w:rPr>
              <w:t>20%</w:t>
            </w:r>
          </w:p>
        </w:tc>
        <w:tc>
          <w:tcPr>
            <w:tcW w:w="1804" w:type="dxa"/>
          </w:tcPr>
          <w:p w14:paraId="1FCB59EA" w14:textId="77777777" w:rsidR="00775326" w:rsidRPr="00982642" w:rsidRDefault="00775326" w:rsidP="00982642">
            <w:pPr>
              <w:spacing w:line="360" w:lineRule="auto"/>
              <w:rPr>
                <w:sz w:val="20"/>
              </w:rPr>
            </w:pPr>
          </w:p>
        </w:tc>
      </w:tr>
      <w:tr w:rsidR="00775326" w:rsidRPr="00982642" w14:paraId="59C141A6" w14:textId="77777777" w:rsidTr="00F628D5">
        <w:tc>
          <w:tcPr>
            <w:tcW w:w="1803" w:type="dxa"/>
          </w:tcPr>
          <w:p w14:paraId="10AA7ED3" w14:textId="58197106" w:rsidR="00775326" w:rsidRPr="00982642" w:rsidRDefault="00775326" w:rsidP="00982642">
            <w:pPr>
              <w:spacing w:line="360" w:lineRule="auto"/>
              <w:rPr>
                <w:sz w:val="20"/>
              </w:rPr>
            </w:pPr>
            <w:r w:rsidRPr="00982642">
              <w:rPr>
                <w:sz w:val="20"/>
              </w:rPr>
              <w:t>Obs</w:t>
            </w:r>
            <w:r w:rsidR="00C350D4" w:rsidRPr="00982642">
              <w:rPr>
                <w:sz w:val="20"/>
              </w:rPr>
              <w:t>truction</w:t>
            </w:r>
            <w:r w:rsidRPr="00982642">
              <w:rPr>
                <w:sz w:val="20"/>
              </w:rPr>
              <w:t xml:space="preserve"> &amp; stran</w:t>
            </w:r>
            <w:r w:rsidR="00C350D4" w:rsidRPr="00982642">
              <w:rPr>
                <w:sz w:val="20"/>
              </w:rPr>
              <w:t>gulation</w:t>
            </w:r>
          </w:p>
        </w:tc>
        <w:tc>
          <w:tcPr>
            <w:tcW w:w="1803" w:type="dxa"/>
          </w:tcPr>
          <w:p w14:paraId="77D02DDB" w14:textId="77777777" w:rsidR="00775326" w:rsidRPr="00982642" w:rsidRDefault="00775326" w:rsidP="00982642">
            <w:pPr>
              <w:spacing w:line="360" w:lineRule="auto"/>
              <w:rPr>
                <w:sz w:val="20"/>
              </w:rPr>
            </w:pPr>
          </w:p>
        </w:tc>
        <w:tc>
          <w:tcPr>
            <w:tcW w:w="1803" w:type="dxa"/>
          </w:tcPr>
          <w:p w14:paraId="087C1629" w14:textId="77777777" w:rsidR="00775326" w:rsidRPr="00982642" w:rsidRDefault="00775326" w:rsidP="00982642">
            <w:pPr>
              <w:spacing w:line="360" w:lineRule="auto"/>
              <w:rPr>
                <w:sz w:val="20"/>
              </w:rPr>
            </w:pPr>
          </w:p>
        </w:tc>
        <w:tc>
          <w:tcPr>
            <w:tcW w:w="1803" w:type="dxa"/>
          </w:tcPr>
          <w:p w14:paraId="1B6AD014" w14:textId="77777777" w:rsidR="00775326" w:rsidRPr="00982642" w:rsidRDefault="00775326" w:rsidP="00982642">
            <w:pPr>
              <w:spacing w:line="360" w:lineRule="auto"/>
              <w:rPr>
                <w:sz w:val="20"/>
              </w:rPr>
            </w:pPr>
            <w:r w:rsidRPr="00982642">
              <w:rPr>
                <w:sz w:val="20"/>
              </w:rPr>
              <w:t>20%</w:t>
            </w:r>
          </w:p>
        </w:tc>
        <w:tc>
          <w:tcPr>
            <w:tcW w:w="1804" w:type="dxa"/>
          </w:tcPr>
          <w:p w14:paraId="6BBD570B" w14:textId="77777777" w:rsidR="00775326" w:rsidRPr="00982642" w:rsidRDefault="00775326" w:rsidP="00982642">
            <w:pPr>
              <w:spacing w:line="360" w:lineRule="auto"/>
              <w:rPr>
                <w:sz w:val="20"/>
              </w:rPr>
            </w:pPr>
          </w:p>
        </w:tc>
      </w:tr>
    </w:tbl>
    <w:p w14:paraId="5960982C" w14:textId="77777777" w:rsidR="00982642" w:rsidRDefault="00982642" w:rsidP="00982642">
      <w:pPr>
        <w:spacing w:line="360" w:lineRule="auto"/>
        <w:rPr>
          <w:color w:val="212121"/>
          <w:sz w:val="20"/>
          <w:shd w:val="clear" w:color="auto" w:fill="FFFFFF"/>
        </w:rPr>
      </w:pPr>
    </w:p>
    <w:p w14:paraId="0B82AD0A" w14:textId="14E968A7" w:rsidR="00FD32EA" w:rsidRPr="00982642" w:rsidRDefault="00775326" w:rsidP="00982642">
      <w:pPr>
        <w:spacing w:line="360" w:lineRule="auto"/>
        <w:rPr>
          <w:color w:val="212121"/>
          <w:sz w:val="20"/>
          <w:shd w:val="clear" w:color="auto" w:fill="FFFFFF"/>
        </w:rPr>
      </w:pPr>
      <w:r w:rsidRPr="00982642">
        <w:rPr>
          <w:color w:val="212121"/>
          <w:sz w:val="20"/>
          <w:shd w:val="clear" w:color="auto" w:fill="FFFFFF"/>
        </w:rPr>
        <w:t xml:space="preserve">Fig 2 : </w:t>
      </w:r>
      <w:r w:rsidR="00FD32EA" w:rsidRPr="00982642">
        <w:rPr>
          <w:color w:val="212121"/>
          <w:sz w:val="20"/>
          <w:shd w:val="clear" w:color="auto" w:fill="FFFFFF"/>
        </w:rPr>
        <w:t xml:space="preserve">clinical features </w:t>
      </w:r>
      <w:r w:rsidRPr="00982642">
        <w:rPr>
          <w:color w:val="212121"/>
          <w:sz w:val="20"/>
          <w:shd w:val="clear" w:color="auto" w:fill="FFFFFF"/>
        </w:rPr>
        <w:t xml:space="preserve">of study participants according to </w:t>
      </w:r>
      <w:r w:rsidR="00FF7534" w:rsidRPr="00982642">
        <w:rPr>
          <w:color w:val="212121"/>
          <w:sz w:val="20"/>
          <w:shd w:val="clear" w:color="auto" w:fill="FFFFFF"/>
        </w:rPr>
        <w:t xml:space="preserve">different </w:t>
      </w:r>
      <w:r w:rsidRPr="00982642">
        <w:rPr>
          <w:color w:val="212121"/>
          <w:sz w:val="20"/>
          <w:shd w:val="clear" w:color="auto" w:fill="FFFFFF"/>
        </w:rPr>
        <w:t>type</w:t>
      </w:r>
      <w:r w:rsidR="00FF7534" w:rsidRPr="00982642">
        <w:rPr>
          <w:color w:val="212121"/>
          <w:sz w:val="20"/>
          <w:shd w:val="clear" w:color="auto" w:fill="FFFFFF"/>
        </w:rPr>
        <w:t>s</w:t>
      </w:r>
      <w:r w:rsidRPr="00982642">
        <w:rPr>
          <w:color w:val="212121"/>
          <w:sz w:val="20"/>
          <w:shd w:val="clear" w:color="auto" w:fill="FFFFFF"/>
        </w:rPr>
        <w:t xml:space="preserve"> of </w:t>
      </w:r>
      <w:r w:rsidR="00FF7534" w:rsidRPr="00982642">
        <w:rPr>
          <w:color w:val="212121"/>
          <w:sz w:val="20"/>
          <w:shd w:val="clear" w:color="auto" w:fill="FFFFFF"/>
        </w:rPr>
        <w:t xml:space="preserve">ventral </w:t>
      </w:r>
      <w:r w:rsidRPr="00982642">
        <w:rPr>
          <w:color w:val="212121"/>
          <w:sz w:val="20"/>
          <w:shd w:val="clear" w:color="auto" w:fill="FFFFFF"/>
        </w:rPr>
        <w:t>hernia.</w:t>
      </w:r>
    </w:p>
    <w:p w14:paraId="22F00AE5" w14:textId="0D2BA9C7" w:rsidR="00FD32EA" w:rsidRPr="00982642" w:rsidRDefault="00FD32EA" w:rsidP="00982642">
      <w:pPr>
        <w:spacing w:line="360" w:lineRule="auto"/>
        <w:rPr>
          <w:color w:val="212121"/>
          <w:sz w:val="20"/>
          <w:shd w:val="clear" w:color="auto" w:fill="FFFFFF"/>
        </w:rPr>
      </w:pPr>
      <w:r w:rsidRPr="00982642">
        <w:rPr>
          <w:noProof/>
          <w:color w:val="000000" w:themeColor="text1"/>
          <w:sz w:val="20"/>
          <w:shd w:val="clear" w:color="auto" w:fill="FFFFFF"/>
          <w:lang w:eastAsia="en-IN"/>
        </w:rPr>
        <w:drawing>
          <wp:inline distT="0" distB="0" distL="0" distR="0" wp14:anchorId="5F1CF662" wp14:editId="00A67999">
            <wp:extent cx="4629955" cy="2962141"/>
            <wp:effectExtent l="0" t="0" r="18415" b="1016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03766D9F" w14:textId="77777777" w:rsidR="00FA6CCD" w:rsidRPr="00982642" w:rsidRDefault="00FA6CCD" w:rsidP="00982642">
      <w:pPr>
        <w:spacing w:line="360" w:lineRule="auto"/>
        <w:rPr>
          <w:color w:val="212121"/>
          <w:sz w:val="20"/>
          <w:shd w:val="clear" w:color="auto" w:fill="FFFFFF"/>
        </w:rPr>
      </w:pPr>
    </w:p>
    <w:p w14:paraId="4656B6F9" w14:textId="21779406" w:rsidR="00FF7534" w:rsidRPr="00982642" w:rsidRDefault="00FD32EA" w:rsidP="00982642">
      <w:pPr>
        <w:spacing w:line="360" w:lineRule="auto"/>
        <w:rPr>
          <w:color w:val="212121"/>
          <w:sz w:val="20"/>
          <w:shd w:val="clear" w:color="auto" w:fill="FFFFFF"/>
        </w:rPr>
      </w:pPr>
      <w:r w:rsidRPr="00982642">
        <w:rPr>
          <w:color w:val="212121"/>
          <w:sz w:val="20"/>
          <w:shd w:val="clear" w:color="auto" w:fill="FFFFFF"/>
        </w:rPr>
        <w:t>Fig 3 : clinical features of study participants according to type of hernia.</w:t>
      </w:r>
    </w:p>
    <w:p w14:paraId="7795D68E" w14:textId="77777777" w:rsidR="00FF7534" w:rsidRPr="00982642" w:rsidRDefault="00FF7534" w:rsidP="00982642">
      <w:pPr>
        <w:spacing w:line="360" w:lineRule="auto"/>
        <w:rPr>
          <w:color w:val="212121"/>
          <w:sz w:val="20"/>
          <w:shd w:val="clear" w:color="auto" w:fill="FFFFFF"/>
        </w:rPr>
      </w:pPr>
    </w:p>
    <w:p w14:paraId="4068C2B0" w14:textId="455D3C94" w:rsidR="00775326" w:rsidRPr="00982642" w:rsidRDefault="005A4770" w:rsidP="00982642">
      <w:pPr>
        <w:spacing w:line="360" w:lineRule="auto"/>
        <w:rPr>
          <w:color w:val="212121"/>
          <w:sz w:val="20"/>
          <w:shd w:val="clear" w:color="auto" w:fill="FFFFFF"/>
        </w:rPr>
      </w:pPr>
      <w:r w:rsidRPr="00982642">
        <w:rPr>
          <w:sz w:val="20"/>
          <w:shd w:val="clear" w:color="auto" w:fill="FFFFFF"/>
        </w:rPr>
        <w:t xml:space="preserve">All </w:t>
      </w:r>
      <w:r w:rsidR="00FF7534" w:rsidRPr="00982642">
        <w:rPr>
          <w:sz w:val="20"/>
          <w:shd w:val="clear" w:color="auto" w:fill="FFFFFF"/>
        </w:rPr>
        <w:t xml:space="preserve">patients with </w:t>
      </w:r>
      <w:r w:rsidRPr="00982642">
        <w:rPr>
          <w:sz w:val="20"/>
          <w:shd w:val="clear" w:color="auto" w:fill="FFFFFF"/>
        </w:rPr>
        <w:t xml:space="preserve">Paraumbilical hernia presented with swelling ,10 patients (33%) presented with pain.100% of all </w:t>
      </w:r>
      <w:r w:rsidR="00FF7534" w:rsidRPr="00982642">
        <w:rPr>
          <w:sz w:val="20"/>
          <w:shd w:val="clear" w:color="auto" w:fill="FFFFFF"/>
        </w:rPr>
        <w:t xml:space="preserve">patients with </w:t>
      </w:r>
      <w:r w:rsidRPr="00982642">
        <w:rPr>
          <w:sz w:val="20"/>
          <w:shd w:val="clear" w:color="auto" w:fill="FFFFFF"/>
        </w:rPr>
        <w:t>epigastric hernia (3/3)  presented with swelling</w:t>
      </w:r>
      <w:r w:rsidR="00C350D4" w:rsidRPr="00982642">
        <w:rPr>
          <w:sz w:val="20"/>
          <w:shd w:val="clear" w:color="auto" w:fill="FFFFFF"/>
        </w:rPr>
        <w:t xml:space="preserve">, </w:t>
      </w:r>
      <w:r w:rsidRPr="00982642">
        <w:rPr>
          <w:sz w:val="20"/>
          <w:shd w:val="clear" w:color="auto" w:fill="FFFFFF"/>
        </w:rPr>
        <w:t>33%</w:t>
      </w:r>
      <w:r w:rsidR="00FA6CCD" w:rsidRPr="00982642">
        <w:rPr>
          <w:sz w:val="20"/>
          <w:shd w:val="clear" w:color="auto" w:fill="FFFFFF"/>
        </w:rPr>
        <w:t xml:space="preserve"> </w:t>
      </w:r>
      <w:r w:rsidRPr="00982642">
        <w:rPr>
          <w:sz w:val="20"/>
          <w:shd w:val="clear" w:color="auto" w:fill="FFFFFF"/>
        </w:rPr>
        <w:t xml:space="preserve">(1/3) with Pain , and there were no cases of hernia with irreducibility and </w:t>
      </w:r>
      <w:r w:rsidR="00A13A09" w:rsidRPr="00982642">
        <w:rPr>
          <w:sz w:val="20"/>
          <w:shd w:val="clear" w:color="auto" w:fill="FFFFFF"/>
        </w:rPr>
        <w:t>strangulation.</w:t>
      </w:r>
      <w:r w:rsidR="00C350D4" w:rsidRPr="00982642">
        <w:rPr>
          <w:sz w:val="20"/>
          <w:shd w:val="clear" w:color="auto" w:fill="FFFFFF"/>
        </w:rPr>
        <w:t xml:space="preserve"> </w:t>
      </w:r>
      <w:r w:rsidR="00A13A09" w:rsidRPr="00982642">
        <w:rPr>
          <w:sz w:val="20"/>
          <w:shd w:val="clear" w:color="auto" w:fill="FFFFFF"/>
        </w:rPr>
        <w:t>Among</w:t>
      </w:r>
      <w:r w:rsidRPr="00982642">
        <w:rPr>
          <w:sz w:val="20"/>
          <w:shd w:val="clear" w:color="auto" w:fill="FFFFFF"/>
        </w:rPr>
        <w:t xml:space="preserve"> incisional hernia all 12cases presented with swelling(100%), two cases presented with pain(18%) ,1 with irreducibility (9%) and no cases which strangulation and </w:t>
      </w:r>
      <w:r w:rsidR="00A13A09" w:rsidRPr="00982642">
        <w:rPr>
          <w:sz w:val="20"/>
          <w:shd w:val="clear" w:color="auto" w:fill="FFFFFF"/>
        </w:rPr>
        <w:t>obstruction. Among</w:t>
      </w:r>
      <w:r w:rsidRPr="00982642">
        <w:rPr>
          <w:sz w:val="20"/>
          <w:shd w:val="clear" w:color="auto" w:fill="FFFFFF"/>
        </w:rPr>
        <w:t xml:space="preserve"> umbilical hernia all 4</w:t>
      </w:r>
      <w:r w:rsidR="00C350D4" w:rsidRPr="00982642">
        <w:rPr>
          <w:sz w:val="20"/>
          <w:shd w:val="clear" w:color="auto" w:fill="FFFFFF"/>
        </w:rPr>
        <w:t xml:space="preserve"> </w:t>
      </w:r>
      <w:r w:rsidRPr="00982642">
        <w:rPr>
          <w:sz w:val="20"/>
          <w:shd w:val="clear" w:color="auto" w:fill="FFFFFF"/>
        </w:rPr>
        <w:t>cases presented with swelling (100%),</w:t>
      </w:r>
      <w:r w:rsidR="00C350D4" w:rsidRPr="00982642">
        <w:rPr>
          <w:sz w:val="20"/>
          <w:shd w:val="clear" w:color="auto" w:fill="FFFFFF"/>
        </w:rPr>
        <w:t xml:space="preserve"> </w:t>
      </w:r>
      <w:r w:rsidRPr="00982642">
        <w:rPr>
          <w:sz w:val="20"/>
          <w:shd w:val="clear" w:color="auto" w:fill="FFFFFF"/>
        </w:rPr>
        <w:t>1 case presented with pain (20%),1 case presented with irreducibility (20%)and one case presented with strangulation(20%).</w:t>
      </w:r>
      <w:r w:rsidR="00FA6CCD" w:rsidRPr="00982642">
        <w:rPr>
          <w:sz w:val="20"/>
          <w:shd w:val="clear" w:color="auto" w:fill="FFFFFF"/>
        </w:rPr>
        <w:t>O</w:t>
      </w:r>
      <w:r w:rsidRPr="00982642">
        <w:rPr>
          <w:sz w:val="20"/>
          <w:shd w:val="clear" w:color="auto" w:fill="FFFFFF"/>
        </w:rPr>
        <w:t>nly 1 case of spigelian hernia was seen that presented with pain.</w:t>
      </w:r>
      <w:r w:rsidRPr="00982642">
        <w:rPr>
          <w:rFonts w:eastAsia="Calibri"/>
          <w:color w:val="000000"/>
          <w:position w:val="1"/>
          <w:sz w:val="20"/>
        </w:rPr>
        <w:t xml:space="preserve"> </w:t>
      </w:r>
    </w:p>
    <w:p w14:paraId="2F474824" w14:textId="77777777" w:rsidR="00775326" w:rsidRPr="00982642" w:rsidRDefault="00775326" w:rsidP="00982642">
      <w:pPr>
        <w:pStyle w:val="NoSpacing"/>
        <w:spacing w:line="360" w:lineRule="auto"/>
        <w:rPr>
          <w:rFonts w:eastAsia="Calibri"/>
          <w:color w:val="000000"/>
          <w:position w:val="1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75326" w:rsidRPr="00982642" w14:paraId="767D9D5F" w14:textId="77777777" w:rsidTr="00F628D5">
        <w:tc>
          <w:tcPr>
            <w:tcW w:w="4508" w:type="dxa"/>
          </w:tcPr>
          <w:p w14:paraId="18E50C71" w14:textId="77777777" w:rsidR="00775326" w:rsidRPr="00982642" w:rsidRDefault="00775326" w:rsidP="00982642">
            <w:pPr>
              <w:spacing w:line="360" w:lineRule="auto"/>
              <w:rPr>
                <w:b/>
                <w:bCs/>
                <w:sz w:val="20"/>
              </w:rPr>
            </w:pPr>
            <w:r w:rsidRPr="00982642">
              <w:rPr>
                <w:b/>
                <w:bCs/>
                <w:sz w:val="20"/>
              </w:rPr>
              <w:t>factor</w:t>
            </w:r>
          </w:p>
        </w:tc>
        <w:tc>
          <w:tcPr>
            <w:tcW w:w="4508" w:type="dxa"/>
          </w:tcPr>
          <w:p w14:paraId="261B0AE4" w14:textId="77777777" w:rsidR="00775326" w:rsidRPr="00982642" w:rsidRDefault="00775326" w:rsidP="00982642">
            <w:pPr>
              <w:spacing w:line="360" w:lineRule="auto"/>
              <w:rPr>
                <w:b/>
                <w:bCs/>
                <w:sz w:val="20"/>
              </w:rPr>
            </w:pPr>
            <w:r w:rsidRPr="00982642">
              <w:rPr>
                <w:b/>
                <w:bCs/>
                <w:sz w:val="20"/>
              </w:rPr>
              <w:t>Percentage</w:t>
            </w:r>
          </w:p>
        </w:tc>
      </w:tr>
      <w:tr w:rsidR="00775326" w:rsidRPr="00982642" w14:paraId="1AD6FB8A" w14:textId="77777777" w:rsidTr="00F628D5">
        <w:tc>
          <w:tcPr>
            <w:tcW w:w="4508" w:type="dxa"/>
          </w:tcPr>
          <w:p w14:paraId="4C0B4FD4" w14:textId="77777777" w:rsidR="00775326" w:rsidRPr="00982642" w:rsidRDefault="00775326" w:rsidP="00982642">
            <w:pPr>
              <w:spacing w:line="360" w:lineRule="auto"/>
              <w:rPr>
                <w:sz w:val="20"/>
              </w:rPr>
            </w:pPr>
            <w:r w:rsidRPr="00982642">
              <w:rPr>
                <w:sz w:val="20"/>
              </w:rPr>
              <w:t>Obesity</w:t>
            </w:r>
          </w:p>
        </w:tc>
        <w:tc>
          <w:tcPr>
            <w:tcW w:w="4508" w:type="dxa"/>
          </w:tcPr>
          <w:p w14:paraId="69025DD7" w14:textId="77777777" w:rsidR="00775326" w:rsidRPr="00982642" w:rsidRDefault="00775326" w:rsidP="00982642">
            <w:pPr>
              <w:spacing w:line="360" w:lineRule="auto"/>
              <w:rPr>
                <w:sz w:val="20"/>
              </w:rPr>
            </w:pPr>
            <w:r w:rsidRPr="00982642">
              <w:rPr>
                <w:sz w:val="20"/>
              </w:rPr>
              <w:t>22%</w:t>
            </w:r>
          </w:p>
        </w:tc>
      </w:tr>
      <w:tr w:rsidR="00775326" w:rsidRPr="00982642" w14:paraId="1F8EDA88" w14:textId="77777777" w:rsidTr="00F628D5">
        <w:tc>
          <w:tcPr>
            <w:tcW w:w="4508" w:type="dxa"/>
          </w:tcPr>
          <w:p w14:paraId="447CAF54" w14:textId="77777777" w:rsidR="00775326" w:rsidRPr="00982642" w:rsidRDefault="00775326" w:rsidP="00982642">
            <w:pPr>
              <w:spacing w:line="360" w:lineRule="auto"/>
              <w:rPr>
                <w:sz w:val="20"/>
              </w:rPr>
            </w:pPr>
            <w:r w:rsidRPr="00982642">
              <w:rPr>
                <w:sz w:val="20"/>
              </w:rPr>
              <w:t>COPD</w:t>
            </w:r>
          </w:p>
        </w:tc>
        <w:tc>
          <w:tcPr>
            <w:tcW w:w="4508" w:type="dxa"/>
          </w:tcPr>
          <w:p w14:paraId="7E5F0D51" w14:textId="77777777" w:rsidR="00775326" w:rsidRPr="00982642" w:rsidRDefault="00775326" w:rsidP="00982642">
            <w:pPr>
              <w:spacing w:line="360" w:lineRule="auto"/>
              <w:rPr>
                <w:sz w:val="20"/>
              </w:rPr>
            </w:pPr>
            <w:r w:rsidRPr="00982642">
              <w:rPr>
                <w:sz w:val="20"/>
              </w:rPr>
              <w:t>8%</w:t>
            </w:r>
          </w:p>
        </w:tc>
      </w:tr>
      <w:tr w:rsidR="00775326" w:rsidRPr="00982642" w14:paraId="06F5F6F6" w14:textId="77777777" w:rsidTr="00F628D5">
        <w:tc>
          <w:tcPr>
            <w:tcW w:w="4508" w:type="dxa"/>
          </w:tcPr>
          <w:p w14:paraId="466261DB" w14:textId="77777777" w:rsidR="00775326" w:rsidRPr="00982642" w:rsidRDefault="00775326" w:rsidP="00982642">
            <w:pPr>
              <w:spacing w:line="360" w:lineRule="auto"/>
              <w:rPr>
                <w:sz w:val="20"/>
              </w:rPr>
            </w:pPr>
            <w:r w:rsidRPr="00982642">
              <w:rPr>
                <w:sz w:val="20"/>
              </w:rPr>
              <w:t>Constipation</w:t>
            </w:r>
          </w:p>
        </w:tc>
        <w:tc>
          <w:tcPr>
            <w:tcW w:w="4508" w:type="dxa"/>
          </w:tcPr>
          <w:p w14:paraId="4750EF37" w14:textId="77777777" w:rsidR="00775326" w:rsidRPr="00982642" w:rsidRDefault="00775326" w:rsidP="00982642">
            <w:pPr>
              <w:spacing w:line="360" w:lineRule="auto"/>
              <w:rPr>
                <w:sz w:val="20"/>
              </w:rPr>
            </w:pPr>
            <w:r w:rsidRPr="00982642">
              <w:rPr>
                <w:sz w:val="20"/>
              </w:rPr>
              <w:t>6%</w:t>
            </w:r>
          </w:p>
        </w:tc>
      </w:tr>
      <w:tr w:rsidR="00775326" w:rsidRPr="00982642" w14:paraId="11CFA28E" w14:textId="77777777" w:rsidTr="00F628D5">
        <w:tc>
          <w:tcPr>
            <w:tcW w:w="4508" w:type="dxa"/>
          </w:tcPr>
          <w:p w14:paraId="250FF703" w14:textId="77777777" w:rsidR="00775326" w:rsidRPr="00982642" w:rsidRDefault="00775326" w:rsidP="00982642">
            <w:pPr>
              <w:spacing w:line="360" w:lineRule="auto"/>
              <w:rPr>
                <w:sz w:val="20"/>
              </w:rPr>
            </w:pPr>
            <w:r w:rsidRPr="00982642">
              <w:rPr>
                <w:sz w:val="20"/>
              </w:rPr>
              <w:t>Multiparity</w:t>
            </w:r>
          </w:p>
        </w:tc>
        <w:tc>
          <w:tcPr>
            <w:tcW w:w="4508" w:type="dxa"/>
          </w:tcPr>
          <w:p w14:paraId="7083F80B" w14:textId="77777777" w:rsidR="00775326" w:rsidRPr="00982642" w:rsidRDefault="00775326" w:rsidP="00982642">
            <w:pPr>
              <w:spacing w:line="360" w:lineRule="auto"/>
              <w:rPr>
                <w:sz w:val="20"/>
              </w:rPr>
            </w:pPr>
            <w:r w:rsidRPr="00982642">
              <w:rPr>
                <w:sz w:val="20"/>
              </w:rPr>
              <w:t>6%</w:t>
            </w:r>
          </w:p>
        </w:tc>
      </w:tr>
    </w:tbl>
    <w:p w14:paraId="42B573CA" w14:textId="77777777" w:rsidR="00775326" w:rsidRPr="00982642" w:rsidRDefault="00775326" w:rsidP="00982642">
      <w:pPr>
        <w:spacing w:line="360" w:lineRule="auto"/>
        <w:rPr>
          <w:color w:val="212121"/>
          <w:sz w:val="20"/>
          <w:shd w:val="clear" w:color="auto" w:fill="FFFFFF"/>
        </w:rPr>
      </w:pPr>
    </w:p>
    <w:p w14:paraId="3E929453" w14:textId="1BED55E8" w:rsidR="00775326" w:rsidRPr="00982642" w:rsidRDefault="00775326" w:rsidP="00982642">
      <w:pPr>
        <w:spacing w:line="360" w:lineRule="auto"/>
        <w:rPr>
          <w:color w:val="212121"/>
          <w:sz w:val="20"/>
          <w:shd w:val="clear" w:color="auto" w:fill="FFFFFF"/>
        </w:rPr>
      </w:pPr>
      <w:r w:rsidRPr="00982642">
        <w:rPr>
          <w:color w:val="212121"/>
          <w:sz w:val="20"/>
          <w:shd w:val="clear" w:color="auto" w:fill="FFFFFF"/>
        </w:rPr>
        <w:t xml:space="preserve">Fig </w:t>
      </w:r>
      <w:r w:rsidR="00FD32EA" w:rsidRPr="00982642">
        <w:rPr>
          <w:color w:val="212121"/>
          <w:sz w:val="20"/>
          <w:shd w:val="clear" w:color="auto" w:fill="FFFFFF"/>
        </w:rPr>
        <w:t>4</w:t>
      </w:r>
      <w:r w:rsidRPr="00982642">
        <w:rPr>
          <w:color w:val="212121"/>
          <w:sz w:val="20"/>
          <w:shd w:val="clear" w:color="auto" w:fill="FFFFFF"/>
        </w:rPr>
        <w:t xml:space="preserve"> : Distribution of study participants according to different risk factors.</w:t>
      </w:r>
    </w:p>
    <w:p w14:paraId="7967515F" w14:textId="2C016866" w:rsidR="00775326" w:rsidRPr="00982642" w:rsidRDefault="00775326" w:rsidP="00982642">
      <w:pPr>
        <w:spacing w:line="360" w:lineRule="auto"/>
        <w:rPr>
          <w:color w:val="212121"/>
          <w:sz w:val="20"/>
          <w:shd w:val="clear" w:color="auto" w:fill="FFFFFF"/>
        </w:rPr>
      </w:pPr>
    </w:p>
    <w:p w14:paraId="4D0ECBA6" w14:textId="3E06046C" w:rsidR="006A7B6E" w:rsidRPr="00982642" w:rsidRDefault="006A7B6E" w:rsidP="00982642">
      <w:pPr>
        <w:spacing w:line="360" w:lineRule="auto"/>
        <w:rPr>
          <w:color w:val="212121"/>
          <w:sz w:val="20"/>
          <w:shd w:val="clear" w:color="auto" w:fill="FFFFFF"/>
        </w:rPr>
      </w:pPr>
      <w:r w:rsidRPr="00982642">
        <w:rPr>
          <w:noProof/>
          <w:color w:val="212121"/>
          <w:sz w:val="20"/>
          <w:shd w:val="clear" w:color="auto" w:fill="FFFFFF"/>
          <w:lang w:eastAsia="en-IN"/>
        </w:rPr>
        <w:drawing>
          <wp:inline distT="0" distB="0" distL="0" distR="0" wp14:anchorId="50750685" wp14:editId="4FEB8795">
            <wp:extent cx="4262907" cy="2054180"/>
            <wp:effectExtent l="0" t="0" r="4445" b="381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07E48120" w14:textId="59FE7E22" w:rsidR="006A7B6E" w:rsidRPr="00982642" w:rsidRDefault="006A7B6E" w:rsidP="00982642">
      <w:pPr>
        <w:spacing w:line="360" w:lineRule="auto"/>
        <w:rPr>
          <w:color w:val="212121"/>
          <w:sz w:val="20"/>
          <w:shd w:val="clear" w:color="auto" w:fill="FFFFFF"/>
        </w:rPr>
      </w:pPr>
    </w:p>
    <w:p w14:paraId="1339D08C" w14:textId="274BEBB8" w:rsidR="006A7B6E" w:rsidRPr="00982642" w:rsidRDefault="006A7B6E" w:rsidP="00982642">
      <w:pPr>
        <w:spacing w:line="360" w:lineRule="auto"/>
        <w:rPr>
          <w:color w:val="212121"/>
          <w:sz w:val="20"/>
          <w:shd w:val="clear" w:color="auto" w:fill="FFFFFF"/>
        </w:rPr>
      </w:pPr>
      <w:r w:rsidRPr="00982642">
        <w:rPr>
          <w:color w:val="212121"/>
          <w:sz w:val="20"/>
          <w:shd w:val="clear" w:color="auto" w:fill="FFFFFF"/>
        </w:rPr>
        <w:t xml:space="preserve">Fig </w:t>
      </w:r>
      <w:r w:rsidR="00FD32EA" w:rsidRPr="00982642">
        <w:rPr>
          <w:color w:val="212121"/>
          <w:sz w:val="20"/>
          <w:shd w:val="clear" w:color="auto" w:fill="FFFFFF"/>
        </w:rPr>
        <w:t>5</w:t>
      </w:r>
      <w:r w:rsidRPr="00982642">
        <w:rPr>
          <w:color w:val="212121"/>
          <w:sz w:val="20"/>
          <w:shd w:val="clear" w:color="auto" w:fill="FFFFFF"/>
        </w:rPr>
        <w:t>: Showing distribution of study participants according to different risk factors</w:t>
      </w:r>
    </w:p>
    <w:p w14:paraId="03FFF9DE" w14:textId="77777777" w:rsidR="006A7B6E" w:rsidRPr="00982642" w:rsidRDefault="006A7B6E" w:rsidP="00982642">
      <w:pPr>
        <w:spacing w:line="360" w:lineRule="auto"/>
        <w:rPr>
          <w:color w:val="212121"/>
          <w:sz w:val="20"/>
          <w:shd w:val="clear" w:color="auto" w:fill="FFFFFF"/>
        </w:rPr>
      </w:pPr>
    </w:p>
    <w:p w14:paraId="6D4FBE2A" w14:textId="2F48F937" w:rsidR="00775326" w:rsidRPr="00982642" w:rsidRDefault="005A4770" w:rsidP="00982642">
      <w:pPr>
        <w:spacing w:line="360" w:lineRule="auto"/>
        <w:rPr>
          <w:sz w:val="20"/>
          <w:shd w:val="clear" w:color="auto" w:fill="FFFFFF"/>
        </w:rPr>
      </w:pPr>
      <w:r w:rsidRPr="00982642">
        <w:rPr>
          <w:sz w:val="20"/>
          <w:shd w:val="clear" w:color="auto" w:fill="FFFFFF"/>
        </w:rPr>
        <w:t>22% of all cases of ventral hernia were obese (11 cases), 8% of cases had chronic cough, secondary to chronic obstructive pulmonary disease(4 cases), 6% of all cases were multiparous(3 cases), and 3 patients had constipation(6%).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775326" w:rsidRPr="00982642" w14:paraId="590B5D55" w14:textId="77777777" w:rsidTr="00F628D5">
        <w:tc>
          <w:tcPr>
            <w:tcW w:w="2254" w:type="dxa"/>
          </w:tcPr>
          <w:p w14:paraId="4076A368" w14:textId="77777777" w:rsidR="00775326" w:rsidRPr="00982642" w:rsidRDefault="00775326" w:rsidP="00982642">
            <w:pPr>
              <w:spacing w:line="360" w:lineRule="auto"/>
              <w:rPr>
                <w:b/>
                <w:bCs/>
                <w:sz w:val="20"/>
              </w:rPr>
            </w:pPr>
            <w:r w:rsidRPr="00982642">
              <w:rPr>
                <w:b/>
                <w:bCs/>
                <w:sz w:val="20"/>
              </w:rPr>
              <w:t>Nature of surgery</w:t>
            </w:r>
          </w:p>
        </w:tc>
        <w:tc>
          <w:tcPr>
            <w:tcW w:w="2254" w:type="dxa"/>
          </w:tcPr>
          <w:p w14:paraId="2267B59C" w14:textId="3132A374" w:rsidR="00775326" w:rsidRPr="00982642" w:rsidRDefault="00775326" w:rsidP="00982642">
            <w:pPr>
              <w:spacing w:line="360" w:lineRule="auto"/>
              <w:jc w:val="left"/>
              <w:rPr>
                <w:b/>
                <w:bCs/>
                <w:sz w:val="20"/>
              </w:rPr>
            </w:pPr>
            <w:r w:rsidRPr="00982642">
              <w:rPr>
                <w:b/>
                <w:bCs/>
                <w:sz w:val="20"/>
              </w:rPr>
              <w:t>N</w:t>
            </w:r>
            <w:r w:rsidR="00C350D4" w:rsidRPr="00982642">
              <w:rPr>
                <w:b/>
                <w:bCs/>
                <w:sz w:val="20"/>
              </w:rPr>
              <w:t>umber of patients</w:t>
            </w:r>
          </w:p>
        </w:tc>
        <w:tc>
          <w:tcPr>
            <w:tcW w:w="2254" w:type="dxa"/>
          </w:tcPr>
          <w:p w14:paraId="7FAED991" w14:textId="77777777" w:rsidR="00775326" w:rsidRPr="00982642" w:rsidRDefault="00775326" w:rsidP="00982642">
            <w:pPr>
              <w:spacing w:line="360" w:lineRule="auto"/>
              <w:rPr>
                <w:b/>
                <w:bCs/>
                <w:sz w:val="20"/>
              </w:rPr>
            </w:pPr>
            <w:r w:rsidRPr="00982642">
              <w:rPr>
                <w:b/>
                <w:bCs/>
                <w:sz w:val="20"/>
              </w:rPr>
              <w:t>percentage</w:t>
            </w:r>
          </w:p>
        </w:tc>
        <w:tc>
          <w:tcPr>
            <w:tcW w:w="2254" w:type="dxa"/>
          </w:tcPr>
          <w:p w14:paraId="71DD7CD8" w14:textId="77777777" w:rsidR="00775326" w:rsidRPr="00982642" w:rsidRDefault="00775326" w:rsidP="00982642">
            <w:pPr>
              <w:spacing w:line="360" w:lineRule="auto"/>
              <w:rPr>
                <w:b/>
                <w:bCs/>
                <w:sz w:val="20"/>
              </w:rPr>
            </w:pPr>
            <w:r w:rsidRPr="00982642">
              <w:rPr>
                <w:b/>
                <w:bCs/>
                <w:sz w:val="20"/>
              </w:rPr>
              <w:t>Type of incision</w:t>
            </w:r>
          </w:p>
        </w:tc>
      </w:tr>
      <w:tr w:rsidR="00775326" w:rsidRPr="00982642" w14:paraId="0BB53823" w14:textId="77777777" w:rsidTr="00F628D5">
        <w:tc>
          <w:tcPr>
            <w:tcW w:w="2254" w:type="dxa"/>
          </w:tcPr>
          <w:p w14:paraId="24087141" w14:textId="77777777" w:rsidR="00775326" w:rsidRPr="00982642" w:rsidRDefault="00775326" w:rsidP="00982642">
            <w:pPr>
              <w:spacing w:line="360" w:lineRule="auto"/>
              <w:rPr>
                <w:sz w:val="20"/>
              </w:rPr>
            </w:pPr>
            <w:r w:rsidRPr="00982642">
              <w:rPr>
                <w:sz w:val="20"/>
              </w:rPr>
              <w:t>Exploratory Lap</w:t>
            </w:r>
          </w:p>
        </w:tc>
        <w:tc>
          <w:tcPr>
            <w:tcW w:w="2254" w:type="dxa"/>
          </w:tcPr>
          <w:p w14:paraId="72ED8940" w14:textId="77777777" w:rsidR="00775326" w:rsidRPr="00982642" w:rsidRDefault="00775326" w:rsidP="00982642">
            <w:pPr>
              <w:spacing w:line="360" w:lineRule="auto"/>
              <w:rPr>
                <w:sz w:val="20"/>
              </w:rPr>
            </w:pPr>
            <w:r w:rsidRPr="00982642">
              <w:rPr>
                <w:sz w:val="20"/>
              </w:rPr>
              <w:t>5</w:t>
            </w:r>
          </w:p>
        </w:tc>
        <w:tc>
          <w:tcPr>
            <w:tcW w:w="2254" w:type="dxa"/>
          </w:tcPr>
          <w:p w14:paraId="1DB756C3" w14:textId="77777777" w:rsidR="00775326" w:rsidRPr="00982642" w:rsidRDefault="00775326" w:rsidP="00982642">
            <w:pPr>
              <w:spacing w:line="360" w:lineRule="auto"/>
              <w:rPr>
                <w:sz w:val="20"/>
              </w:rPr>
            </w:pPr>
            <w:r w:rsidRPr="00982642">
              <w:rPr>
                <w:sz w:val="20"/>
              </w:rPr>
              <w:t>41.6%</w:t>
            </w:r>
          </w:p>
        </w:tc>
        <w:tc>
          <w:tcPr>
            <w:tcW w:w="2254" w:type="dxa"/>
          </w:tcPr>
          <w:p w14:paraId="1D8829B8" w14:textId="77777777" w:rsidR="00775326" w:rsidRPr="00982642" w:rsidRDefault="00775326" w:rsidP="00982642">
            <w:pPr>
              <w:spacing w:line="360" w:lineRule="auto"/>
              <w:rPr>
                <w:sz w:val="20"/>
              </w:rPr>
            </w:pPr>
            <w:r w:rsidRPr="00982642">
              <w:rPr>
                <w:sz w:val="20"/>
              </w:rPr>
              <w:t>Midline</w:t>
            </w:r>
          </w:p>
        </w:tc>
      </w:tr>
      <w:tr w:rsidR="00775326" w:rsidRPr="00982642" w14:paraId="5FEFF8EB" w14:textId="77777777" w:rsidTr="00F628D5">
        <w:tc>
          <w:tcPr>
            <w:tcW w:w="2254" w:type="dxa"/>
          </w:tcPr>
          <w:p w14:paraId="42374459" w14:textId="77777777" w:rsidR="00775326" w:rsidRPr="00982642" w:rsidRDefault="00775326" w:rsidP="00982642">
            <w:pPr>
              <w:spacing w:line="360" w:lineRule="auto"/>
              <w:rPr>
                <w:sz w:val="20"/>
              </w:rPr>
            </w:pPr>
            <w:r w:rsidRPr="00982642">
              <w:rPr>
                <w:sz w:val="20"/>
              </w:rPr>
              <w:t>hysterectomy</w:t>
            </w:r>
          </w:p>
        </w:tc>
        <w:tc>
          <w:tcPr>
            <w:tcW w:w="2254" w:type="dxa"/>
          </w:tcPr>
          <w:p w14:paraId="5D45D58F" w14:textId="77777777" w:rsidR="00775326" w:rsidRPr="00982642" w:rsidRDefault="00775326" w:rsidP="00982642">
            <w:pPr>
              <w:spacing w:line="360" w:lineRule="auto"/>
              <w:rPr>
                <w:sz w:val="20"/>
              </w:rPr>
            </w:pPr>
            <w:r w:rsidRPr="00982642">
              <w:rPr>
                <w:sz w:val="20"/>
              </w:rPr>
              <w:t>4</w:t>
            </w:r>
          </w:p>
        </w:tc>
        <w:tc>
          <w:tcPr>
            <w:tcW w:w="2254" w:type="dxa"/>
          </w:tcPr>
          <w:p w14:paraId="5B1EB6E0" w14:textId="77777777" w:rsidR="00775326" w:rsidRPr="00982642" w:rsidRDefault="00775326" w:rsidP="00982642">
            <w:pPr>
              <w:spacing w:line="360" w:lineRule="auto"/>
              <w:rPr>
                <w:sz w:val="20"/>
              </w:rPr>
            </w:pPr>
            <w:r w:rsidRPr="00982642">
              <w:rPr>
                <w:sz w:val="20"/>
              </w:rPr>
              <w:t>33.3%</w:t>
            </w:r>
          </w:p>
        </w:tc>
        <w:tc>
          <w:tcPr>
            <w:tcW w:w="2254" w:type="dxa"/>
          </w:tcPr>
          <w:p w14:paraId="445A86BE" w14:textId="77777777" w:rsidR="00775326" w:rsidRPr="00982642" w:rsidRDefault="00775326" w:rsidP="00982642">
            <w:pPr>
              <w:spacing w:line="360" w:lineRule="auto"/>
              <w:rPr>
                <w:sz w:val="20"/>
              </w:rPr>
            </w:pPr>
            <w:r w:rsidRPr="00982642">
              <w:rPr>
                <w:sz w:val="20"/>
              </w:rPr>
              <w:t>infraumbilical</w:t>
            </w:r>
          </w:p>
        </w:tc>
      </w:tr>
      <w:tr w:rsidR="00775326" w:rsidRPr="00982642" w14:paraId="280D5999" w14:textId="77777777" w:rsidTr="00F628D5">
        <w:tc>
          <w:tcPr>
            <w:tcW w:w="2254" w:type="dxa"/>
          </w:tcPr>
          <w:p w14:paraId="142D3DAB" w14:textId="77777777" w:rsidR="00775326" w:rsidRPr="00982642" w:rsidRDefault="00775326" w:rsidP="00982642">
            <w:pPr>
              <w:spacing w:line="360" w:lineRule="auto"/>
              <w:rPr>
                <w:sz w:val="20"/>
              </w:rPr>
            </w:pPr>
            <w:r w:rsidRPr="00982642">
              <w:rPr>
                <w:sz w:val="20"/>
              </w:rPr>
              <w:t>LSCS</w:t>
            </w:r>
          </w:p>
        </w:tc>
        <w:tc>
          <w:tcPr>
            <w:tcW w:w="2254" w:type="dxa"/>
          </w:tcPr>
          <w:p w14:paraId="26A38AFC" w14:textId="77777777" w:rsidR="00775326" w:rsidRPr="00982642" w:rsidRDefault="00775326" w:rsidP="00982642">
            <w:pPr>
              <w:spacing w:line="360" w:lineRule="auto"/>
              <w:rPr>
                <w:sz w:val="20"/>
              </w:rPr>
            </w:pPr>
            <w:r w:rsidRPr="00982642">
              <w:rPr>
                <w:sz w:val="20"/>
              </w:rPr>
              <w:t>2</w:t>
            </w:r>
          </w:p>
        </w:tc>
        <w:tc>
          <w:tcPr>
            <w:tcW w:w="2254" w:type="dxa"/>
          </w:tcPr>
          <w:p w14:paraId="6B17B26C" w14:textId="77777777" w:rsidR="00775326" w:rsidRPr="00982642" w:rsidRDefault="00775326" w:rsidP="00982642">
            <w:pPr>
              <w:spacing w:line="360" w:lineRule="auto"/>
              <w:rPr>
                <w:sz w:val="20"/>
              </w:rPr>
            </w:pPr>
            <w:r w:rsidRPr="00982642">
              <w:rPr>
                <w:sz w:val="20"/>
              </w:rPr>
              <w:t>16%</w:t>
            </w:r>
          </w:p>
        </w:tc>
        <w:tc>
          <w:tcPr>
            <w:tcW w:w="2254" w:type="dxa"/>
          </w:tcPr>
          <w:p w14:paraId="0724C104" w14:textId="77777777" w:rsidR="00775326" w:rsidRPr="00982642" w:rsidRDefault="00775326" w:rsidP="00982642">
            <w:pPr>
              <w:spacing w:line="360" w:lineRule="auto"/>
              <w:rPr>
                <w:sz w:val="20"/>
              </w:rPr>
            </w:pPr>
            <w:r w:rsidRPr="00982642">
              <w:rPr>
                <w:sz w:val="20"/>
              </w:rPr>
              <w:t>infraumbilical</w:t>
            </w:r>
          </w:p>
        </w:tc>
      </w:tr>
      <w:tr w:rsidR="00775326" w:rsidRPr="00982642" w14:paraId="1246947B" w14:textId="77777777" w:rsidTr="00F628D5">
        <w:tc>
          <w:tcPr>
            <w:tcW w:w="2254" w:type="dxa"/>
          </w:tcPr>
          <w:p w14:paraId="2332FD54" w14:textId="77777777" w:rsidR="00775326" w:rsidRPr="00982642" w:rsidRDefault="00775326" w:rsidP="00982642">
            <w:pPr>
              <w:spacing w:line="360" w:lineRule="auto"/>
              <w:rPr>
                <w:sz w:val="20"/>
              </w:rPr>
            </w:pPr>
            <w:r w:rsidRPr="00982642">
              <w:rPr>
                <w:sz w:val="20"/>
              </w:rPr>
              <w:t>tubectomy</w:t>
            </w:r>
          </w:p>
        </w:tc>
        <w:tc>
          <w:tcPr>
            <w:tcW w:w="2254" w:type="dxa"/>
          </w:tcPr>
          <w:p w14:paraId="762D4293" w14:textId="77777777" w:rsidR="00775326" w:rsidRPr="00982642" w:rsidRDefault="00775326" w:rsidP="00982642">
            <w:pPr>
              <w:spacing w:line="360" w:lineRule="auto"/>
              <w:rPr>
                <w:sz w:val="20"/>
              </w:rPr>
            </w:pPr>
            <w:r w:rsidRPr="00982642">
              <w:rPr>
                <w:sz w:val="20"/>
              </w:rPr>
              <w:t>1</w:t>
            </w:r>
          </w:p>
        </w:tc>
        <w:tc>
          <w:tcPr>
            <w:tcW w:w="2254" w:type="dxa"/>
          </w:tcPr>
          <w:p w14:paraId="415FF10C" w14:textId="77777777" w:rsidR="00775326" w:rsidRPr="00982642" w:rsidRDefault="00775326" w:rsidP="00982642">
            <w:pPr>
              <w:spacing w:line="360" w:lineRule="auto"/>
              <w:rPr>
                <w:sz w:val="20"/>
              </w:rPr>
            </w:pPr>
            <w:r w:rsidRPr="00982642">
              <w:rPr>
                <w:sz w:val="20"/>
              </w:rPr>
              <w:t>8.3%</w:t>
            </w:r>
          </w:p>
        </w:tc>
        <w:tc>
          <w:tcPr>
            <w:tcW w:w="2254" w:type="dxa"/>
          </w:tcPr>
          <w:p w14:paraId="18AF25B7" w14:textId="77777777" w:rsidR="00775326" w:rsidRPr="00982642" w:rsidRDefault="00775326" w:rsidP="00982642">
            <w:pPr>
              <w:spacing w:line="360" w:lineRule="auto"/>
              <w:rPr>
                <w:sz w:val="20"/>
              </w:rPr>
            </w:pPr>
            <w:r w:rsidRPr="00982642">
              <w:rPr>
                <w:sz w:val="20"/>
              </w:rPr>
              <w:t>infraumbilical</w:t>
            </w:r>
          </w:p>
        </w:tc>
      </w:tr>
    </w:tbl>
    <w:p w14:paraId="0E0CF09E" w14:textId="77777777" w:rsidR="00FA6CCD" w:rsidRPr="00982642" w:rsidRDefault="00FA6CCD" w:rsidP="00982642">
      <w:pPr>
        <w:spacing w:line="360" w:lineRule="auto"/>
        <w:rPr>
          <w:color w:val="212121"/>
          <w:sz w:val="20"/>
          <w:shd w:val="clear" w:color="auto" w:fill="FFFFFF"/>
        </w:rPr>
      </w:pPr>
    </w:p>
    <w:p w14:paraId="3BACBDEC" w14:textId="7357E584" w:rsidR="00775326" w:rsidRPr="00982642" w:rsidRDefault="00775326" w:rsidP="00982642">
      <w:pPr>
        <w:spacing w:line="360" w:lineRule="auto"/>
        <w:rPr>
          <w:color w:val="212121"/>
          <w:sz w:val="20"/>
          <w:shd w:val="clear" w:color="auto" w:fill="FFFFFF"/>
        </w:rPr>
      </w:pPr>
      <w:r w:rsidRPr="00982642">
        <w:rPr>
          <w:color w:val="212121"/>
          <w:sz w:val="20"/>
          <w:shd w:val="clear" w:color="auto" w:fill="FFFFFF"/>
        </w:rPr>
        <w:t xml:space="preserve">Fig </w:t>
      </w:r>
      <w:r w:rsidR="00FD32EA" w:rsidRPr="00982642">
        <w:rPr>
          <w:color w:val="212121"/>
          <w:sz w:val="20"/>
          <w:shd w:val="clear" w:color="auto" w:fill="FFFFFF"/>
        </w:rPr>
        <w:t>6</w:t>
      </w:r>
      <w:r w:rsidRPr="00982642">
        <w:rPr>
          <w:color w:val="212121"/>
          <w:sz w:val="20"/>
          <w:shd w:val="clear" w:color="auto" w:fill="FFFFFF"/>
        </w:rPr>
        <w:t xml:space="preserve"> : Distribution of study participants according to different types of surgery leading to incisional hernia.</w:t>
      </w:r>
    </w:p>
    <w:p w14:paraId="25E8A905" w14:textId="77777777" w:rsidR="00FD32EA" w:rsidRPr="00982642" w:rsidRDefault="005A4770" w:rsidP="00982642">
      <w:pPr>
        <w:spacing w:line="360" w:lineRule="auto"/>
        <w:rPr>
          <w:sz w:val="20"/>
          <w:shd w:val="clear" w:color="auto" w:fill="FFFFFF"/>
        </w:rPr>
      </w:pPr>
      <w:r w:rsidRPr="00982642">
        <w:rPr>
          <w:sz w:val="20"/>
          <w:shd w:val="clear" w:color="auto" w:fill="FFFFFF"/>
        </w:rPr>
        <w:t>Among previous surgeries preceding to incisional hernia ,exploratory laparotomy was commonest that is 5 cases (41.6%), followed by hysterectomy ,4 cases(33.3%),LSCS 2 cases(16%)and 1 case of tubectomy (8.3%).</w:t>
      </w:r>
    </w:p>
    <w:p w14:paraId="1232F0BC" w14:textId="65CF170B" w:rsidR="00FD32EA" w:rsidRPr="00982642" w:rsidRDefault="00FD32EA" w:rsidP="00982642">
      <w:pPr>
        <w:spacing w:line="360" w:lineRule="auto"/>
        <w:rPr>
          <w:sz w:val="20"/>
          <w:shd w:val="clear" w:color="auto" w:fill="FFFFFF"/>
        </w:rPr>
      </w:pPr>
      <w:r w:rsidRPr="00982642">
        <w:rPr>
          <w:noProof/>
          <w:sz w:val="20"/>
          <w:shd w:val="clear" w:color="auto" w:fill="FFFFFF"/>
          <w:lang w:eastAsia="en-IN"/>
        </w:rPr>
        <w:drawing>
          <wp:inline distT="0" distB="0" distL="0" distR="0" wp14:anchorId="357CFB92" wp14:editId="0350C660">
            <wp:extent cx="3213279" cy="2086377"/>
            <wp:effectExtent l="0" t="0" r="635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54B3F176" w14:textId="6E13DD2E" w:rsidR="00FD32EA" w:rsidRPr="00982642" w:rsidRDefault="00FD32EA" w:rsidP="00982642">
      <w:pPr>
        <w:spacing w:line="360" w:lineRule="auto"/>
        <w:rPr>
          <w:sz w:val="20"/>
          <w:shd w:val="clear" w:color="auto" w:fill="FFFFFF"/>
        </w:rPr>
      </w:pPr>
      <w:r w:rsidRPr="00982642">
        <w:rPr>
          <w:color w:val="212121"/>
          <w:sz w:val="20"/>
          <w:shd w:val="clear" w:color="auto" w:fill="FFFFFF"/>
        </w:rPr>
        <w:t xml:space="preserve">Fig 7: </w:t>
      </w:r>
      <w:r w:rsidR="00FA6CCD" w:rsidRPr="00982642">
        <w:rPr>
          <w:color w:val="212121"/>
          <w:sz w:val="20"/>
          <w:shd w:val="clear" w:color="auto" w:fill="FFFFFF"/>
        </w:rPr>
        <w:t>Bar diagram s</w:t>
      </w:r>
      <w:r w:rsidRPr="00982642">
        <w:rPr>
          <w:color w:val="212121"/>
          <w:sz w:val="20"/>
          <w:shd w:val="clear" w:color="auto" w:fill="FFFFFF"/>
        </w:rPr>
        <w:t>howing distribution of ventral hernia and type of surgery performed.</w:t>
      </w:r>
    </w:p>
    <w:p w14:paraId="7F2C5205" w14:textId="77777777" w:rsidR="00FD32EA" w:rsidRPr="00982642" w:rsidRDefault="00FD32EA" w:rsidP="00982642">
      <w:pPr>
        <w:spacing w:line="360" w:lineRule="auto"/>
        <w:rPr>
          <w:sz w:val="20"/>
          <w:shd w:val="clear" w:color="auto" w:fill="FFFFFF"/>
        </w:rPr>
      </w:pPr>
    </w:p>
    <w:p w14:paraId="6B202BC5" w14:textId="474A0EF3" w:rsidR="005A4770" w:rsidRPr="00982642" w:rsidRDefault="005A4770" w:rsidP="00982642">
      <w:pPr>
        <w:spacing w:line="360" w:lineRule="auto"/>
        <w:rPr>
          <w:b/>
          <w:bCs/>
          <w:color w:val="212121"/>
          <w:sz w:val="20"/>
          <w:shd w:val="clear" w:color="auto" w:fill="FFFFFF"/>
        </w:rPr>
      </w:pPr>
      <w:r w:rsidRPr="00982642">
        <w:rPr>
          <w:sz w:val="20"/>
          <w:shd w:val="clear" w:color="auto" w:fill="FFFFFF"/>
        </w:rPr>
        <w:t>Among 50  patients of ventral hernias ,16 underwent anatomical repair, 32 patient underwent Mesh repair and 2 patient underwent laparoscopic mesh repair.</w:t>
      </w:r>
    </w:p>
    <w:p w14:paraId="528ED783" w14:textId="14E4F52D" w:rsidR="005A4770" w:rsidRPr="00982642" w:rsidRDefault="005A4770" w:rsidP="00982642">
      <w:pPr>
        <w:spacing w:line="360" w:lineRule="auto"/>
        <w:jc w:val="left"/>
        <w:rPr>
          <w:b/>
          <w:bCs/>
          <w:color w:val="212121"/>
          <w:sz w:val="20"/>
          <w:shd w:val="clear" w:color="auto" w:fill="FFFFFF"/>
        </w:rPr>
      </w:pPr>
      <w:r w:rsidRPr="00982642">
        <w:rPr>
          <w:b/>
          <w:bCs/>
          <w:color w:val="212121"/>
          <w:sz w:val="20"/>
          <w:shd w:val="clear" w:color="auto" w:fill="FFFFFF"/>
        </w:rPr>
        <w:t>Discussion:</w:t>
      </w:r>
    </w:p>
    <w:p w14:paraId="51E0E13B" w14:textId="6B3E27BE" w:rsidR="005A4770" w:rsidRPr="00982642" w:rsidRDefault="00A13A09" w:rsidP="00982642">
      <w:pPr>
        <w:spacing w:line="360" w:lineRule="auto"/>
        <w:rPr>
          <w:color w:val="212121"/>
          <w:sz w:val="20"/>
          <w:shd w:val="clear" w:color="auto" w:fill="FFFFFF"/>
        </w:rPr>
      </w:pPr>
      <w:r w:rsidRPr="00982642">
        <w:rPr>
          <w:color w:val="212121"/>
          <w:sz w:val="20"/>
          <w:shd w:val="clear" w:color="auto" w:fill="FFFFFF"/>
        </w:rPr>
        <w:t>I</w:t>
      </w:r>
      <w:r w:rsidR="005A4770" w:rsidRPr="00982642">
        <w:rPr>
          <w:color w:val="212121"/>
          <w:sz w:val="20"/>
          <w:shd w:val="clear" w:color="auto" w:fill="FFFFFF"/>
        </w:rPr>
        <w:t xml:space="preserve">n </w:t>
      </w:r>
      <w:r w:rsidR="00C350D4" w:rsidRPr="00982642">
        <w:rPr>
          <w:color w:val="212121"/>
          <w:sz w:val="20"/>
          <w:shd w:val="clear" w:color="auto" w:fill="FFFFFF"/>
        </w:rPr>
        <w:t>this</w:t>
      </w:r>
      <w:r w:rsidR="005A4770" w:rsidRPr="00982642">
        <w:rPr>
          <w:color w:val="212121"/>
          <w:sz w:val="20"/>
          <w:shd w:val="clear" w:color="auto" w:fill="FFFFFF"/>
        </w:rPr>
        <w:t xml:space="preserve"> study , paraumbilical hernia was most common hernia followed by incisional hernia &gt;umbilical hernia&gt; epigastric hernia. There was only one case of spigelian hernia that was seen in female. These results were comparable with C. Gangalakshmi in their study.</w:t>
      </w:r>
      <w:r w:rsidR="005A4770" w:rsidRPr="00982642">
        <w:rPr>
          <w:color w:val="212121"/>
          <w:sz w:val="20"/>
          <w:shd w:val="clear" w:color="auto" w:fill="FFFFFF"/>
          <w:vertAlign w:val="superscript"/>
        </w:rPr>
        <w:t>13</w:t>
      </w:r>
      <w:r w:rsidR="005A4770" w:rsidRPr="00982642">
        <w:rPr>
          <w:color w:val="212121"/>
          <w:sz w:val="20"/>
          <w:shd w:val="clear" w:color="auto" w:fill="FFFFFF"/>
        </w:rPr>
        <w:t xml:space="preserve">Females </w:t>
      </w:r>
      <w:r w:rsidR="00C350D4" w:rsidRPr="00982642">
        <w:rPr>
          <w:color w:val="212121"/>
          <w:sz w:val="20"/>
          <w:shd w:val="clear" w:color="auto" w:fill="FFFFFF"/>
        </w:rPr>
        <w:t>had</w:t>
      </w:r>
      <w:r w:rsidR="005A4770" w:rsidRPr="00982642">
        <w:rPr>
          <w:color w:val="212121"/>
          <w:sz w:val="20"/>
          <w:shd w:val="clear" w:color="auto" w:fill="FFFFFF"/>
        </w:rPr>
        <w:t xml:space="preserve"> higher incidence of ventral hernia (60%) than males(40%)</w:t>
      </w:r>
      <w:r w:rsidR="00C350D4" w:rsidRPr="00982642">
        <w:rPr>
          <w:color w:val="212121"/>
          <w:sz w:val="20"/>
          <w:shd w:val="clear" w:color="auto" w:fill="FFFFFF"/>
        </w:rPr>
        <w:t xml:space="preserve">  these </w:t>
      </w:r>
      <w:r w:rsidR="005A4770" w:rsidRPr="00982642">
        <w:rPr>
          <w:color w:val="212121"/>
          <w:sz w:val="20"/>
          <w:shd w:val="clear" w:color="auto" w:fill="FFFFFF"/>
        </w:rPr>
        <w:t>results were comparable with Ranjani CM in their study.</w:t>
      </w:r>
      <w:r w:rsidR="005A4770" w:rsidRPr="00982642">
        <w:rPr>
          <w:color w:val="212121"/>
          <w:sz w:val="20"/>
          <w:shd w:val="clear" w:color="auto" w:fill="FFFFFF"/>
          <w:vertAlign w:val="superscript"/>
        </w:rPr>
        <w:t>14</w:t>
      </w:r>
      <w:r w:rsidR="00982642">
        <w:rPr>
          <w:color w:val="212121"/>
          <w:sz w:val="20"/>
          <w:shd w:val="clear" w:color="auto" w:fill="FFFFFF"/>
        </w:rPr>
        <w:t xml:space="preserve"> </w:t>
      </w:r>
      <w:r w:rsidR="005A4770" w:rsidRPr="00982642">
        <w:rPr>
          <w:color w:val="212121"/>
          <w:sz w:val="20"/>
          <w:shd w:val="clear" w:color="auto" w:fill="FFFFFF"/>
        </w:rPr>
        <w:t>In females the most common ventral hernia found was paraumbilical hernia &gt; incisional &gt; umbilical &gt; epigastric &gt; spigelian hernia.</w:t>
      </w:r>
    </w:p>
    <w:p w14:paraId="74EF2F5E" w14:textId="5032BC90" w:rsidR="005A4770" w:rsidRDefault="005A4770" w:rsidP="00982642">
      <w:pPr>
        <w:spacing w:line="360" w:lineRule="auto"/>
        <w:rPr>
          <w:color w:val="212121"/>
          <w:sz w:val="20"/>
          <w:shd w:val="clear" w:color="auto" w:fill="FFFFFF"/>
        </w:rPr>
      </w:pPr>
      <w:r w:rsidRPr="00982642">
        <w:rPr>
          <w:color w:val="212121"/>
          <w:sz w:val="20"/>
          <w:shd w:val="clear" w:color="auto" w:fill="FFFFFF"/>
        </w:rPr>
        <w:t>In males the most common ventral hernia found was paraumbilical hernia&gt;incisional hernia&gt; epigastric hernia&gt;umbilical hernia.</w:t>
      </w:r>
      <w:r w:rsidR="00982642">
        <w:rPr>
          <w:color w:val="212121"/>
          <w:sz w:val="20"/>
          <w:shd w:val="clear" w:color="auto" w:fill="FFFFFF"/>
        </w:rPr>
        <w:t xml:space="preserve"> </w:t>
      </w:r>
      <w:r w:rsidR="00FF7534" w:rsidRPr="00982642">
        <w:rPr>
          <w:color w:val="212121"/>
          <w:sz w:val="20"/>
          <w:shd w:val="clear" w:color="auto" w:fill="FFFFFF"/>
        </w:rPr>
        <w:t>E</w:t>
      </w:r>
      <w:r w:rsidRPr="00982642">
        <w:rPr>
          <w:color w:val="212121"/>
          <w:sz w:val="20"/>
          <w:shd w:val="clear" w:color="auto" w:fill="FFFFFF"/>
        </w:rPr>
        <w:t>xplorative laparotomy (midline incision)  was the major contributing surgery for incisional hernia followed by hysterectomy.</w:t>
      </w:r>
    </w:p>
    <w:p w14:paraId="18FBD3EA" w14:textId="758353CD" w:rsidR="00982642" w:rsidRPr="00982642" w:rsidRDefault="00982642" w:rsidP="00982642">
      <w:pPr>
        <w:spacing w:line="360" w:lineRule="auto"/>
        <w:jc w:val="left"/>
        <w:rPr>
          <w:b/>
          <w:color w:val="212121"/>
          <w:sz w:val="20"/>
          <w:shd w:val="clear" w:color="auto" w:fill="FFFFFF"/>
        </w:rPr>
      </w:pPr>
      <w:r w:rsidRPr="00982642">
        <w:rPr>
          <w:b/>
          <w:color w:val="212121"/>
          <w:sz w:val="20"/>
          <w:shd w:val="clear" w:color="auto" w:fill="FFFFFF"/>
        </w:rPr>
        <w:t xml:space="preserve">Conclusion: </w:t>
      </w:r>
    </w:p>
    <w:p w14:paraId="42154828" w14:textId="761EDC71" w:rsidR="00FF7534" w:rsidRPr="00982642" w:rsidRDefault="00FF7534" w:rsidP="00982642">
      <w:pPr>
        <w:spacing w:line="360" w:lineRule="auto"/>
        <w:jc w:val="left"/>
        <w:rPr>
          <w:color w:val="212121"/>
          <w:sz w:val="20"/>
          <w:shd w:val="clear" w:color="auto" w:fill="FFFFFF"/>
        </w:rPr>
      </w:pPr>
      <w:r w:rsidRPr="00982642">
        <w:rPr>
          <w:color w:val="212121"/>
          <w:sz w:val="20"/>
          <w:shd w:val="clear" w:color="auto" w:fill="FFFFFF"/>
        </w:rPr>
        <w:t>Obesity was a major risk factor for ventral hernias.</w:t>
      </w:r>
      <w:r w:rsidR="00982642">
        <w:rPr>
          <w:color w:val="212121"/>
          <w:sz w:val="20"/>
          <w:shd w:val="clear" w:color="auto" w:fill="FFFFFF"/>
        </w:rPr>
        <w:t xml:space="preserve"> </w:t>
      </w:r>
      <w:r w:rsidRPr="00982642">
        <w:rPr>
          <w:color w:val="212121"/>
          <w:sz w:val="20"/>
          <w:shd w:val="clear" w:color="auto" w:fill="FFFFFF"/>
        </w:rPr>
        <w:t>The risk of Surgical site infection for ventral hernias was 6 %.Since it was a retrospective study the delayed complications ,recurrence rate could not be opined on.</w:t>
      </w:r>
    </w:p>
    <w:p w14:paraId="0BB7CE62" w14:textId="77777777" w:rsidR="00F515A8" w:rsidRPr="00982642" w:rsidRDefault="00F515A8" w:rsidP="00982642">
      <w:pPr>
        <w:spacing w:line="360" w:lineRule="auto"/>
        <w:jc w:val="left"/>
        <w:rPr>
          <w:b/>
          <w:bCs/>
          <w:color w:val="212121"/>
          <w:sz w:val="20"/>
          <w:shd w:val="clear" w:color="auto" w:fill="FFFFFF"/>
        </w:rPr>
      </w:pPr>
    </w:p>
    <w:p w14:paraId="257538A1" w14:textId="77777777" w:rsidR="00F515A8" w:rsidRPr="00982642" w:rsidRDefault="00F515A8" w:rsidP="00982642">
      <w:pPr>
        <w:spacing w:line="360" w:lineRule="auto"/>
        <w:jc w:val="left"/>
        <w:rPr>
          <w:b/>
          <w:bCs/>
          <w:color w:val="212121"/>
          <w:sz w:val="20"/>
          <w:shd w:val="clear" w:color="auto" w:fill="FFFFFF"/>
        </w:rPr>
      </w:pPr>
      <w:r w:rsidRPr="00982642">
        <w:rPr>
          <w:b/>
          <w:bCs/>
          <w:color w:val="212121"/>
          <w:sz w:val="20"/>
          <w:shd w:val="clear" w:color="auto" w:fill="FFFFFF"/>
        </w:rPr>
        <w:t>References</w:t>
      </w:r>
    </w:p>
    <w:p w14:paraId="1D0A46B7" w14:textId="77777777" w:rsidR="00F515A8" w:rsidRPr="00982642" w:rsidRDefault="00F515A8" w:rsidP="00982642">
      <w:pPr>
        <w:spacing w:line="360" w:lineRule="auto"/>
        <w:jc w:val="left"/>
        <w:rPr>
          <w:color w:val="212121"/>
          <w:sz w:val="20"/>
          <w:shd w:val="clear" w:color="auto" w:fill="FFFFFF"/>
        </w:rPr>
      </w:pPr>
    </w:p>
    <w:p w14:paraId="2E47A63C" w14:textId="15932666" w:rsidR="00F515A8" w:rsidRPr="00982642" w:rsidRDefault="00F515A8" w:rsidP="00982642">
      <w:pPr>
        <w:pStyle w:val="ListParagraph"/>
        <w:numPr>
          <w:ilvl w:val="0"/>
          <w:numId w:val="12"/>
        </w:numPr>
        <w:spacing w:line="360" w:lineRule="auto"/>
        <w:rPr>
          <w:color w:val="212121"/>
          <w:sz w:val="20"/>
          <w:szCs w:val="20"/>
        </w:rPr>
      </w:pPr>
      <w:r w:rsidRPr="00982642">
        <w:rPr>
          <w:color w:val="212121"/>
          <w:sz w:val="20"/>
          <w:szCs w:val="20"/>
        </w:rPr>
        <w:t xml:space="preserve">Hwang CS, Wichterman KA, Alfrey EJ. Laparoscopic ventral hernia repair is safer than open repair: analysis of the NSQIP data. J Surg Res. 2009; 156 (2): 213–216 </w:t>
      </w:r>
    </w:p>
    <w:p w14:paraId="0DC117C7" w14:textId="7DE4FBBA" w:rsidR="00F515A8" w:rsidRPr="00982642" w:rsidRDefault="00F515A8" w:rsidP="00982642">
      <w:pPr>
        <w:pStyle w:val="ListParagraph"/>
        <w:numPr>
          <w:ilvl w:val="0"/>
          <w:numId w:val="12"/>
        </w:numPr>
        <w:spacing w:line="360" w:lineRule="auto"/>
        <w:rPr>
          <w:color w:val="212121"/>
          <w:sz w:val="20"/>
          <w:szCs w:val="20"/>
        </w:rPr>
      </w:pPr>
      <w:r w:rsidRPr="00982642">
        <w:rPr>
          <w:color w:val="212121"/>
          <w:sz w:val="20"/>
          <w:szCs w:val="20"/>
        </w:rPr>
        <w:t xml:space="preserve">Bencini L, Sanchez LJ, Bernini M, et al. Predictors of recurrence after laparoscopic ventral hernia repair. Surg Laparosc Endosc Percutan Tech. 2009;19 (2): 128–132 </w:t>
      </w:r>
    </w:p>
    <w:p w14:paraId="43B9E7D0" w14:textId="06953B8D" w:rsidR="00F515A8" w:rsidRPr="00982642" w:rsidRDefault="00F515A8" w:rsidP="00982642">
      <w:pPr>
        <w:pStyle w:val="ListParagraph"/>
        <w:numPr>
          <w:ilvl w:val="0"/>
          <w:numId w:val="12"/>
        </w:numPr>
        <w:spacing w:line="360" w:lineRule="auto"/>
        <w:rPr>
          <w:sz w:val="20"/>
          <w:szCs w:val="20"/>
        </w:rPr>
      </w:pPr>
      <w:r w:rsidRPr="00982642">
        <w:rPr>
          <w:color w:val="333333"/>
          <w:sz w:val="20"/>
          <w:szCs w:val="20"/>
          <w:shd w:val="clear" w:color="auto" w:fill="FCFCFC"/>
        </w:rPr>
        <w:t>Tollens, T., Den Hondt, M., Devroe, K. </w:t>
      </w:r>
      <w:r w:rsidRPr="00982642">
        <w:rPr>
          <w:color w:val="333333"/>
          <w:sz w:val="20"/>
          <w:szCs w:val="20"/>
        </w:rPr>
        <w:t>et al.</w:t>
      </w:r>
      <w:r w:rsidRPr="00982642">
        <w:rPr>
          <w:color w:val="333333"/>
          <w:sz w:val="20"/>
          <w:szCs w:val="20"/>
          <w:shd w:val="clear" w:color="auto" w:fill="FCFCFC"/>
        </w:rPr>
        <w:t> Retrospective analysis of umbilical, epigastric, and small incisional hernia repair using the Ventralex™ hernia patch. </w:t>
      </w:r>
      <w:r w:rsidRPr="00982642">
        <w:rPr>
          <w:color w:val="333333"/>
          <w:sz w:val="20"/>
          <w:szCs w:val="20"/>
        </w:rPr>
        <w:t>Hernia</w:t>
      </w:r>
      <w:r w:rsidRPr="00982642">
        <w:rPr>
          <w:color w:val="333333"/>
          <w:sz w:val="20"/>
          <w:szCs w:val="20"/>
          <w:shd w:val="clear" w:color="auto" w:fill="FCFCFC"/>
        </w:rPr>
        <w:t> </w:t>
      </w:r>
      <w:r w:rsidRPr="00982642">
        <w:rPr>
          <w:color w:val="333333"/>
          <w:sz w:val="20"/>
          <w:szCs w:val="20"/>
        </w:rPr>
        <w:t>15, </w:t>
      </w:r>
      <w:r w:rsidRPr="00982642">
        <w:rPr>
          <w:color w:val="333333"/>
          <w:sz w:val="20"/>
          <w:szCs w:val="20"/>
          <w:shd w:val="clear" w:color="auto" w:fill="FCFCFC"/>
        </w:rPr>
        <w:t>531–540 (2011). https://doi.org/10.1007/s10029-011-0816-y</w:t>
      </w:r>
    </w:p>
    <w:p w14:paraId="4DFEEB15" w14:textId="3A24F628" w:rsidR="00F515A8" w:rsidRPr="00982642" w:rsidRDefault="00F515A8" w:rsidP="00982642">
      <w:pPr>
        <w:pStyle w:val="ListParagraph"/>
        <w:numPr>
          <w:ilvl w:val="0"/>
          <w:numId w:val="12"/>
        </w:numPr>
        <w:spacing w:line="360" w:lineRule="auto"/>
        <w:rPr>
          <w:color w:val="212121"/>
          <w:sz w:val="20"/>
          <w:szCs w:val="20"/>
        </w:rPr>
      </w:pPr>
      <w:r w:rsidRPr="00982642">
        <w:rPr>
          <w:color w:val="212121"/>
          <w:sz w:val="20"/>
          <w:szCs w:val="20"/>
        </w:rPr>
        <w:t>Pham CT, Perera CL, Watkin DS, Maddern GJ. Laparoscopic ventral hernia repair: a systematic review. Surg Endosc. 2009; 23 (1): 4–15</w:t>
      </w:r>
    </w:p>
    <w:p w14:paraId="3955B2E3" w14:textId="59B90BDF" w:rsidR="00C350D4" w:rsidRPr="00982642" w:rsidRDefault="00C350D4" w:rsidP="00982642">
      <w:pPr>
        <w:pStyle w:val="ListParagraph"/>
        <w:numPr>
          <w:ilvl w:val="0"/>
          <w:numId w:val="12"/>
        </w:numPr>
        <w:spacing w:line="360" w:lineRule="auto"/>
        <w:rPr>
          <w:color w:val="212121"/>
          <w:sz w:val="20"/>
          <w:szCs w:val="20"/>
        </w:rPr>
      </w:pPr>
      <w:r w:rsidRPr="00982642">
        <w:rPr>
          <w:color w:val="222222"/>
          <w:sz w:val="20"/>
          <w:szCs w:val="20"/>
          <w:shd w:val="clear" w:color="auto" w:fill="FFFFFF"/>
        </w:rPr>
        <w:t>Liang MK, Clapp M, Li LT, Berger RL, Hicks SC, Awad S. Patient satisfaction, chronic pain, and functional status following laparoscopic ventral hernia repair. World journal of surgery. 2013 Mar;37(3):530-7.</w:t>
      </w:r>
    </w:p>
    <w:p w14:paraId="7371F5F5" w14:textId="3C09B1B4" w:rsidR="00F515A8" w:rsidRPr="00982642" w:rsidRDefault="00C350D4" w:rsidP="00982642">
      <w:pPr>
        <w:pStyle w:val="ListParagraph"/>
        <w:numPr>
          <w:ilvl w:val="0"/>
          <w:numId w:val="12"/>
        </w:numPr>
        <w:spacing w:line="360" w:lineRule="auto"/>
        <w:rPr>
          <w:color w:val="222222"/>
          <w:sz w:val="20"/>
          <w:szCs w:val="20"/>
          <w:shd w:val="clear" w:color="auto" w:fill="FFFFFF"/>
        </w:rPr>
      </w:pPr>
      <w:r w:rsidRPr="00982642">
        <w:rPr>
          <w:color w:val="222222"/>
          <w:sz w:val="20"/>
          <w:szCs w:val="20"/>
          <w:shd w:val="clear" w:color="auto" w:fill="FFFFFF"/>
        </w:rPr>
        <w:t>Slater NJ, van der Kolk M, Hendriks T, van Goor H, Bleichrodt RP. Biologic grafts for ventral hernia repair: a systematic review. The American Journal of Surgery. 2013 Feb 1;205(2):220-30</w:t>
      </w:r>
    </w:p>
    <w:p w14:paraId="4808E09E" w14:textId="3F9410EB" w:rsidR="00C350D4" w:rsidRPr="00982642" w:rsidRDefault="00C350D4" w:rsidP="00982642">
      <w:pPr>
        <w:pStyle w:val="ListParagraph"/>
        <w:numPr>
          <w:ilvl w:val="0"/>
          <w:numId w:val="12"/>
        </w:numPr>
        <w:spacing w:line="360" w:lineRule="auto"/>
        <w:rPr>
          <w:color w:val="222222"/>
          <w:sz w:val="20"/>
          <w:szCs w:val="20"/>
          <w:shd w:val="clear" w:color="auto" w:fill="FFFFFF"/>
        </w:rPr>
      </w:pPr>
      <w:r w:rsidRPr="00982642">
        <w:rPr>
          <w:color w:val="222222"/>
          <w:sz w:val="20"/>
          <w:szCs w:val="20"/>
          <w:shd w:val="clear" w:color="auto" w:fill="FFFFFF"/>
        </w:rPr>
        <w:t>Chand B, Indeck M, Needleman B, Finnegan M, Van Sickle KR, Ystgaard B, Gossetti F, Pullan RD, Giordano P, McKinley A. A retrospective study evaluating the use of Permacol™ surgical implant in incisional and ventral hernia repair. International journal of surgery. 2014 Apr 1;12(4):296-303.</w:t>
      </w:r>
    </w:p>
    <w:p w14:paraId="06CDA389" w14:textId="52371023" w:rsidR="006F6557" w:rsidRPr="00982642" w:rsidRDefault="006F6557" w:rsidP="00982642">
      <w:pPr>
        <w:pStyle w:val="ListParagraph"/>
        <w:numPr>
          <w:ilvl w:val="0"/>
          <w:numId w:val="12"/>
        </w:numPr>
        <w:spacing w:line="360" w:lineRule="auto"/>
        <w:rPr>
          <w:color w:val="222222"/>
          <w:sz w:val="20"/>
          <w:szCs w:val="20"/>
          <w:shd w:val="clear" w:color="auto" w:fill="FFFFFF"/>
        </w:rPr>
      </w:pPr>
      <w:r w:rsidRPr="00982642">
        <w:rPr>
          <w:color w:val="222222"/>
          <w:sz w:val="20"/>
          <w:szCs w:val="20"/>
          <w:shd w:val="clear" w:color="auto" w:fill="FFFFFF"/>
        </w:rPr>
        <w:t>Chowbey PK, Sharma A, Khullar R, Mann V, Baijal M, Vashistha A. Laparoscopic ventral hernia repair. Journal of Laparoendoscopic &amp; Advanced Surgical Techniques. 2000 Apr;10(2):79-84.</w:t>
      </w:r>
    </w:p>
    <w:p w14:paraId="0714F56B" w14:textId="545BB0CE" w:rsidR="006A7B6E" w:rsidRPr="00982642" w:rsidRDefault="006A7B6E" w:rsidP="00982642">
      <w:pPr>
        <w:pStyle w:val="ListParagraph"/>
        <w:numPr>
          <w:ilvl w:val="0"/>
          <w:numId w:val="12"/>
        </w:numPr>
        <w:spacing w:line="360" w:lineRule="auto"/>
        <w:rPr>
          <w:color w:val="222222"/>
          <w:sz w:val="20"/>
          <w:szCs w:val="20"/>
          <w:shd w:val="clear" w:color="auto" w:fill="FFFFFF"/>
        </w:rPr>
      </w:pPr>
      <w:r w:rsidRPr="00982642">
        <w:rPr>
          <w:color w:val="222222"/>
          <w:sz w:val="20"/>
          <w:szCs w:val="20"/>
          <w:shd w:val="clear" w:color="auto" w:fill="FFFFFF"/>
        </w:rPr>
        <w:t>Trujillo CN, Fowler A, Al-Temimi MH, Ali A, Johna S, Tessier D. Complex ventral hernias: a review of past to present. The Permanente Journal. 2018;22</w:t>
      </w:r>
    </w:p>
    <w:p w14:paraId="691F5E4B" w14:textId="680C420B" w:rsidR="006A7B6E" w:rsidRPr="00982642" w:rsidRDefault="006A7B6E" w:rsidP="00982642">
      <w:pPr>
        <w:pStyle w:val="ListParagraph"/>
        <w:numPr>
          <w:ilvl w:val="0"/>
          <w:numId w:val="11"/>
        </w:numPr>
        <w:spacing w:line="360" w:lineRule="auto"/>
        <w:rPr>
          <w:color w:val="222222"/>
          <w:sz w:val="20"/>
          <w:szCs w:val="20"/>
          <w:shd w:val="clear" w:color="auto" w:fill="FFFFFF"/>
        </w:rPr>
      </w:pPr>
      <w:r w:rsidRPr="00982642">
        <w:rPr>
          <w:color w:val="222222"/>
          <w:sz w:val="20"/>
          <w:szCs w:val="20"/>
          <w:shd w:val="clear" w:color="auto" w:fill="FFFFFF"/>
        </w:rPr>
        <w:t>10.Gangalakshmi C, Velmurugan A, Rajakumari R. Retrospective Study of Ventral Hernia in Thoothukudi Medical College, Thoothukudi, Tamilnadu, India</w:t>
      </w:r>
    </w:p>
    <w:p w14:paraId="2C55D96C" w14:textId="77777777" w:rsidR="006A7B6E" w:rsidRPr="00982642" w:rsidRDefault="006A7B6E" w:rsidP="00982642">
      <w:pPr>
        <w:pStyle w:val="ListParagraph"/>
        <w:numPr>
          <w:ilvl w:val="0"/>
          <w:numId w:val="12"/>
        </w:numPr>
        <w:spacing w:line="360" w:lineRule="auto"/>
        <w:rPr>
          <w:color w:val="222222"/>
          <w:sz w:val="20"/>
          <w:szCs w:val="20"/>
          <w:shd w:val="clear" w:color="auto" w:fill="FFFFFF"/>
        </w:rPr>
      </w:pPr>
      <w:r w:rsidRPr="00982642">
        <w:rPr>
          <w:color w:val="222222"/>
          <w:sz w:val="20"/>
          <w:szCs w:val="20"/>
          <w:shd w:val="clear" w:color="auto" w:fill="FFFFFF"/>
        </w:rPr>
        <w:t>Townsend RC, Beauchamp BD, Mattox MEK. Clinical surgery of hernia. Sabiston Textbook of Surgery, 19th Edition, Volume II, Elsevier. 2016:1128.</w:t>
      </w:r>
    </w:p>
    <w:p w14:paraId="4F8E2004" w14:textId="77777777" w:rsidR="006A7B6E" w:rsidRPr="00982642" w:rsidRDefault="006A7B6E" w:rsidP="00982642">
      <w:pPr>
        <w:pStyle w:val="ListParagraph"/>
        <w:numPr>
          <w:ilvl w:val="0"/>
          <w:numId w:val="12"/>
        </w:numPr>
        <w:spacing w:line="360" w:lineRule="auto"/>
        <w:rPr>
          <w:color w:val="222222"/>
          <w:sz w:val="20"/>
          <w:szCs w:val="20"/>
          <w:shd w:val="clear" w:color="auto" w:fill="FFFFFF"/>
        </w:rPr>
      </w:pPr>
      <w:r w:rsidRPr="00982642">
        <w:rPr>
          <w:color w:val="222222"/>
          <w:sz w:val="20"/>
          <w:szCs w:val="20"/>
          <w:shd w:val="clear" w:color="auto" w:fill="FFFFFF"/>
        </w:rPr>
        <w:t>Mudge M, Hughes LE. Incisional hernia: a 10-year prospective study of incidence and attitudes. Br J Surg. 1985;72(1):70-1.</w:t>
      </w:r>
    </w:p>
    <w:p w14:paraId="4B4BBF2F" w14:textId="77777777" w:rsidR="006A7B6E" w:rsidRPr="00982642" w:rsidRDefault="006A7B6E" w:rsidP="00982642">
      <w:pPr>
        <w:pStyle w:val="ListParagraph"/>
        <w:numPr>
          <w:ilvl w:val="0"/>
          <w:numId w:val="12"/>
        </w:numPr>
        <w:spacing w:line="360" w:lineRule="auto"/>
        <w:rPr>
          <w:color w:val="222222"/>
          <w:sz w:val="20"/>
          <w:szCs w:val="20"/>
          <w:shd w:val="clear" w:color="auto" w:fill="FFFFFF"/>
        </w:rPr>
      </w:pPr>
      <w:r w:rsidRPr="00982642">
        <w:rPr>
          <w:color w:val="222222"/>
          <w:sz w:val="20"/>
          <w:szCs w:val="20"/>
          <w:shd w:val="clear" w:color="auto" w:fill="FFFFFF"/>
        </w:rPr>
        <w:t>Bucknall TE, Cox PJ, Ellis H. Burst abdomen and incisional hernia: a prospective study of 1129 major laparotomies. Br Med J. 1982;284(6320):931-3.</w:t>
      </w:r>
      <w:r w:rsidRPr="00982642">
        <w:rPr>
          <w:rFonts w:eastAsia="Calibri"/>
          <w:color w:val="222222"/>
          <w:position w:val="1"/>
          <w:sz w:val="20"/>
          <w:szCs w:val="20"/>
        </w:rPr>
        <w:t xml:space="preserve"> </w:t>
      </w:r>
    </w:p>
    <w:p w14:paraId="4E9EFA04" w14:textId="0454FBC7" w:rsidR="006A7B6E" w:rsidRPr="00982642" w:rsidRDefault="006A7B6E" w:rsidP="00982642">
      <w:pPr>
        <w:pStyle w:val="ListParagraph"/>
        <w:numPr>
          <w:ilvl w:val="0"/>
          <w:numId w:val="12"/>
        </w:numPr>
        <w:spacing w:line="360" w:lineRule="auto"/>
        <w:rPr>
          <w:color w:val="222222"/>
          <w:sz w:val="20"/>
          <w:szCs w:val="20"/>
          <w:shd w:val="clear" w:color="auto" w:fill="FFFFFF"/>
        </w:rPr>
      </w:pPr>
      <w:r w:rsidRPr="00982642">
        <w:rPr>
          <w:color w:val="222222"/>
          <w:sz w:val="20"/>
          <w:szCs w:val="20"/>
          <w:shd w:val="clear" w:color="auto" w:fill="FFFFFF"/>
        </w:rPr>
        <w:t>Chavan SS, Baruah TD, CP GB. A clinical study on ventral hernias in a tertiary care hospital. International Surgery Journal. 2017 Jul 24;4(8):2600-4.</w:t>
      </w:r>
    </w:p>
    <w:p w14:paraId="43EA3EA0" w14:textId="77777777" w:rsidR="006A7B6E" w:rsidRPr="00982642" w:rsidRDefault="006A7B6E" w:rsidP="00982642">
      <w:pPr>
        <w:pStyle w:val="ListParagraph"/>
        <w:numPr>
          <w:ilvl w:val="0"/>
          <w:numId w:val="12"/>
        </w:numPr>
        <w:spacing w:line="360" w:lineRule="auto"/>
        <w:rPr>
          <w:color w:val="222222"/>
          <w:sz w:val="20"/>
          <w:szCs w:val="20"/>
          <w:shd w:val="clear" w:color="auto" w:fill="FFFFFF"/>
        </w:rPr>
      </w:pPr>
      <w:r w:rsidRPr="00982642">
        <w:rPr>
          <w:color w:val="222222"/>
          <w:sz w:val="20"/>
          <w:szCs w:val="20"/>
          <w:shd w:val="clear" w:color="auto" w:fill="FFFFFF"/>
        </w:rPr>
        <w:t>Hansda L, Hansda D. A Clinical Study on Ventral Hernias in Tertiary Care Hospital. COPD.;10:4-7.</w:t>
      </w:r>
    </w:p>
    <w:p w14:paraId="0C714B6E" w14:textId="77777777" w:rsidR="006A7B6E" w:rsidRPr="00982642" w:rsidRDefault="006A7B6E" w:rsidP="00982642">
      <w:pPr>
        <w:pStyle w:val="ListParagraph"/>
        <w:numPr>
          <w:ilvl w:val="0"/>
          <w:numId w:val="12"/>
        </w:numPr>
        <w:spacing w:line="360" w:lineRule="auto"/>
        <w:rPr>
          <w:color w:val="222222"/>
          <w:sz w:val="20"/>
          <w:szCs w:val="20"/>
          <w:shd w:val="clear" w:color="auto" w:fill="FFFFFF"/>
        </w:rPr>
      </w:pPr>
      <w:r w:rsidRPr="00982642">
        <w:rPr>
          <w:color w:val="222222"/>
          <w:sz w:val="20"/>
          <w:szCs w:val="20"/>
          <w:shd w:val="clear" w:color="auto" w:fill="FFFFFF"/>
        </w:rPr>
        <w:t xml:space="preserve">A Manual On Clinical Surgery By Dr. S. Das 15th Edition </w:t>
      </w:r>
    </w:p>
    <w:p w14:paraId="7167837D" w14:textId="77777777" w:rsidR="006A7B6E" w:rsidRPr="00982642" w:rsidRDefault="006A7B6E" w:rsidP="00982642">
      <w:pPr>
        <w:pStyle w:val="ListParagraph"/>
        <w:numPr>
          <w:ilvl w:val="0"/>
          <w:numId w:val="12"/>
        </w:numPr>
        <w:spacing w:line="360" w:lineRule="auto"/>
        <w:rPr>
          <w:color w:val="222222"/>
          <w:sz w:val="20"/>
          <w:szCs w:val="20"/>
          <w:shd w:val="clear" w:color="auto" w:fill="FFFFFF"/>
        </w:rPr>
      </w:pPr>
      <w:r w:rsidRPr="00982642">
        <w:rPr>
          <w:color w:val="222222"/>
          <w:sz w:val="20"/>
          <w:szCs w:val="20"/>
          <w:shd w:val="clear" w:color="auto" w:fill="FFFFFF"/>
        </w:rPr>
        <w:t>Nho RL, Mege D, Ouaïssi M, Sielezneff I, Sastre B. Incidence and prevention of ventral incisional hernia. Journal of visceral surgery. 2012 Oct 1;149(5):e3-14.</w:t>
      </w:r>
    </w:p>
    <w:p w14:paraId="2B2C4C05" w14:textId="77777777" w:rsidR="006A7B6E" w:rsidRPr="00982642" w:rsidRDefault="006A7B6E" w:rsidP="00982642">
      <w:pPr>
        <w:pStyle w:val="ListParagraph"/>
        <w:numPr>
          <w:ilvl w:val="0"/>
          <w:numId w:val="12"/>
        </w:numPr>
        <w:spacing w:line="360" w:lineRule="auto"/>
        <w:rPr>
          <w:color w:val="222222"/>
          <w:sz w:val="20"/>
          <w:szCs w:val="20"/>
          <w:shd w:val="clear" w:color="auto" w:fill="FFFFFF"/>
        </w:rPr>
      </w:pPr>
      <w:r w:rsidRPr="00982642">
        <w:rPr>
          <w:color w:val="222222"/>
          <w:sz w:val="20"/>
          <w:szCs w:val="20"/>
          <w:shd w:val="clear" w:color="auto" w:fill="FFFFFF"/>
        </w:rPr>
        <w:t>Askar OM. A new concept of the aetiology and surgical repair of paraumbilical and epigastric hernias. Annals of the Royal College of Surgeons of England. 1978 Jan;60(1):42.</w:t>
      </w:r>
    </w:p>
    <w:p w14:paraId="5D6D2E29" w14:textId="77777777" w:rsidR="006A7B6E" w:rsidRPr="00982642" w:rsidRDefault="006A7B6E" w:rsidP="00982642">
      <w:pPr>
        <w:pStyle w:val="ListParagraph"/>
        <w:numPr>
          <w:ilvl w:val="0"/>
          <w:numId w:val="12"/>
        </w:numPr>
        <w:spacing w:line="360" w:lineRule="auto"/>
        <w:rPr>
          <w:color w:val="222222"/>
          <w:sz w:val="20"/>
          <w:szCs w:val="20"/>
          <w:shd w:val="clear" w:color="auto" w:fill="FFFFFF"/>
        </w:rPr>
      </w:pPr>
      <w:r w:rsidRPr="00982642">
        <w:rPr>
          <w:color w:val="222222"/>
          <w:sz w:val="20"/>
          <w:szCs w:val="20"/>
          <w:shd w:val="clear" w:color="auto" w:fill="FFFFFF"/>
        </w:rPr>
        <w:t>Gangalakshmi C, Velmurugan A, Rajakumari R. Retrospective Study of Ventral Hernia in Thoothukudi Medical College, Thoothukudi, Tamilnadu, India.</w:t>
      </w:r>
    </w:p>
    <w:p w14:paraId="394E8380" w14:textId="7203F4F9" w:rsidR="006A7B6E" w:rsidRPr="00982642" w:rsidRDefault="006A7B6E" w:rsidP="00982642">
      <w:pPr>
        <w:pStyle w:val="ListParagraph"/>
        <w:numPr>
          <w:ilvl w:val="0"/>
          <w:numId w:val="12"/>
        </w:numPr>
        <w:spacing w:line="360" w:lineRule="auto"/>
        <w:rPr>
          <w:color w:val="222222"/>
          <w:sz w:val="20"/>
          <w:szCs w:val="20"/>
          <w:shd w:val="clear" w:color="auto" w:fill="FFFFFF"/>
        </w:rPr>
      </w:pPr>
      <w:r w:rsidRPr="00982642">
        <w:rPr>
          <w:color w:val="222222"/>
          <w:sz w:val="20"/>
          <w:szCs w:val="20"/>
          <w:shd w:val="clear" w:color="auto" w:fill="FFFFFF"/>
        </w:rPr>
        <w:t>Ranjani CM, Paniraj AM. A study of abdominal wall hernias and its management. International Journal of Scientific Study. 2020;7(11):73-6.</w:t>
      </w:r>
    </w:p>
    <w:p w14:paraId="6788A90C" w14:textId="6EF62E42" w:rsidR="008F2929" w:rsidRPr="00982642" w:rsidRDefault="008F2929" w:rsidP="00982642">
      <w:pPr>
        <w:pStyle w:val="ListParagraph"/>
        <w:numPr>
          <w:ilvl w:val="0"/>
          <w:numId w:val="12"/>
        </w:numPr>
        <w:spacing w:line="360" w:lineRule="auto"/>
        <w:outlineLvl w:val="0"/>
        <w:rPr>
          <w:color w:val="212529"/>
          <w:kern w:val="36"/>
          <w:sz w:val="20"/>
          <w:szCs w:val="20"/>
        </w:rPr>
      </w:pPr>
      <w:r w:rsidRPr="00982642">
        <w:rPr>
          <w:color w:val="212529"/>
          <w:kern w:val="36"/>
          <w:sz w:val="20"/>
          <w:szCs w:val="20"/>
        </w:rPr>
        <w:t>Sabiston Textbook of Surgery: The Biological Basis of Modern Surgical Practice</w:t>
      </w:r>
      <w:r w:rsidR="00FA6CCD" w:rsidRPr="00982642">
        <w:rPr>
          <w:color w:val="212529"/>
          <w:kern w:val="36"/>
          <w:sz w:val="20"/>
          <w:szCs w:val="20"/>
        </w:rPr>
        <w:t>(</w:t>
      </w:r>
      <w:r w:rsidRPr="00982642">
        <w:rPr>
          <w:color w:val="212529"/>
          <w:kern w:val="36"/>
          <w:sz w:val="20"/>
          <w:szCs w:val="20"/>
        </w:rPr>
        <w:t>21 ed.</w:t>
      </w:r>
      <w:r w:rsidR="00FA6CCD" w:rsidRPr="00982642">
        <w:rPr>
          <w:color w:val="212529"/>
          <w:kern w:val="36"/>
          <w:sz w:val="20"/>
          <w:szCs w:val="20"/>
        </w:rPr>
        <w:t>)</w:t>
      </w:r>
    </w:p>
    <w:p w14:paraId="0C98FFC6" w14:textId="64A4508F" w:rsidR="008F2929" w:rsidRPr="00982642" w:rsidRDefault="008F2929" w:rsidP="00982642">
      <w:pPr>
        <w:spacing w:line="360" w:lineRule="auto"/>
        <w:rPr>
          <w:color w:val="222222"/>
          <w:sz w:val="20"/>
          <w:shd w:val="clear" w:color="auto" w:fill="FFFFFF"/>
        </w:rPr>
      </w:pPr>
    </w:p>
    <w:p w14:paraId="2E672CAF" w14:textId="77777777" w:rsidR="00B225E4" w:rsidRPr="00982642" w:rsidRDefault="00B225E4" w:rsidP="00982642">
      <w:pPr>
        <w:spacing w:line="360" w:lineRule="auto"/>
        <w:rPr>
          <w:sz w:val="20"/>
        </w:rPr>
      </w:pPr>
      <w:bookmarkStart w:id="0" w:name="_GoBack"/>
      <w:bookmarkEnd w:id="0"/>
    </w:p>
    <w:sectPr w:rsidR="00B225E4" w:rsidRPr="00982642" w:rsidSect="00982642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pgNumType w:start="7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BC3654" w14:textId="77777777" w:rsidR="00C33E08" w:rsidRDefault="00C33E08" w:rsidP="00C350D4">
      <w:r>
        <w:separator/>
      </w:r>
    </w:p>
  </w:endnote>
  <w:endnote w:type="continuationSeparator" w:id="0">
    <w:p w14:paraId="70954732" w14:textId="77777777" w:rsidR="00C33E08" w:rsidRDefault="00C33E08" w:rsidP="00C35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8848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F2064F" w14:textId="7768FD65" w:rsidR="00982642" w:rsidRDefault="0098264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3E08">
          <w:rPr>
            <w:noProof/>
          </w:rPr>
          <w:t>74</w:t>
        </w:r>
        <w:r>
          <w:rPr>
            <w:noProof/>
          </w:rPr>
          <w:fldChar w:fldCharType="end"/>
        </w:r>
      </w:p>
    </w:sdtContent>
  </w:sdt>
  <w:p w14:paraId="0AE0320A" w14:textId="77777777" w:rsidR="00982642" w:rsidRPr="00982642" w:rsidRDefault="00982642" w:rsidP="00982642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13"/>
        <w:tab w:val="right" w:pos="9026"/>
      </w:tabs>
      <w:jc w:val="left"/>
      <w:rPr>
        <w:rFonts w:ascii="Calibri" w:eastAsia="Calibri" w:hAnsi="Calibri"/>
        <w:sz w:val="20"/>
        <w:szCs w:val="24"/>
        <w:bdr w:val="nil"/>
        <w:lang w:val="en-US" w:eastAsia="zh-CN"/>
      </w:rPr>
    </w:pPr>
    <w:r w:rsidRPr="00982642">
      <w:rPr>
        <w:rFonts w:ascii="Calibri" w:eastAsia="Calibri" w:hAnsi="Calibri"/>
        <w:sz w:val="20"/>
        <w:szCs w:val="24"/>
        <w:bdr w:val="nil"/>
        <w:lang w:val="en-US" w:eastAsia="zh-CN"/>
      </w:rPr>
      <w:t>www.ijbamr.com   P ISSN: 2250-284X, E ISSN: 2250-2858</w:t>
    </w:r>
  </w:p>
  <w:p w14:paraId="4F4853ED" w14:textId="77777777" w:rsidR="00982642" w:rsidRDefault="009826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03D7C4" w14:textId="77777777" w:rsidR="00C33E08" w:rsidRDefault="00C33E08" w:rsidP="00C350D4">
      <w:r>
        <w:separator/>
      </w:r>
    </w:p>
  </w:footnote>
  <w:footnote w:type="continuationSeparator" w:id="0">
    <w:p w14:paraId="3CB89530" w14:textId="77777777" w:rsidR="00C33E08" w:rsidRDefault="00C33E08" w:rsidP="00C350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CDA381" w14:textId="38BFBD0C" w:rsidR="00982642" w:rsidRPr="00982642" w:rsidRDefault="00982642" w:rsidP="00982642">
    <w:pPr>
      <w:tabs>
        <w:tab w:val="center" w:pos="4513"/>
        <w:tab w:val="right" w:pos="9026"/>
      </w:tabs>
      <w:jc w:val="left"/>
      <w:rPr>
        <w:rFonts w:eastAsia="Calibri"/>
        <w:sz w:val="22"/>
        <w:szCs w:val="22"/>
        <w:lang w:val="en-US" w:eastAsia="en-US"/>
      </w:rPr>
    </w:pPr>
    <w:r w:rsidRPr="00982642">
      <w:rPr>
        <w:rFonts w:eastAsia="Calibri"/>
        <w:sz w:val="22"/>
        <w:szCs w:val="22"/>
        <w:lang w:val="en-US" w:eastAsia="en-US"/>
      </w:rPr>
      <w:t xml:space="preserve">Indian Journal of Basic and Applied Medical Research; December 2022: Vol.-12, Issue- 1 , P. </w:t>
    </w:r>
    <w:r>
      <w:rPr>
        <w:rFonts w:eastAsia="Calibri"/>
        <w:sz w:val="22"/>
        <w:szCs w:val="22"/>
        <w:lang w:val="en-US" w:eastAsia="en-US"/>
      </w:rPr>
      <w:t xml:space="preserve">74 – 79 </w:t>
    </w:r>
  </w:p>
  <w:p w14:paraId="0E064B42" w14:textId="0B4E0AAD" w:rsidR="00982642" w:rsidRPr="00982642" w:rsidRDefault="00982642" w:rsidP="00982642">
    <w:pPr>
      <w:tabs>
        <w:tab w:val="center" w:pos="4513"/>
        <w:tab w:val="right" w:pos="9026"/>
      </w:tabs>
      <w:jc w:val="left"/>
      <w:rPr>
        <w:rFonts w:eastAsia="Calibri"/>
        <w:sz w:val="22"/>
        <w:szCs w:val="22"/>
        <w:lang w:val="en-US" w:eastAsia="en-US"/>
      </w:rPr>
    </w:pPr>
    <w:r w:rsidRPr="00982642">
      <w:rPr>
        <w:rFonts w:eastAsia="Calibri"/>
        <w:bCs/>
        <w:sz w:val="22"/>
        <w:szCs w:val="22"/>
        <w:lang w:val="en-US" w:eastAsia="en-US"/>
      </w:rPr>
      <w:t xml:space="preserve">DOI: </w:t>
    </w:r>
    <w:r>
      <w:rPr>
        <w:rFonts w:eastAsia="Calibri"/>
        <w:bCs/>
        <w:sz w:val="22"/>
        <w:szCs w:val="22"/>
        <w:lang w:val="en-US" w:eastAsia="en-US"/>
      </w:rPr>
      <w:t>10.36855/IJBAMR/2022/98215.55580</w:t>
    </w:r>
  </w:p>
  <w:p w14:paraId="3450629B" w14:textId="77777777" w:rsidR="00982642" w:rsidRDefault="009826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6F90"/>
    <w:multiLevelType w:val="hybridMultilevel"/>
    <w:tmpl w:val="64DCBBB8"/>
    <w:lvl w:ilvl="0" w:tplc="F13AC8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42AC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5815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3AB2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4AA2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CC02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36D4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6244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08A19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DBE5A41"/>
    <w:multiLevelType w:val="hybridMultilevel"/>
    <w:tmpl w:val="55481DF0"/>
    <w:lvl w:ilvl="0" w:tplc="DCA68D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58B6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DCEF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1699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4CAD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120D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8C97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10D5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0B47B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6E804E0"/>
    <w:multiLevelType w:val="hybridMultilevel"/>
    <w:tmpl w:val="5BCE4128"/>
    <w:lvl w:ilvl="0" w:tplc="DAD0F3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DC4511"/>
    <w:multiLevelType w:val="hybridMultilevel"/>
    <w:tmpl w:val="B18CD8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306B88"/>
    <w:multiLevelType w:val="hybridMultilevel"/>
    <w:tmpl w:val="2126FCCA"/>
    <w:lvl w:ilvl="0" w:tplc="96A6E3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5247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842D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8A4F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BA12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106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E868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4848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688E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89C6FE3"/>
    <w:multiLevelType w:val="hybridMultilevel"/>
    <w:tmpl w:val="2D58D6D6"/>
    <w:lvl w:ilvl="0" w:tplc="83B2B7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F082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2B4F9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BAA5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5890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B86F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A090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3828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7672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8E4F47"/>
    <w:multiLevelType w:val="hybridMultilevel"/>
    <w:tmpl w:val="183649F2"/>
    <w:lvl w:ilvl="0" w:tplc="5BF424C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6ADF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36AF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A8CE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B225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B464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6286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EC42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502F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612000"/>
    <w:multiLevelType w:val="hybridMultilevel"/>
    <w:tmpl w:val="B5A282C4"/>
    <w:lvl w:ilvl="0" w:tplc="30CEA9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44B2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62D2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60F8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9C71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208A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4C1E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00CD5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6E1A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BC51833"/>
    <w:multiLevelType w:val="hybridMultilevel"/>
    <w:tmpl w:val="1ADE19D0"/>
    <w:lvl w:ilvl="0" w:tplc="8C2AC4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48E0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16A9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6EFF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4EB2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BCF2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DCA2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5A73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0460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50341305"/>
    <w:multiLevelType w:val="hybridMultilevel"/>
    <w:tmpl w:val="967EECB0"/>
    <w:lvl w:ilvl="0" w:tplc="BEFC44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3A3E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7E8D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2078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24B6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D0EA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E4B3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827A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84FA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5173656D"/>
    <w:multiLevelType w:val="hybridMultilevel"/>
    <w:tmpl w:val="98DA681E"/>
    <w:lvl w:ilvl="0" w:tplc="DA3498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4242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A637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A886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FE00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A6CB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8A8A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F6F5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AEA4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5AC57A0D"/>
    <w:multiLevelType w:val="hybridMultilevel"/>
    <w:tmpl w:val="1788290A"/>
    <w:lvl w:ilvl="0" w:tplc="DC2049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9217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F85E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66D7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9AA0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F278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CE44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884F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CE3E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5ED262CD"/>
    <w:multiLevelType w:val="hybridMultilevel"/>
    <w:tmpl w:val="4260EEF6"/>
    <w:lvl w:ilvl="0" w:tplc="EB9ED5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B2F1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52FA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4253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A0B9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FEE3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7682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D8DC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404C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611C48DE"/>
    <w:multiLevelType w:val="hybridMultilevel"/>
    <w:tmpl w:val="76CE2C74"/>
    <w:lvl w:ilvl="0" w:tplc="DAD0F3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5E69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77C31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00F8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AA3C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44E6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28EF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CCAD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92CC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9627833"/>
    <w:multiLevelType w:val="hybridMultilevel"/>
    <w:tmpl w:val="F9F868A2"/>
    <w:lvl w:ilvl="0" w:tplc="9E5821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F456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BAC3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0610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D808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BAB1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F657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7017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AA16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1"/>
  </w:num>
  <w:num w:numId="5">
    <w:abstractNumId w:val="4"/>
  </w:num>
  <w:num w:numId="6">
    <w:abstractNumId w:val="11"/>
  </w:num>
  <w:num w:numId="7">
    <w:abstractNumId w:val="14"/>
  </w:num>
  <w:num w:numId="8">
    <w:abstractNumId w:val="7"/>
  </w:num>
  <w:num w:numId="9">
    <w:abstractNumId w:val="5"/>
  </w:num>
  <w:num w:numId="10">
    <w:abstractNumId w:val="13"/>
  </w:num>
  <w:num w:numId="11">
    <w:abstractNumId w:val="2"/>
  </w:num>
  <w:num w:numId="12">
    <w:abstractNumId w:val="3"/>
  </w:num>
  <w:num w:numId="13">
    <w:abstractNumId w:val="6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5A8"/>
    <w:rsid w:val="001C74C5"/>
    <w:rsid w:val="002256EF"/>
    <w:rsid w:val="002B269F"/>
    <w:rsid w:val="002D59C4"/>
    <w:rsid w:val="00531001"/>
    <w:rsid w:val="005A4770"/>
    <w:rsid w:val="006A7B6E"/>
    <w:rsid w:val="006B094C"/>
    <w:rsid w:val="006F6557"/>
    <w:rsid w:val="00775326"/>
    <w:rsid w:val="008F2929"/>
    <w:rsid w:val="00982642"/>
    <w:rsid w:val="009C6CF7"/>
    <w:rsid w:val="009F6C35"/>
    <w:rsid w:val="00A13A09"/>
    <w:rsid w:val="00B225E4"/>
    <w:rsid w:val="00C33E08"/>
    <w:rsid w:val="00C350D4"/>
    <w:rsid w:val="00D5139A"/>
    <w:rsid w:val="00D51DCA"/>
    <w:rsid w:val="00D6602F"/>
    <w:rsid w:val="00E17A75"/>
    <w:rsid w:val="00F515A8"/>
    <w:rsid w:val="00FA6CCD"/>
    <w:rsid w:val="00FD32EA"/>
    <w:rsid w:val="00FE29D1"/>
    <w:rsid w:val="00FF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669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5A8"/>
    <w:pPr>
      <w:jc w:val="both"/>
    </w:pPr>
    <w:rPr>
      <w:rFonts w:ascii="Times New Roman" w:eastAsia="Times New Roman" w:hAnsi="Times New Roman" w:cs="Times New Roman"/>
      <w:sz w:val="21"/>
      <w:szCs w:val="20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8F2929"/>
    <w:pPr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770"/>
    <w:pPr>
      <w:ind w:left="720"/>
      <w:contextualSpacing/>
      <w:jc w:val="left"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5A4770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NoSpacing">
    <w:name w:val="No Spacing"/>
    <w:uiPriority w:val="1"/>
    <w:qFormat/>
    <w:rsid w:val="00A13A09"/>
    <w:pPr>
      <w:jc w:val="both"/>
    </w:pPr>
    <w:rPr>
      <w:rFonts w:ascii="Times New Roman" w:eastAsia="Times New Roman" w:hAnsi="Times New Roman" w:cs="Times New Roman"/>
      <w:sz w:val="21"/>
      <w:szCs w:val="20"/>
      <w:lang w:eastAsia="en-GB"/>
    </w:rPr>
  </w:style>
  <w:style w:type="table" w:styleId="TableGrid">
    <w:name w:val="Table Grid"/>
    <w:basedOn w:val="TableNormal"/>
    <w:uiPriority w:val="39"/>
    <w:rsid w:val="007753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50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50D4"/>
    <w:rPr>
      <w:rFonts w:ascii="Times New Roman" w:eastAsia="Times New Roman" w:hAnsi="Times New Roman" w:cs="Times New Roman"/>
      <w:sz w:val="21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350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50D4"/>
    <w:rPr>
      <w:rFonts w:ascii="Times New Roman" w:eastAsia="Times New Roman" w:hAnsi="Times New Roman" w:cs="Times New Roman"/>
      <w:sz w:val="21"/>
      <w:szCs w:val="2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8F292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6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642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5A8"/>
    <w:pPr>
      <w:jc w:val="both"/>
    </w:pPr>
    <w:rPr>
      <w:rFonts w:ascii="Times New Roman" w:eastAsia="Times New Roman" w:hAnsi="Times New Roman" w:cs="Times New Roman"/>
      <w:sz w:val="21"/>
      <w:szCs w:val="20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8F2929"/>
    <w:pPr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770"/>
    <w:pPr>
      <w:ind w:left="720"/>
      <w:contextualSpacing/>
      <w:jc w:val="left"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5A4770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NoSpacing">
    <w:name w:val="No Spacing"/>
    <w:uiPriority w:val="1"/>
    <w:qFormat/>
    <w:rsid w:val="00A13A09"/>
    <w:pPr>
      <w:jc w:val="both"/>
    </w:pPr>
    <w:rPr>
      <w:rFonts w:ascii="Times New Roman" w:eastAsia="Times New Roman" w:hAnsi="Times New Roman" w:cs="Times New Roman"/>
      <w:sz w:val="21"/>
      <w:szCs w:val="20"/>
      <w:lang w:eastAsia="en-GB"/>
    </w:rPr>
  </w:style>
  <w:style w:type="table" w:styleId="TableGrid">
    <w:name w:val="Table Grid"/>
    <w:basedOn w:val="TableNormal"/>
    <w:uiPriority w:val="39"/>
    <w:rsid w:val="007753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50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50D4"/>
    <w:rPr>
      <w:rFonts w:ascii="Times New Roman" w:eastAsia="Times New Roman" w:hAnsi="Times New Roman" w:cs="Times New Roman"/>
      <w:sz w:val="21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350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50D4"/>
    <w:rPr>
      <w:rFonts w:ascii="Times New Roman" w:eastAsia="Times New Roman" w:hAnsi="Times New Roman" w:cs="Times New Roman"/>
      <w:sz w:val="21"/>
      <w:szCs w:val="2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8F292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6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642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82160">
          <w:marLeft w:val="662"/>
          <w:marRight w:val="0"/>
          <w:marTop w:val="7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30">
          <w:marLeft w:val="662"/>
          <w:marRight w:val="0"/>
          <w:marTop w:val="7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8392">
          <w:marLeft w:val="662"/>
          <w:marRight w:val="0"/>
          <w:marTop w:val="7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4500">
          <w:marLeft w:val="662"/>
          <w:marRight w:val="0"/>
          <w:marTop w:val="7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5619">
          <w:marLeft w:val="662"/>
          <w:marRight w:val="0"/>
          <w:marTop w:val="7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6045">
          <w:marLeft w:val="662"/>
          <w:marRight w:val="0"/>
          <w:marTop w:val="7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4085">
          <w:marLeft w:val="662"/>
          <w:marRight w:val="0"/>
          <w:marTop w:val="7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83144">
          <w:marLeft w:val="80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7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192267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2961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5065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3335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1233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5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51767">
          <w:marLeft w:val="90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064">
          <w:marLeft w:val="77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79106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3167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6611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2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7575">
          <w:marLeft w:val="706"/>
          <w:marRight w:val="0"/>
          <w:marTop w:val="7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8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95950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097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9930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9383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6472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473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4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8987">
          <w:marLeft w:val="90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4348">
          <w:marLeft w:val="77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8306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46993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8657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6523">
          <w:marLeft w:val="706"/>
          <w:marRight w:val="0"/>
          <w:marTop w:val="7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4890">
          <w:marLeft w:val="706"/>
          <w:marRight w:val="0"/>
          <w:marTop w:val="7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9098">
          <w:marLeft w:val="706"/>
          <w:marRight w:val="0"/>
          <w:marTop w:val="7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0654">
          <w:marLeft w:val="80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144941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65461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8545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07012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59130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01908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4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9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27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44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29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0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9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9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36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2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I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Sheet1!$A$2:$B$2</c:f>
              <c:strCache>
                <c:ptCount val="2"/>
                <c:pt idx="0">
                  <c:v>1</c:v>
                </c:pt>
                <c:pt idx="1">
                  <c:v>female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Sheet1!$C$1:$G$1</c:f>
              <c:strCache>
                <c:ptCount val="5"/>
                <c:pt idx="0">
                  <c:v>Paraumbilical hernia</c:v>
                </c:pt>
                <c:pt idx="1">
                  <c:v>incisional hernia</c:v>
                </c:pt>
                <c:pt idx="2">
                  <c:v>umbilical h</c:v>
                </c:pt>
                <c:pt idx="3">
                  <c:v>epigatric H</c:v>
                </c:pt>
                <c:pt idx="4">
                  <c:v>spigelian H</c:v>
                </c:pt>
              </c:strCache>
            </c:strRef>
          </c:cat>
          <c:val>
            <c:numRef>
              <c:f>Sheet1!$C$2:$G$2</c:f>
              <c:numCache>
                <c:formatCode>General</c:formatCode>
                <c:ptCount val="5"/>
                <c:pt idx="0">
                  <c:v>17</c:v>
                </c:pt>
                <c:pt idx="1">
                  <c:v>8</c:v>
                </c:pt>
                <c:pt idx="2">
                  <c:v>3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295-3B41-8D90-FF0A00AE3CB7}"/>
            </c:ext>
          </c:extLst>
        </c:ser>
        <c:ser>
          <c:idx val="1"/>
          <c:order val="1"/>
          <c:tx>
            <c:strRef>
              <c:f>Sheet1!$A$3:$B$3</c:f>
              <c:strCache>
                <c:ptCount val="2"/>
                <c:pt idx="0">
                  <c:v>2</c:v>
                </c:pt>
                <c:pt idx="1">
                  <c:v>male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Sheet1!$C$1:$G$1</c:f>
              <c:strCache>
                <c:ptCount val="5"/>
                <c:pt idx="0">
                  <c:v>Paraumbilical hernia</c:v>
                </c:pt>
                <c:pt idx="1">
                  <c:v>incisional hernia</c:v>
                </c:pt>
                <c:pt idx="2">
                  <c:v>umbilical h</c:v>
                </c:pt>
                <c:pt idx="3">
                  <c:v>epigatric H</c:v>
                </c:pt>
                <c:pt idx="4">
                  <c:v>spigelian H</c:v>
                </c:pt>
              </c:strCache>
            </c:strRef>
          </c:cat>
          <c:val>
            <c:numRef>
              <c:f>Sheet1!$C$3:$G$3</c:f>
              <c:numCache>
                <c:formatCode>General</c:formatCode>
                <c:ptCount val="5"/>
                <c:pt idx="0">
                  <c:v>13</c:v>
                </c:pt>
                <c:pt idx="1">
                  <c:v>4</c:v>
                </c:pt>
                <c:pt idx="2">
                  <c:v>1</c:v>
                </c:pt>
                <c:pt idx="3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295-3B41-8D90-FF0A00AE3CB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1750400"/>
        <c:axId val="51751936"/>
      </c:barChart>
      <c:catAx>
        <c:axId val="51750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1751936"/>
        <c:crosses val="autoZero"/>
        <c:auto val="1"/>
        <c:lblAlgn val="ctr"/>
        <c:lblOffset val="100"/>
        <c:noMultiLvlLbl val="0"/>
      </c:catAx>
      <c:valAx>
        <c:axId val="517519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17504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I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1.4043399999999999E-2"/>
          <c:y val="0.10580299999999999"/>
          <c:w val="0.98095699999999997"/>
          <c:h val="0.7371929999999999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PUH</c:v>
                </c:pt>
              </c:strCache>
            </c:strRef>
          </c:tx>
          <c:spPr>
            <a:solidFill>
              <a:srgbClr val="008800">
                <a:alpha val="85000"/>
              </a:srgbClr>
            </a:solidFill>
            <a:ln w="9525" cap="flat">
              <a:solidFill>
                <a:srgbClr val="005E00">
                  <a:alpha val="50000"/>
                </a:srgbClr>
              </a:solidFill>
              <a:prstDash val="solid"/>
              <a:round/>
            </a:ln>
            <a:effectLst/>
          </c:spPr>
          <c:invertIfNegative val="0"/>
          <c:dLbls>
            <c:numFmt formatCode="#,##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 b="1" i="0" u="none" strike="noStrike">
                    <a:solidFill>
                      <a:schemeClr val="tx1">
                        <a:lumMod val="95000"/>
                        <a:lumOff val="5000"/>
                      </a:schemeClr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Sheet1!$A$2:$A$5</c:f>
              <c:strCache>
                <c:ptCount val="4"/>
                <c:pt idx="0">
                  <c:v>Swelling</c:v>
                </c:pt>
                <c:pt idx="1">
                  <c:v>Pain</c:v>
                </c:pt>
                <c:pt idx="2">
                  <c:v>Irreducibility</c:v>
                </c:pt>
                <c:pt idx="3">
                  <c:v>Obs &amp; stran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2"/>
                <c:pt idx="0">
                  <c:v>1</c:v>
                </c:pt>
                <c:pt idx="1">
                  <c:v>0.33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F21-0B48-9A7F-E88489137DC7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EU</c:v>
                </c:pt>
              </c:strCache>
            </c:strRef>
          </c:tx>
          <c:spPr>
            <a:solidFill>
              <a:srgbClr val="0079BF">
                <a:alpha val="85000"/>
              </a:srgbClr>
            </a:solidFill>
            <a:ln w="9525" cap="flat">
              <a:solidFill>
                <a:srgbClr val="005E00">
                  <a:alpha val="50000"/>
                </a:srgbClr>
              </a:solidFill>
              <a:prstDash val="solid"/>
              <a:round/>
            </a:ln>
            <a:effectLst/>
          </c:spPr>
          <c:invertIfNegative val="0"/>
          <c:dLbls>
            <c:numFmt formatCode="#,##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 b="1" i="0" u="none" strike="noStrike">
                    <a:solidFill>
                      <a:schemeClr val="tx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Sheet1!$A$2:$A$5</c:f>
              <c:strCache>
                <c:ptCount val="4"/>
                <c:pt idx="0">
                  <c:v>Swelling</c:v>
                </c:pt>
                <c:pt idx="1">
                  <c:v>Pain</c:v>
                </c:pt>
                <c:pt idx="2">
                  <c:v>Irreducibility</c:v>
                </c:pt>
                <c:pt idx="3">
                  <c:v>Obs &amp; stran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2"/>
                <c:pt idx="0">
                  <c:v>1</c:v>
                </c:pt>
                <c:pt idx="1">
                  <c:v>0.33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F21-0B48-9A7F-E88489137DC7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IH</c:v>
                </c:pt>
              </c:strCache>
            </c:strRef>
          </c:tx>
          <c:spPr>
            <a:solidFill>
              <a:srgbClr val="66C7FF">
                <a:alpha val="85000"/>
              </a:srgbClr>
            </a:solidFill>
            <a:ln w="9525" cap="flat">
              <a:solidFill>
                <a:srgbClr val="99DAFF">
                  <a:alpha val="50000"/>
                </a:srgbClr>
              </a:solidFill>
              <a:prstDash val="solid"/>
              <a:round/>
            </a:ln>
            <a:effectLst/>
          </c:spPr>
          <c:invertIfNegative val="0"/>
          <c:dLbls>
            <c:numFmt formatCode="#,##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 b="1" i="0" u="none" strike="noStrike">
                    <a:solidFill>
                      <a:schemeClr val="tx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Sheet1!$A$2:$A$5</c:f>
              <c:strCache>
                <c:ptCount val="4"/>
                <c:pt idx="0">
                  <c:v>Swelling</c:v>
                </c:pt>
                <c:pt idx="1">
                  <c:v>Pain</c:v>
                </c:pt>
                <c:pt idx="2">
                  <c:v>Irreducibility</c:v>
                </c:pt>
                <c:pt idx="3">
                  <c:v>Obs &amp; stran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3"/>
                <c:pt idx="0">
                  <c:v>1</c:v>
                </c:pt>
                <c:pt idx="1">
                  <c:v>0.18</c:v>
                </c:pt>
                <c:pt idx="2">
                  <c:v>0.09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4F21-0B48-9A7F-E88489137DC7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UH</c:v>
                </c:pt>
              </c:strCache>
            </c:strRef>
          </c:tx>
          <c:spPr>
            <a:solidFill>
              <a:schemeClr val="accent4">
                <a:alpha val="85000"/>
              </a:schemeClr>
            </a:solidFill>
            <a:ln w="9525" cap="flat">
              <a:solidFill>
                <a:srgbClr val="005E00">
                  <a:alpha val="50000"/>
                </a:srgbClr>
              </a:solidFill>
              <a:prstDash val="solid"/>
              <a:round/>
            </a:ln>
            <a:effectLst/>
          </c:spPr>
          <c:invertIfNegative val="0"/>
          <c:dLbls>
            <c:numFmt formatCode="#,##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 b="1" i="0" u="none" strike="noStrike">
                    <a:solidFill>
                      <a:schemeClr val="tx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Sheet1!$A$2:$A$5</c:f>
              <c:strCache>
                <c:ptCount val="4"/>
                <c:pt idx="0">
                  <c:v>Swelling</c:v>
                </c:pt>
                <c:pt idx="1">
                  <c:v>Pain</c:v>
                </c:pt>
                <c:pt idx="2">
                  <c:v>Irreducibility</c:v>
                </c:pt>
                <c:pt idx="3">
                  <c:v>Obs &amp; stran</c:v>
                </c:pt>
              </c:strCache>
            </c:strRef>
          </c:cat>
          <c:val>
            <c:numRef>
              <c:f>Sheet1!$E$2:$E$5</c:f>
              <c:numCache>
                <c:formatCode>General</c:formatCode>
                <c:ptCount val="4"/>
                <c:pt idx="0">
                  <c:v>1</c:v>
                </c:pt>
                <c:pt idx="1">
                  <c:v>0.2</c:v>
                </c:pt>
                <c:pt idx="2">
                  <c:v>0.2</c:v>
                </c:pt>
                <c:pt idx="3">
                  <c:v>0.2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4F21-0B48-9A7F-E88489137DC7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SH</c:v>
                </c:pt>
              </c:strCache>
            </c:strRef>
          </c:tx>
          <c:spPr>
            <a:solidFill>
              <a:schemeClr val="accent5"/>
            </a:solidFill>
            <a:ln w="9525" cap="flat">
              <a:solidFill>
                <a:srgbClr val="005C00"/>
              </a:solidFill>
              <a:prstDash val="solid"/>
              <a:round/>
            </a:ln>
            <a:effectLst/>
          </c:spPr>
          <c:invertIfNegative val="0"/>
          <c:dLbls>
            <c:numFmt formatCode="#,##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 b="0" i="0" u="none" strike="noStrike">
                    <a:solidFill>
                      <a:schemeClr val="tx1"/>
                    </a:solidFill>
                    <a:latin typeface="Helvetica Neue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Sheet1!$A$2:$A$5</c:f>
              <c:strCache>
                <c:ptCount val="4"/>
                <c:pt idx="0">
                  <c:v>Swelling</c:v>
                </c:pt>
                <c:pt idx="1">
                  <c:v>Pain</c:v>
                </c:pt>
                <c:pt idx="2">
                  <c:v>Irreducibility</c:v>
                </c:pt>
                <c:pt idx="3">
                  <c:v>Obs &amp; stran</c:v>
                </c:pt>
              </c:strCache>
            </c:strRef>
          </c:cat>
          <c:val>
            <c:numRef>
              <c:f>Sheet1!$F$2:$F$5</c:f>
              <c:numCache>
                <c:formatCode>General</c:formatCode>
                <c:ptCount val="2"/>
                <c:pt idx="1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4F21-0B48-9A7F-E88489137DC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axId val="240142208"/>
        <c:axId val="240143744"/>
      </c:barChart>
      <c:catAx>
        <c:axId val="24014220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low"/>
        <c:spPr>
          <a:ln w="12700" cap="flat">
            <a:solidFill>
              <a:srgbClr val="9B9B9B"/>
            </a:solidFill>
            <a:prstDash val="solid"/>
            <a:round/>
          </a:ln>
        </c:spPr>
        <c:txPr>
          <a:bodyPr rot="0"/>
          <a:lstStyle/>
          <a:p>
            <a:pPr>
              <a:defRPr sz="1000" b="0" i="0" u="none" strike="noStrike">
                <a:solidFill>
                  <a:srgbClr val="151515"/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en-US"/>
          </a:p>
        </c:txPr>
        <c:crossAx val="240143744"/>
        <c:crosses val="autoZero"/>
        <c:auto val="1"/>
        <c:lblAlgn val="ctr"/>
        <c:lblOffset val="100"/>
        <c:noMultiLvlLbl val="1"/>
      </c:catAx>
      <c:valAx>
        <c:axId val="240143744"/>
        <c:scaling>
          <c:orientation val="minMax"/>
        </c:scaling>
        <c:delete val="0"/>
        <c:axPos val="l"/>
        <c:majorGridlines>
          <c:spPr>
            <a:ln w="12700" cap="flat">
              <a:solidFill>
                <a:srgbClr val="335633">
                  <a:alpha val="39000"/>
                </a:srgbClr>
              </a:solidFill>
              <a:prstDash val="solid"/>
              <a:round/>
            </a:ln>
          </c:spPr>
        </c:majorGridlines>
        <c:numFmt formatCode="0%" sourceLinked="0"/>
        <c:majorTickMark val="none"/>
        <c:minorTickMark val="none"/>
        <c:tickLblPos val="none"/>
        <c:spPr>
          <a:ln w="12700" cap="flat">
            <a:noFill/>
            <a:prstDash val="solid"/>
            <a:round/>
          </a:ln>
        </c:spPr>
        <c:txPr>
          <a:bodyPr rot="0"/>
          <a:lstStyle/>
          <a:p>
            <a:pPr>
              <a:defRPr sz="1000" b="0" i="0" u="none" strike="noStrike">
                <a:solidFill>
                  <a:srgbClr val="5E5E5E"/>
                </a:solidFill>
                <a:latin typeface="Helvetica Neue"/>
              </a:defRPr>
            </a:pPr>
            <a:endParaRPr lang="en-US"/>
          </a:p>
        </c:txPr>
        <c:crossAx val="240142208"/>
        <c:crosses val="autoZero"/>
        <c:crossBetween val="between"/>
        <c:majorUnit val="0.25"/>
        <c:minorUnit val="0.125"/>
      </c:valAx>
      <c:spPr>
        <a:noFill/>
        <a:ln w="12700" cap="flat">
          <a:noFill/>
          <a:miter lim="400000"/>
        </a:ln>
        <a:effectLst/>
      </c:spPr>
    </c:plotArea>
    <c:legend>
      <c:legendPos val="b"/>
      <c:layout>
        <c:manualLayout>
          <c:xMode val="edge"/>
          <c:yMode val="edge"/>
          <c:x val="0.247808"/>
          <c:y val="0.92554599999999998"/>
          <c:w val="0.6868303466276775"/>
          <c:h val="7.4454062316702513E-2"/>
        </c:manualLayout>
      </c:layout>
      <c:overlay val="1"/>
      <c:spPr>
        <a:solidFill>
          <a:srgbClr val="DFDFDF">
            <a:alpha val="39000"/>
          </a:srgbClr>
        </a:solidFill>
        <a:ln w="12700" cap="flat">
          <a:noFill/>
          <a:miter lim="400000"/>
        </a:ln>
        <a:effectLst/>
      </c:spPr>
      <c:txPr>
        <a:bodyPr rot="0"/>
        <a:lstStyle/>
        <a:p>
          <a:pPr>
            <a:defRPr sz="1050" b="0" i="0" u="none" strike="noStrike">
              <a:solidFill>
                <a:schemeClr val="tx1"/>
              </a:solidFill>
              <a:latin typeface="Helvetica Neue"/>
            </a:defRPr>
          </a:pPr>
          <a:endParaRPr lang="en-US"/>
        </a:p>
      </c:txPr>
    </c:legend>
    <c:plotVisOnly val="1"/>
    <c:dispBlanksAs val="gap"/>
    <c:showDLblsOverMax val="1"/>
  </c:chart>
  <c:spPr>
    <a:solidFill>
      <a:srgbClr val="D5D5D5"/>
    </a:solidFill>
    <a:ln w="12700" cap="flat">
      <a:solidFill>
        <a:srgbClr val="D7D7D7"/>
      </a:solidFill>
      <a:prstDash val="solid"/>
      <a:round/>
    </a:ln>
    <a:effectLst/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I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0110099999999999E-2"/>
          <c:y val="5.6013500000000001E-2"/>
          <c:w val="0.90488999999999997"/>
          <c:h val="0.850325"/>
        </c:manualLayout>
      </c:layou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Percentage</c:v>
                </c:pt>
              </c:strCache>
            </c:strRef>
          </c:tx>
          <c:spPr>
            <a:ln w="34925" cap="rnd">
              <a:solidFill>
                <a:schemeClr val="accent1"/>
              </a:solidFill>
              <a:prstDash val="solid"/>
              <a:round/>
            </a:ln>
            <a:effectLst/>
          </c:spPr>
          <c:marker>
            <c:symbol val="none"/>
          </c:marker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0" i="0" u="none" strike="noStrike">
                    <a:solidFill>
                      <a:srgbClr val="151515"/>
                    </a:solidFill>
                    <a:latin typeface="Helvetica Neue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Sheet1!$A$2:$A$5</c:f>
              <c:strCache>
                <c:ptCount val="4"/>
                <c:pt idx="0">
                  <c:v>Obesity</c:v>
                </c:pt>
                <c:pt idx="1">
                  <c:v>COPD</c:v>
                </c:pt>
                <c:pt idx="2">
                  <c:v>Constipation</c:v>
                </c:pt>
                <c:pt idx="3">
                  <c:v>Multiparity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0.22</c:v>
                </c:pt>
                <c:pt idx="1">
                  <c:v>0.08</c:v>
                </c:pt>
                <c:pt idx="2">
                  <c:v>0.06</c:v>
                </c:pt>
                <c:pt idx="3">
                  <c:v>0.06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D998-F74A-BE06-9205555D8F6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40177152"/>
        <c:axId val="240178688"/>
      </c:lineChart>
      <c:catAx>
        <c:axId val="24017715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low"/>
        <c:spPr>
          <a:ln w="12700" cap="flat">
            <a:solidFill>
              <a:srgbClr val="005900">
                <a:alpha val="10000"/>
              </a:srgbClr>
            </a:solidFill>
            <a:prstDash val="solid"/>
            <a:round/>
          </a:ln>
        </c:spPr>
        <c:txPr>
          <a:bodyPr rot="0"/>
          <a:lstStyle/>
          <a:p>
            <a:pPr>
              <a:defRPr sz="1000" b="0" i="0" u="none" strike="noStrike">
                <a:solidFill>
                  <a:srgbClr val="151515"/>
                </a:solidFill>
                <a:latin typeface="Helvetica Neue"/>
              </a:defRPr>
            </a:pPr>
            <a:endParaRPr lang="en-US"/>
          </a:p>
        </c:txPr>
        <c:crossAx val="240178688"/>
        <c:crosses val="autoZero"/>
        <c:auto val="1"/>
        <c:lblAlgn val="ctr"/>
        <c:lblOffset val="100"/>
        <c:noMultiLvlLbl val="1"/>
      </c:catAx>
      <c:valAx>
        <c:axId val="240178688"/>
        <c:scaling>
          <c:orientation val="minMax"/>
        </c:scaling>
        <c:delete val="0"/>
        <c:axPos val="l"/>
        <c:majorGridlines>
          <c:spPr>
            <a:ln w="12700" cap="flat">
              <a:solidFill>
                <a:srgbClr val="9E9E9E">
                  <a:alpha val="10000"/>
                </a:srgbClr>
              </a:solidFill>
              <a:prstDash val="solid"/>
              <a:round/>
            </a:ln>
          </c:spPr>
        </c:majorGridlines>
        <c:numFmt formatCode="0%" sourceLinked="0"/>
        <c:majorTickMark val="none"/>
        <c:minorTickMark val="none"/>
        <c:tickLblPos val="nextTo"/>
        <c:spPr>
          <a:ln w="12700" cap="flat">
            <a:noFill/>
            <a:prstDash val="solid"/>
            <a:round/>
          </a:ln>
        </c:spPr>
        <c:txPr>
          <a:bodyPr rot="0"/>
          <a:lstStyle/>
          <a:p>
            <a:pPr>
              <a:defRPr sz="1000" b="0" i="0" u="none" strike="noStrike">
                <a:solidFill>
                  <a:srgbClr val="151515"/>
                </a:solidFill>
                <a:latin typeface="Helvetica Neue"/>
              </a:defRPr>
            </a:pPr>
            <a:endParaRPr lang="en-US"/>
          </a:p>
        </c:txPr>
        <c:crossAx val="240177152"/>
        <c:crosses val="autoZero"/>
        <c:crossBetween val="between"/>
        <c:majorUnit val="5.5E-2"/>
        <c:minorUnit val="2.75E-2"/>
      </c:valAx>
      <c:spPr>
        <a:solidFill>
          <a:srgbClr val="DFDFDF"/>
        </a:solidFill>
        <a:ln w="12700" cap="flat">
          <a:solidFill>
            <a:srgbClr val="005900">
              <a:alpha val="10000"/>
            </a:srgbClr>
          </a:solidFill>
          <a:prstDash val="solid"/>
          <a:round/>
        </a:ln>
        <a:effectLst/>
      </c:spPr>
    </c:plotArea>
    <c:plotVisOnly val="1"/>
    <c:dispBlanksAs val="gap"/>
    <c:showDLblsOverMax val="1"/>
  </c:chart>
  <c:spPr>
    <a:solidFill>
      <a:srgbClr val="D5D5D5"/>
    </a:solidFill>
    <a:ln>
      <a:noFill/>
    </a:ln>
    <a:effectLst/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I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4214799999999999E-2"/>
          <c:y val="9.7592999999999999E-2"/>
          <c:w val="0.90635500000000002"/>
          <c:h val="0.822855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Anatomical Repair</c:v>
                </c:pt>
              </c:strCache>
            </c:strRef>
          </c:tx>
          <c:spPr>
            <a:solidFill>
              <a:srgbClr val="005180"/>
            </a:solidFill>
            <a:ln w="12700" cap="flat">
              <a:solidFill>
                <a:srgbClr val="000000"/>
              </a:solidFill>
              <a:prstDash val="solid"/>
              <a:miter lim="400000"/>
            </a:ln>
            <a:effectLst/>
          </c:spPr>
          <c:invertIfNegative val="0"/>
          <c:dLbls>
            <c:numFmt formatCode="0_);\(0\)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 b="0" i="0" u="none" strike="noStrike">
                    <a:solidFill>
                      <a:schemeClr val="tx1"/>
                    </a:solidFill>
                    <a:latin typeface="Helvetica Neue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Sheet1!$B$1:$F$1</c:f>
              <c:strCache>
                <c:ptCount val="5"/>
                <c:pt idx="0">
                  <c:v>PUH</c:v>
                </c:pt>
                <c:pt idx="1">
                  <c:v>IH</c:v>
                </c:pt>
                <c:pt idx="2">
                  <c:v>UH</c:v>
                </c:pt>
                <c:pt idx="3">
                  <c:v>EH</c:v>
                </c:pt>
                <c:pt idx="4">
                  <c:v>SH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4"/>
                <c:pt idx="0">
                  <c:v>10</c:v>
                </c:pt>
                <c:pt idx="1">
                  <c:v>3</c:v>
                </c:pt>
                <c:pt idx="2">
                  <c:v>1</c:v>
                </c:pt>
                <c:pt idx="3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FD1-3C49-A3A2-909037787B96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Mesh Repair</c:v>
                </c:pt>
              </c:strCache>
            </c:strRef>
          </c:tx>
          <c:spPr>
            <a:solidFill>
              <a:srgbClr val="00C600"/>
            </a:solidFill>
            <a:ln w="12700" cap="flat">
              <a:solidFill>
                <a:srgbClr val="000000"/>
              </a:solidFill>
              <a:prstDash val="solid"/>
              <a:miter lim="400000"/>
            </a:ln>
            <a:effectLst/>
          </c:spPr>
          <c:invertIfNegative val="0"/>
          <c:dLbls>
            <c:numFmt formatCode="0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 b="0" i="0" u="none" strike="noStrike">
                    <a:solidFill>
                      <a:schemeClr val="bg2">
                        <a:lumMod val="10000"/>
                      </a:schemeClr>
                    </a:solidFill>
                    <a:latin typeface="Helvetica Neue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Sheet1!$B$1:$F$1</c:f>
              <c:strCache>
                <c:ptCount val="5"/>
                <c:pt idx="0">
                  <c:v>PUH</c:v>
                </c:pt>
                <c:pt idx="1">
                  <c:v>IH</c:v>
                </c:pt>
                <c:pt idx="2">
                  <c:v>UH</c:v>
                </c:pt>
                <c:pt idx="3">
                  <c:v>EH</c:v>
                </c:pt>
                <c:pt idx="4">
                  <c:v>SH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3"/>
                <c:pt idx="0">
                  <c:v>20</c:v>
                </c:pt>
                <c:pt idx="1">
                  <c:v>8</c:v>
                </c:pt>
                <c:pt idx="2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FD1-3C49-A3A2-909037787B96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Laparoscopic mesh Repair</c:v>
                </c:pt>
              </c:strCache>
            </c:strRef>
          </c:tx>
          <c:spPr>
            <a:solidFill>
              <a:srgbClr val="997C00"/>
            </a:solidFill>
            <a:ln w="12700" cap="flat">
              <a:noFill/>
              <a:miter lim="400000"/>
            </a:ln>
            <a:effectLst/>
          </c:spPr>
          <c:invertIfNegative val="0"/>
          <c:dLbls>
            <c:numFmt formatCode="0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 b="0" i="0" u="none" strike="noStrike">
                    <a:solidFill>
                      <a:schemeClr val="tx1">
                        <a:lumMod val="95000"/>
                        <a:lumOff val="5000"/>
                      </a:schemeClr>
                    </a:solidFill>
                    <a:latin typeface="Helvetica Neue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Sheet1!$B$1:$F$1</c:f>
              <c:strCache>
                <c:ptCount val="5"/>
                <c:pt idx="0">
                  <c:v>PUH</c:v>
                </c:pt>
                <c:pt idx="1">
                  <c:v>IH</c:v>
                </c:pt>
                <c:pt idx="2">
                  <c:v>UH</c:v>
                </c:pt>
                <c:pt idx="3">
                  <c:v>EH</c:v>
                </c:pt>
                <c:pt idx="4">
                  <c:v>SH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  <c:pt idx="3">
                  <c:v>1</c:v>
                </c:pt>
                <c:pt idx="4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DFD1-3C49-A3A2-909037787B9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20"/>
        <c:overlap val="100"/>
        <c:axId val="240239360"/>
        <c:axId val="240240896"/>
      </c:barChart>
      <c:catAx>
        <c:axId val="24023936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low"/>
        <c:spPr>
          <a:ln w="25400" cap="flat">
            <a:solidFill>
              <a:srgbClr val="121212"/>
            </a:solidFill>
            <a:prstDash val="solid"/>
            <a:round/>
          </a:ln>
        </c:spPr>
        <c:txPr>
          <a:bodyPr rot="0"/>
          <a:lstStyle/>
          <a:p>
            <a:pPr>
              <a:defRPr sz="1200" b="1" i="0" u="none" strike="noStrike">
                <a:solidFill>
                  <a:srgbClr val="2F2F2F"/>
                </a:solidFill>
                <a:latin typeface="Helvetica Neue"/>
              </a:defRPr>
            </a:pPr>
            <a:endParaRPr lang="en-US"/>
          </a:p>
        </c:txPr>
        <c:crossAx val="240240896"/>
        <c:crosses val="autoZero"/>
        <c:auto val="1"/>
        <c:lblAlgn val="ctr"/>
        <c:lblOffset val="100"/>
        <c:noMultiLvlLbl val="1"/>
      </c:catAx>
      <c:valAx>
        <c:axId val="240240896"/>
        <c:scaling>
          <c:orientation val="minMax"/>
        </c:scaling>
        <c:delete val="0"/>
        <c:axPos val="l"/>
        <c:majorGridlines>
          <c:spPr>
            <a:ln w="12700" cap="flat">
              <a:solidFill>
                <a:srgbClr val="E7E7E7"/>
              </a:solidFill>
              <a:prstDash val="solid"/>
              <a:round/>
            </a:ln>
          </c:spPr>
        </c:majorGridlines>
        <c:numFmt formatCode="0" sourceLinked="0"/>
        <c:majorTickMark val="none"/>
        <c:minorTickMark val="none"/>
        <c:tickLblPos val="nextTo"/>
        <c:spPr>
          <a:ln w="25400" cap="flat">
            <a:solidFill>
              <a:srgbClr val="121212"/>
            </a:solidFill>
            <a:prstDash val="solid"/>
            <a:round/>
          </a:ln>
        </c:spPr>
        <c:txPr>
          <a:bodyPr rot="0"/>
          <a:lstStyle/>
          <a:p>
            <a:pPr>
              <a:defRPr sz="1200" b="1" i="0" u="none" strike="noStrike">
                <a:solidFill>
                  <a:srgbClr val="151515"/>
                </a:solidFill>
                <a:latin typeface="Helvetica Neue"/>
              </a:defRPr>
            </a:pPr>
            <a:endParaRPr lang="en-US"/>
          </a:p>
        </c:txPr>
        <c:crossAx val="240239360"/>
        <c:crosses val="autoZero"/>
        <c:crossBetween val="between"/>
        <c:majorUnit val="7.5"/>
        <c:minorUnit val="3.75"/>
      </c:valAx>
      <c:spPr>
        <a:noFill/>
        <a:ln w="25400" cap="flat">
          <a:solidFill>
            <a:srgbClr val="121212"/>
          </a:solidFill>
          <a:prstDash val="solid"/>
          <a:round/>
        </a:ln>
        <a:effectLst/>
      </c:spPr>
    </c:plotArea>
    <c:legend>
      <c:legendPos val="r"/>
      <c:layout>
        <c:manualLayout>
          <c:xMode val="edge"/>
          <c:yMode val="edge"/>
          <c:x val="0.43201200000000001"/>
          <c:y val="0.34743200000000002"/>
          <c:w val="0.56798800000000005"/>
          <c:h val="0.16721900000000001"/>
        </c:manualLayout>
      </c:layout>
      <c:overlay val="1"/>
      <c:spPr>
        <a:noFill/>
        <a:ln w="12700" cap="flat">
          <a:noFill/>
          <a:miter lim="400000"/>
        </a:ln>
        <a:effectLst/>
      </c:spPr>
      <c:txPr>
        <a:bodyPr rot="0"/>
        <a:lstStyle/>
        <a:p>
          <a:pPr>
            <a:defRPr sz="1200" b="1" i="0" u="none" strike="noStrike">
              <a:solidFill>
                <a:srgbClr val="2F2F2F"/>
              </a:solidFill>
              <a:latin typeface="Calibri"/>
            </a:defRPr>
          </a:pPr>
          <a:endParaRPr lang="en-US"/>
        </a:p>
      </c:txPr>
    </c:legend>
    <c:plotVisOnly val="1"/>
    <c:dispBlanksAs val="gap"/>
    <c:showDLblsOverMax val="1"/>
  </c:chart>
  <c:spPr>
    <a:noFill/>
    <a:ln>
      <a:noFill/>
    </a:ln>
    <a:effectLst/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1679</Words>
  <Characters>9572</Characters>
  <Application>Microsoft Office Word</Application>
  <DocSecurity>0</DocSecurity>
  <Lines>79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Sabiston Textbook of Surgery: The Biological Basis of Modern Surgical Practice(2</vt:lpstr>
    </vt:vector>
  </TitlesOfParts>
  <Company>HP</Company>
  <LinksUpToDate>false</LinksUpToDate>
  <CharactersWithSpaces>11229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samikshatalaulikar05@gmail.com</dc:creator>
  <cp:lastModifiedBy>RDRL</cp:lastModifiedBy>
  <cp:revision>3</cp:revision>
  <cp:lastPrinted>2023-02-20T04:17:00Z</cp:lastPrinted>
  <dcterms:created xsi:type="dcterms:W3CDTF">2023-02-20T04:07:00Z</dcterms:created>
  <dcterms:modified xsi:type="dcterms:W3CDTF">2023-02-20T04:18:00Z</dcterms:modified>
</cp:coreProperties>
</file>