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1F02D" w14:textId="34C08B44" w:rsidR="003658DF" w:rsidRPr="008520E2" w:rsidRDefault="008520E2" w:rsidP="008520E2">
      <w:pPr>
        <w:spacing w:line="360" w:lineRule="auto"/>
        <w:rPr>
          <w:rFonts w:ascii="Cambria" w:hAnsi="Cambria"/>
          <w:b/>
          <w:bCs/>
          <w:sz w:val="20"/>
          <w:szCs w:val="20"/>
        </w:rPr>
      </w:pPr>
      <w:bookmarkStart w:id="0" w:name="_Hlk133926002"/>
      <w:r w:rsidRPr="008520E2">
        <w:rPr>
          <w:rFonts w:ascii="Cambria" w:hAnsi="Cambria"/>
          <w:b/>
          <w:bCs/>
          <w:sz w:val="24"/>
          <w:szCs w:val="24"/>
          <w:highlight w:val="lightGray"/>
        </w:rPr>
        <w:t>Original article</w:t>
      </w:r>
      <w:r w:rsidRPr="008520E2">
        <w:rPr>
          <w:rFonts w:ascii="Cambria" w:hAnsi="Cambria"/>
          <w:b/>
          <w:bCs/>
          <w:sz w:val="20"/>
          <w:szCs w:val="20"/>
        </w:rPr>
        <w:t xml:space="preserve"> </w:t>
      </w:r>
      <w:r w:rsidRPr="008520E2">
        <w:rPr>
          <w:rFonts w:ascii="Cambria" w:hAnsi="Cambria"/>
          <w:b/>
          <w:bCs/>
          <w:sz w:val="20"/>
          <w:szCs w:val="20"/>
        </w:rPr>
        <w:br/>
      </w:r>
      <w:r>
        <w:rPr>
          <w:rFonts w:ascii="Cambria" w:hAnsi="Cambria"/>
          <w:b/>
          <w:bCs/>
          <w:color w:val="002060"/>
          <w:sz w:val="28"/>
          <w:szCs w:val="28"/>
        </w:rPr>
        <w:t>S</w:t>
      </w:r>
      <w:r w:rsidRPr="008520E2">
        <w:rPr>
          <w:rFonts w:ascii="Cambria" w:hAnsi="Cambria"/>
          <w:b/>
          <w:bCs/>
          <w:color w:val="002060"/>
          <w:sz w:val="28"/>
          <w:szCs w:val="28"/>
        </w:rPr>
        <w:t xml:space="preserve">tudy on cytopathological features of uterine cervix with analysis of ASC/SIL </w:t>
      </w:r>
      <w:r w:rsidR="00506185" w:rsidRPr="008520E2">
        <w:rPr>
          <w:rFonts w:ascii="Cambria" w:hAnsi="Cambria"/>
          <w:b/>
          <w:bCs/>
          <w:color w:val="002060"/>
          <w:sz w:val="28"/>
          <w:szCs w:val="28"/>
        </w:rPr>
        <w:t>R</w:t>
      </w:r>
      <w:r w:rsidRPr="008520E2">
        <w:rPr>
          <w:rFonts w:ascii="Cambria" w:hAnsi="Cambria"/>
          <w:b/>
          <w:bCs/>
          <w:color w:val="002060"/>
          <w:sz w:val="28"/>
          <w:szCs w:val="28"/>
        </w:rPr>
        <w:t>atio as a quality control measure in a tertiary care center</w:t>
      </w:r>
      <w:r w:rsidRPr="008520E2">
        <w:rPr>
          <w:rFonts w:ascii="Cambria" w:hAnsi="Cambria"/>
          <w:b/>
          <w:bCs/>
          <w:color w:val="002060"/>
          <w:sz w:val="20"/>
          <w:szCs w:val="20"/>
        </w:rPr>
        <w:t xml:space="preserve"> </w:t>
      </w:r>
    </w:p>
    <w:bookmarkEnd w:id="0"/>
    <w:p w14:paraId="3D307D42" w14:textId="39D50B42" w:rsidR="008520E2" w:rsidRPr="008520E2" w:rsidRDefault="008520E2" w:rsidP="008520E2">
      <w:pPr>
        <w:spacing w:line="360" w:lineRule="auto"/>
        <w:jc w:val="both"/>
        <w:rPr>
          <w:rFonts w:ascii="Cambria" w:hAnsi="Cambria"/>
          <w:b/>
          <w:bCs/>
          <w:sz w:val="20"/>
          <w:szCs w:val="20"/>
        </w:rPr>
      </w:pPr>
      <w:r w:rsidRPr="008520E2">
        <w:rPr>
          <w:rFonts w:ascii="Cambria" w:hAnsi="Cambria"/>
          <w:b/>
          <w:bCs/>
          <w:sz w:val="20"/>
          <w:szCs w:val="20"/>
          <w:vertAlign w:val="superscript"/>
        </w:rPr>
        <w:t>1</w:t>
      </w:r>
      <w:r w:rsidR="003A6DF3" w:rsidRPr="008520E2">
        <w:rPr>
          <w:rFonts w:ascii="Cambria" w:hAnsi="Cambria"/>
          <w:b/>
          <w:bCs/>
          <w:sz w:val="20"/>
          <w:szCs w:val="20"/>
        </w:rPr>
        <w:t>Dr Jeeva T. Mathew</w:t>
      </w:r>
      <w:r w:rsidRPr="008520E2">
        <w:rPr>
          <w:rFonts w:ascii="Cambria" w:hAnsi="Cambria"/>
          <w:b/>
          <w:bCs/>
          <w:sz w:val="20"/>
          <w:szCs w:val="20"/>
        </w:rPr>
        <w:t>*</w:t>
      </w:r>
      <w:r w:rsidR="003A6DF3" w:rsidRPr="008520E2">
        <w:rPr>
          <w:rFonts w:ascii="Cambria" w:hAnsi="Cambria"/>
          <w:b/>
          <w:bCs/>
          <w:sz w:val="20"/>
          <w:szCs w:val="20"/>
        </w:rPr>
        <w:t xml:space="preserve"> </w:t>
      </w:r>
      <w:r w:rsidRPr="008520E2">
        <w:rPr>
          <w:rFonts w:ascii="Cambria" w:hAnsi="Cambria"/>
          <w:b/>
          <w:bCs/>
          <w:sz w:val="20"/>
          <w:szCs w:val="20"/>
        </w:rPr>
        <w:t xml:space="preserve">, </w:t>
      </w:r>
      <w:r w:rsidRPr="008520E2">
        <w:rPr>
          <w:rFonts w:ascii="Cambria" w:hAnsi="Cambria"/>
          <w:b/>
          <w:bCs/>
          <w:sz w:val="20"/>
          <w:szCs w:val="20"/>
          <w:vertAlign w:val="superscript"/>
        </w:rPr>
        <w:t>2</w:t>
      </w:r>
      <w:r w:rsidRPr="008520E2">
        <w:rPr>
          <w:rFonts w:ascii="Cambria" w:hAnsi="Cambria"/>
          <w:b/>
          <w:bCs/>
          <w:sz w:val="20"/>
          <w:szCs w:val="20"/>
        </w:rPr>
        <w:t xml:space="preserve">Dr. Manasa G C </w:t>
      </w:r>
    </w:p>
    <w:p w14:paraId="744FC600" w14:textId="77777777" w:rsidR="008520E2" w:rsidRPr="008520E2" w:rsidRDefault="008520E2" w:rsidP="008520E2">
      <w:pPr>
        <w:spacing w:line="360" w:lineRule="auto"/>
        <w:jc w:val="both"/>
        <w:rPr>
          <w:rFonts w:ascii="Cambria" w:hAnsi="Cambria"/>
          <w:bCs/>
          <w:sz w:val="20"/>
          <w:szCs w:val="20"/>
        </w:rPr>
      </w:pPr>
    </w:p>
    <w:p w14:paraId="6F66678F" w14:textId="078E5407" w:rsidR="003A6DF3" w:rsidRPr="008520E2" w:rsidRDefault="008520E2" w:rsidP="008520E2">
      <w:pPr>
        <w:spacing w:line="360" w:lineRule="auto"/>
        <w:jc w:val="both"/>
        <w:rPr>
          <w:rFonts w:ascii="Cambria" w:hAnsi="Cambria"/>
          <w:bCs/>
          <w:sz w:val="18"/>
          <w:szCs w:val="18"/>
        </w:rPr>
      </w:pPr>
      <w:r w:rsidRPr="008520E2">
        <w:rPr>
          <w:rFonts w:ascii="Cambria" w:hAnsi="Cambria"/>
          <w:bCs/>
          <w:sz w:val="18"/>
          <w:szCs w:val="18"/>
          <w:vertAlign w:val="superscript"/>
        </w:rPr>
        <w:t>1</w:t>
      </w:r>
      <w:r w:rsidR="003A6DF3" w:rsidRPr="008520E2">
        <w:rPr>
          <w:rFonts w:ascii="Cambria" w:hAnsi="Cambria"/>
          <w:bCs/>
          <w:sz w:val="18"/>
          <w:szCs w:val="18"/>
        </w:rPr>
        <w:t xml:space="preserve">3rd </w:t>
      </w:r>
      <w:r w:rsidRPr="008520E2">
        <w:rPr>
          <w:rFonts w:ascii="Cambria" w:hAnsi="Cambria"/>
          <w:bCs/>
          <w:sz w:val="18"/>
          <w:szCs w:val="18"/>
        </w:rPr>
        <w:t xml:space="preserve">YR </w:t>
      </w:r>
      <w:r w:rsidR="003A6DF3" w:rsidRPr="008520E2">
        <w:rPr>
          <w:rFonts w:ascii="Cambria" w:hAnsi="Cambria"/>
          <w:bCs/>
          <w:sz w:val="18"/>
          <w:szCs w:val="18"/>
        </w:rPr>
        <w:t>post graduate</w:t>
      </w:r>
      <w:r w:rsidRPr="008520E2">
        <w:rPr>
          <w:rFonts w:ascii="Cambria" w:hAnsi="Cambria"/>
          <w:bCs/>
          <w:sz w:val="18"/>
          <w:szCs w:val="18"/>
        </w:rPr>
        <w:t xml:space="preserve">, </w:t>
      </w:r>
      <w:r w:rsidR="003A6DF3" w:rsidRPr="008520E2">
        <w:rPr>
          <w:rFonts w:ascii="Cambria" w:hAnsi="Cambria"/>
          <w:bCs/>
          <w:sz w:val="18"/>
          <w:szCs w:val="18"/>
        </w:rPr>
        <w:t>Department of Pathology</w:t>
      </w:r>
      <w:r w:rsidRPr="008520E2">
        <w:rPr>
          <w:rFonts w:ascii="Cambria" w:hAnsi="Cambria"/>
          <w:bCs/>
          <w:sz w:val="18"/>
          <w:szCs w:val="18"/>
        </w:rPr>
        <w:t xml:space="preserve"> , JJM Medical C</w:t>
      </w:r>
      <w:r w:rsidR="003A6DF3" w:rsidRPr="008520E2">
        <w:rPr>
          <w:rFonts w:ascii="Cambria" w:hAnsi="Cambria"/>
          <w:bCs/>
          <w:sz w:val="18"/>
          <w:szCs w:val="18"/>
        </w:rPr>
        <w:t>ollege</w:t>
      </w:r>
      <w:r w:rsidRPr="008520E2">
        <w:rPr>
          <w:rFonts w:ascii="Cambria" w:hAnsi="Cambria"/>
          <w:bCs/>
          <w:sz w:val="18"/>
          <w:szCs w:val="18"/>
        </w:rPr>
        <w:t xml:space="preserve">, </w:t>
      </w:r>
      <w:r w:rsidR="003A6DF3" w:rsidRPr="008520E2">
        <w:rPr>
          <w:rFonts w:ascii="Cambria" w:hAnsi="Cambria"/>
          <w:bCs/>
          <w:sz w:val="18"/>
          <w:szCs w:val="18"/>
        </w:rPr>
        <w:t>Davangere</w:t>
      </w:r>
    </w:p>
    <w:p w14:paraId="1721C459" w14:textId="2AA3549D" w:rsidR="008520E2" w:rsidRPr="008520E2" w:rsidRDefault="008520E2" w:rsidP="008520E2">
      <w:pPr>
        <w:spacing w:line="360" w:lineRule="auto"/>
        <w:jc w:val="both"/>
        <w:rPr>
          <w:rFonts w:ascii="Cambria" w:hAnsi="Cambria"/>
          <w:bCs/>
          <w:sz w:val="18"/>
          <w:szCs w:val="18"/>
        </w:rPr>
      </w:pPr>
      <w:r w:rsidRPr="008520E2">
        <w:rPr>
          <w:rFonts w:ascii="Cambria" w:hAnsi="Cambria"/>
          <w:bCs/>
          <w:sz w:val="18"/>
          <w:szCs w:val="18"/>
          <w:vertAlign w:val="superscript"/>
        </w:rPr>
        <w:t xml:space="preserve">2 </w:t>
      </w:r>
      <w:r w:rsidRPr="008520E2">
        <w:rPr>
          <w:rFonts w:ascii="Cambria" w:hAnsi="Cambria"/>
          <w:bCs/>
          <w:sz w:val="18"/>
          <w:szCs w:val="18"/>
        </w:rPr>
        <w:t>Professor, Department of Pathology, JJM Medical College, Davangere</w:t>
      </w:r>
    </w:p>
    <w:p w14:paraId="47A3349D" w14:textId="77777777" w:rsidR="00D809AC" w:rsidRPr="00D809AC" w:rsidRDefault="00D809AC" w:rsidP="00D809AC">
      <w:pPr>
        <w:widowControl/>
        <w:autoSpaceDE/>
        <w:autoSpaceDN/>
        <w:spacing w:line="360" w:lineRule="auto"/>
        <w:jc w:val="both"/>
        <w:rPr>
          <w:rFonts w:ascii="Cambria" w:eastAsia="Calibri" w:hAnsi="Cambria"/>
          <w:sz w:val="18"/>
          <w:szCs w:val="18"/>
          <w:lang w:val="en-IN"/>
        </w:rPr>
      </w:pPr>
      <w:r w:rsidRPr="00D809AC">
        <w:rPr>
          <w:rFonts w:ascii="Cambria" w:eastAsia="Calibri" w:hAnsi="Cambria"/>
          <w:sz w:val="18"/>
          <w:szCs w:val="18"/>
          <w:lang w:val="en-IN"/>
        </w:rPr>
        <w:t>Corresponding author *</w:t>
      </w:r>
    </w:p>
    <w:p w14:paraId="5B263D3B" w14:textId="77777777" w:rsidR="00D809AC" w:rsidRPr="00D809AC" w:rsidRDefault="00D809AC" w:rsidP="00D809AC">
      <w:pPr>
        <w:widowControl/>
        <w:autoSpaceDE/>
        <w:autoSpaceDN/>
        <w:spacing w:line="360" w:lineRule="auto"/>
        <w:jc w:val="both"/>
        <w:rPr>
          <w:rFonts w:ascii="Cambria" w:eastAsia="Calibri" w:hAnsi="Cambria"/>
          <w:b/>
          <w:spacing w:val="-4"/>
          <w:sz w:val="18"/>
          <w:szCs w:val="18"/>
          <w:lang w:val="en-IN"/>
        </w:rPr>
      </w:pPr>
    </w:p>
    <w:p w14:paraId="6507E43C" w14:textId="77777777" w:rsidR="00D809AC" w:rsidRPr="00D809AC" w:rsidRDefault="00D809AC" w:rsidP="00D809AC">
      <w:pPr>
        <w:widowControl/>
        <w:autoSpaceDE/>
        <w:autoSpaceDN/>
        <w:spacing w:line="360" w:lineRule="auto"/>
        <w:jc w:val="both"/>
        <w:rPr>
          <w:rFonts w:ascii="Cambria" w:eastAsia="Calibri" w:hAnsi="Cambria"/>
          <w:bCs/>
          <w:spacing w:val="-4"/>
          <w:sz w:val="18"/>
          <w:szCs w:val="18"/>
          <w:lang w:val="en-IN"/>
        </w:rPr>
      </w:pPr>
      <w:r w:rsidRPr="00D809AC">
        <w:rPr>
          <w:rFonts w:ascii="Cambria" w:eastAsia="Calibri" w:hAnsi="Cambria"/>
          <w:b/>
          <w:bCs/>
          <w:noProof/>
          <w:spacing w:val="-4"/>
          <w:sz w:val="18"/>
          <w:szCs w:val="18"/>
          <w:lang w:val="en-IN" w:eastAsia="en-IN"/>
        </w:rPr>
        <w:drawing>
          <wp:inline distT="0" distB="0" distL="0" distR="0" wp14:anchorId="7FF517EB" wp14:editId="78A384DC">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D809AC">
        <w:rPr>
          <w:rFonts w:ascii="Cambria" w:eastAsia="Calibri" w:hAnsi="Cambria"/>
          <w:b/>
          <w:bCs/>
          <w:noProof/>
          <w:spacing w:val="-4"/>
          <w:sz w:val="18"/>
          <w:szCs w:val="18"/>
          <w:lang w:val="en-IN" w:eastAsia="en-IN"/>
        </w:rPr>
        <w:drawing>
          <wp:anchor distT="0" distB="0" distL="114300" distR="114300" simplePos="0" relativeHeight="251659264" behindDoc="0" locked="0" layoutInCell="1" allowOverlap="1" wp14:anchorId="342CDABE" wp14:editId="37D07760">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D809AC">
        <w:rPr>
          <w:rFonts w:ascii="Cambria" w:eastAsia="Calibri" w:hAnsi="Cambria"/>
          <w:b/>
          <w:bCs/>
          <w:spacing w:val="-4"/>
          <w:sz w:val="18"/>
          <w:szCs w:val="18"/>
          <w:lang w:val="en-IN"/>
        </w:rPr>
        <w:br/>
      </w:r>
      <w:r w:rsidRPr="00D809AC">
        <w:rPr>
          <w:rFonts w:ascii="Cambria" w:eastAsia="Calibri" w:hAnsi="Cambria"/>
          <w:bCs/>
          <w:spacing w:val="-4"/>
          <w:sz w:val="18"/>
          <w:szCs w:val="18"/>
          <w:lang w:val="en-IN"/>
        </w:rPr>
        <w:t>This work is licensed under a Creative Commons Attribution-NonCommercial 4.0 International License</w:t>
      </w:r>
    </w:p>
    <w:p w14:paraId="7ACBCFE6" w14:textId="2E484D73" w:rsidR="00D809AC" w:rsidRPr="00D809AC" w:rsidRDefault="00D809AC" w:rsidP="00D809AC">
      <w:pPr>
        <w:widowControl/>
        <w:autoSpaceDE/>
        <w:autoSpaceDN/>
        <w:spacing w:line="360" w:lineRule="auto"/>
        <w:jc w:val="both"/>
        <w:rPr>
          <w:rFonts w:ascii="Cambria" w:eastAsia="Calibri" w:hAnsi="Cambria"/>
          <w:bCs/>
          <w:spacing w:val="-4"/>
          <w:sz w:val="18"/>
          <w:szCs w:val="18"/>
          <w:lang w:val="en-IN"/>
        </w:rPr>
      </w:pPr>
      <w:r>
        <w:rPr>
          <w:rFonts w:ascii="Cambria" w:eastAsia="Calibri" w:hAnsi="Cambria"/>
          <w:bCs/>
          <w:spacing w:val="-4"/>
          <w:sz w:val="18"/>
          <w:szCs w:val="18"/>
          <w:lang w:val="en-IN"/>
        </w:rPr>
        <w:t>Date of submission:  28</w:t>
      </w:r>
      <w:r w:rsidRPr="00D809AC">
        <w:rPr>
          <w:rFonts w:ascii="Cambria" w:eastAsia="Calibri" w:hAnsi="Cambria"/>
          <w:bCs/>
          <w:spacing w:val="-4"/>
          <w:sz w:val="18"/>
          <w:szCs w:val="18"/>
          <w:lang w:val="en-IN"/>
        </w:rPr>
        <w:t xml:space="preserve">  January 2023   </w:t>
      </w:r>
    </w:p>
    <w:p w14:paraId="77F39F4A" w14:textId="77777777" w:rsidR="00D809AC" w:rsidRPr="00D809AC" w:rsidRDefault="00D809AC" w:rsidP="00D809AC">
      <w:pPr>
        <w:widowControl/>
        <w:autoSpaceDE/>
        <w:autoSpaceDN/>
        <w:spacing w:line="360" w:lineRule="auto"/>
        <w:jc w:val="both"/>
        <w:rPr>
          <w:rFonts w:ascii="Cambria" w:eastAsia="Calibri" w:hAnsi="Cambria"/>
          <w:bCs/>
          <w:spacing w:val="-4"/>
          <w:sz w:val="18"/>
          <w:szCs w:val="18"/>
          <w:lang w:val="en-IN"/>
        </w:rPr>
      </w:pPr>
      <w:r w:rsidRPr="00D809AC">
        <w:rPr>
          <w:rFonts w:ascii="Cambria" w:eastAsia="Calibri" w:hAnsi="Cambria"/>
          <w:bCs/>
          <w:spacing w:val="-4"/>
          <w:sz w:val="18"/>
          <w:szCs w:val="18"/>
          <w:lang w:val="en-IN"/>
        </w:rPr>
        <w:t xml:space="preserve">Date of Final acceptance: 18 March 2023  </w:t>
      </w:r>
    </w:p>
    <w:p w14:paraId="5832DA15" w14:textId="77777777" w:rsidR="00D809AC" w:rsidRPr="00D809AC" w:rsidRDefault="00D809AC" w:rsidP="00D809AC">
      <w:pPr>
        <w:widowControl/>
        <w:autoSpaceDE/>
        <w:autoSpaceDN/>
        <w:spacing w:line="360" w:lineRule="auto"/>
        <w:jc w:val="both"/>
        <w:rPr>
          <w:rFonts w:ascii="Cambria" w:eastAsia="Calibri" w:hAnsi="Cambria"/>
          <w:bCs/>
          <w:spacing w:val="-4"/>
          <w:sz w:val="18"/>
          <w:szCs w:val="18"/>
          <w:lang w:val="en-IN"/>
        </w:rPr>
      </w:pPr>
      <w:r w:rsidRPr="00D809AC">
        <w:rPr>
          <w:rFonts w:ascii="Cambria" w:eastAsia="Calibri" w:hAnsi="Cambria"/>
          <w:bCs/>
          <w:spacing w:val="-4"/>
          <w:sz w:val="18"/>
          <w:szCs w:val="18"/>
          <w:lang w:val="en-IN"/>
        </w:rPr>
        <w:t>Date of Publication: 30 March 2023</w:t>
      </w:r>
    </w:p>
    <w:p w14:paraId="31E54FBD" w14:textId="77777777" w:rsidR="00D809AC" w:rsidRPr="00D809AC" w:rsidRDefault="00D809AC" w:rsidP="00D809AC">
      <w:pPr>
        <w:widowControl/>
        <w:autoSpaceDE/>
        <w:autoSpaceDN/>
        <w:spacing w:line="360" w:lineRule="auto"/>
        <w:jc w:val="both"/>
        <w:rPr>
          <w:rFonts w:ascii="Cambria" w:eastAsia="Calibri" w:hAnsi="Cambria"/>
          <w:bCs/>
          <w:spacing w:val="-4"/>
          <w:sz w:val="18"/>
          <w:szCs w:val="18"/>
          <w:lang w:val="en-IN"/>
        </w:rPr>
      </w:pPr>
      <w:r w:rsidRPr="00D809AC">
        <w:rPr>
          <w:rFonts w:ascii="Cambria" w:eastAsia="Calibri" w:hAnsi="Cambria"/>
          <w:bCs/>
          <w:spacing w:val="-4"/>
          <w:sz w:val="18"/>
          <w:szCs w:val="18"/>
          <w:lang w:val="en-IN"/>
        </w:rPr>
        <w:t xml:space="preserve">Source of support: Nil </w:t>
      </w:r>
      <w:r w:rsidRPr="00D809AC">
        <w:rPr>
          <w:rFonts w:ascii="Cambria" w:eastAsia="Calibri" w:hAnsi="Cambria"/>
          <w:bCs/>
          <w:spacing w:val="-4"/>
          <w:sz w:val="18"/>
          <w:szCs w:val="18"/>
          <w:lang w:val="en-IN"/>
        </w:rPr>
        <w:tab/>
      </w:r>
    </w:p>
    <w:p w14:paraId="4530E605" w14:textId="77777777" w:rsidR="00D809AC" w:rsidRPr="00D809AC" w:rsidRDefault="00D809AC" w:rsidP="00D809AC">
      <w:pPr>
        <w:widowControl/>
        <w:autoSpaceDE/>
        <w:autoSpaceDN/>
        <w:spacing w:line="360" w:lineRule="auto"/>
        <w:jc w:val="both"/>
        <w:rPr>
          <w:rFonts w:ascii="Cambria" w:eastAsia="Calibri" w:hAnsi="Cambria"/>
          <w:bCs/>
          <w:spacing w:val="-4"/>
          <w:sz w:val="18"/>
          <w:szCs w:val="18"/>
          <w:lang w:val="en-IN"/>
        </w:rPr>
      </w:pPr>
      <w:r w:rsidRPr="00D809AC">
        <w:rPr>
          <w:rFonts w:ascii="Cambria" w:eastAsia="Calibri" w:hAnsi="Cambria"/>
          <w:bCs/>
          <w:spacing w:val="-4"/>
          <w:sz w:val="18"/>
          <w:szCs w:val="18"/>
          <w:lang w:val="en-IN"/>
        </w:rPr>
        <w:t>Conflict of interest: Nil</w:t>
      </w:r>
    </w:p>
    <w:p w14:paraId="5BC1C7B3" w14:textId="77777777" w:rsidR="008520E2" w:rsidRDefault="008520E2" w:rsidP="008520E2">
      <w:pPr>
        <w:spacing w:line="360" w:lineRule="auto"/>
        <w:jc w:val="both"/>
        <w:rPr>
          <w:b/>
          <w:bCs/>
          <w:sz w:val="20"/>
          <w:szCs w:val="20"/>
        </w:rPr>
      </w:pPr>
    </w:p>
    <w:p w14:paraId="03812349" w14:textId="77777777" w:rsidR="00506185" w:rsidRPr="00506185" w:rsidRDefault="00506185" w:rsidP="00506185">
      <w:pPr>
        <w:spacing w:line="360" w:lineRule="auto"/>
        <w:jc w:val="both"/>
        <w:rPr>
          <w:b/>
          <w:bCs/>
          <w:sz w:val="20"/>
          <w:szCs w:val="20"/>
        </w:rPr>
      </w:pPr>
      <w:r w:rsidRPr="00506185">
        <w:rPr>
          <w:b/>
          <w:bCs/>
          <w:sz w:val="20"/>
          <w:szCs w:val="20"/>
        </w:rPr>
        <w:t>Abstract:</w:t>
      </w:r>
    </w:p>
    <w:p w14:paraId="0C335F6B" w14:textId="77777777" w:rsidR="00506185" w:rsidRPr="00506185" w:rsidRDefault="00506185" w:rsidP="00506185">
      <w:pPr>
        <w:spacing w:line="360" w:lineRule="auto"/>
        <w:jc w:val="both"/>
        <w:rPr>
          <w:b/>
          <w:bCs/>
          <w:sz w:val="20"/>
          <w:szCs w:val="20"/>
        </w:rPr>
      </w:pPr>
      <w:r w:rsidRPr="00506185">
        <w:rPr>
          <w:b/>
          <w:bCs/>
          <w:sz w:val="20"/>
          <w:szCs w:val="20"/>
        </w:rPr>
        <w:t xml:space="preserve">Introduction: </w:t>
      </w:r>
      <w:r w:rsidRPr="00506185">
        <w:rPr>
          <w:sz w:val="20"/>
          <w:szCs w:val="20"/>
        </w:rPr>
        <w:t>Cervical cancer is a preventable disease due to long preinvasive stage.</w:t>
      </w:r>
      <w:r w:rsidRPr="00506185">
        <w:rPr>
          <w:sz w:val="20"/>
          <w:szCs w:val="20"/>
          <w:vertAlign w:val="superscript"/>
        </w:rPr>
        <w:t>1</w:t>
      </w:r>
      <w:r w:rsidRPr="00506185">
        <w:rPr>
          <w:sz w:val="20"/>
          <w:szCs w:val="20"/>
        </w:rPr>
        <w:t xml:space="preserve"> Even though cervical cytology is the most used strategy to detect cervical cancer and its precursor lesion, its effectiveness is still questioned because many women are still developing cancer. </w:t>
      </w:r>
    </w:p>
    <w:p w14:paraId="29E052AE" w14:textId="77777777" w:rsidR="00506185" w:rsidRPr="00506185" w:rsidRDefault="00506185" w:rsidP="00506185">
      <w:pPr>
        <w:spacing w:line="360" w:lineRule="auto"/>
        <w:jc w:val="both"/>
        <w:rPr>
          <w:sz w:val="20"/>
          <w:szCs w:val="20"/>
        </w:rPr>
      </w:pPr>
      <w:r w:rsidRPr="00506185">
        <w:rPr>
          <w:b/>
          <w:bCs/>
          <w:sz w:val="20"/>
          <w:szCs w:val="20"/>
        </w:rPr>
        <w:t xml:space="preserve">Methodology: </w:t>
      </w:r>
      <w:r w:rsidRPr="00506185">
        <w:rPr>
          <w:sz w:val="20"/>
          <w:szCs w:val="20"/>
        </w:rPr>
        <w:t xml:space="preserve">This prospective study was carried out on patients referred to pathology department of JJM Medical College, Davanagere for cytology interpretation of uterine cervix during the two year period from August 2020 to August-2022. </w:t>
      </w:r>
    </w:p>
    <w:p w14:paraId="1DD0A9A4" w14:textId="77777777" w:rsidR="00506185" w:rsidRPr="00506185" w:rsidRDefault="00506185" w:rsidP="00506185">
      <w:pPr>
        <w:spacing w:line="360" w:lineRule="auto"/>
        <w:jc w:val="both"/>
        <w:rPr>
          <w:color w:val="212121"/>
          <w:sz w:val="20"/>
          <w:szCs w:val="20"/>
          <w:shd w:val="clear" w:color="auto" w:fill="FFFFFF"/>
        </w:rPr>
      </w:pPr>
      <w:r w:rsidRPr="00506185">
        <w:rPr>
          <w:b/>
          <w:color w:val="212121"/>
          <w:sz w:val="20"/>
          <w:szCs w:val="20"/>
          <w:shd w:val="clear" w:color="auto" w:fill="FFFFFF"/>
        </w:rPr>
        <w:t xml:space="preserve">Results: </w:t>
      </w:r>
      <w:r w:rsidRPr="00506185">
        <w:rPr>
          <w:color w:val="212121"/>
          <w:sz w:val="20"/>
          <w:szCs w:val="20"/>
          <w:shd w:val="clear" w:color="auto" w:fill="FFFFFF"/>
        </w:rPr>
        <w:t>In the  present study, on routine screening epithelial cell abnormalities were found in 2.4 % smears. Prevalence of ASCUS was 0.9% ( 7 cases),ASC-H  was 0.5% (4cases),  LSIL was 0.25% (2cases), HSIL was 0.5% (4 cases), AGC – NOS was 0.25% (2 cases). So  SIL was seen in 0.75% (6 cases). According to Bal MS et al.</w:t>
      </w:r>
      <w:r w:rsidRPr="00506185">
        <w:rPr>
          <w:color w:val="212121"/>
          <w:sz w:val="20"/>
          <w:szCs w:val="20"/>
          <w:shd w:val="clear" w:color="auto" w:fill="FFFFFF"/>
          <w:vertAlign w:val="superscript"/>
        </w:rPr>
        <w:t>6</w:t>
      </w:r>
      <w:r w:rsidRPr="00506185">
        <w:rPr>
          <w:color w:val="212121"/>
          <w:sz w:val="20"/>
          <w:szCs w:val="20"/>
          <w:shd w:val="clear" w:color="auto" w:fill="FFFFFF"/>
        </w:rPr>
        <w:t xml:space="preserve"> epithelial cell abnormalities were found in 5% smears. Prevalence of ASCUS was 0.3% (1 case), SIL was seen in 3.4% (10 cases), out of which LSIL was 2.7% (8 cases) and HSIL accounted for 0.7%. Invasive cancer was seen in 1.3% cases.</w:t>
      </w:r>
    </w:p>
    <w:p w14:paraId="6908B68B" w14:textId="649797AD" w:rsidR="00506185" w:rsidRPr="00506185" w:rsidRDefault="00506185" w:rsidP="00506185">
      <w:pPr>
        <w:spacing w:line="360" w:lineRule="auto"/>
        <w:jc w:val="both"/>
        <w:rPr>
          <w:sz w:val="20"/>
          <w:szCs w:val="20"/>
        </w:rPr>
      </w:pPr>
      <w:r w:rsidRPr="00506185">
        <w:rPr>
          <w:b/>
          <w:sz w:val="20"/>
          <w:szCs w:val="20"/>
        </w:rPr>
        <w:t xml:space="preserve">Conclusion: </w:t>
      </w:r>
      <w:r w:rsidRPr="00506185">
        <w:rPr>
          <w:sz w:val="20"/>
          <w:szCs w:val="20"/>
        </w:rPr>
        <w:t>An effective marker for assessing cytopathologists' sensitivity is the ASC/SIL ratio. If an individual cytopathologist's ASC/SIL ratio is higher than the upper standard, confidential comments can assist them lower it. It serves as a motivating factor for cytopathologists whose ratio complies with the defined benchmark and aids in the maintenance of a steady ratio.</w:t>
      </w:r>
    </w:p>
    <w:p w14:paraId="0E4FD4A8" w14:textId="76D6D3B7" w:rsidR="00506185" w:rsidRPr="00506185" w:rsidRDefault="00506185" w:rsidP="00506185">
      <w:pPr>
        <w:spacing w:line="360" w:lineRule="auto"/>
        <w:jc w:val="both"/>
        <w:rPr>
          <w:b/>
          <w:sz w:val="20"/>
          <w:szCs w:val="20"/>
        </w:rPr>
      </w:pPr>
      <w:r w:rsidRPr="00506185">
        <w:rPr>
          <w:b/>
          <w:sz w:val="20"/>
          <w:szCs w:val="20"/>
        </w:rPr>
        <w:t xml:space="preserve">Keywords: </w:t>
      </w:r>
      <w:r w:rsidRPr="00506185">
        <w:rPr>
          <w:bCs/>
          <w:sz w:val="20"/>
          <w:szCs w:val="20"/>
        </w:rPr>
        <w:t>ASC/SIL Ratio , cytopathological features</w:t>
      </w:r>
    </w:p>
    <w:p w14:paraId="34170B20" w14:textId="77777777" w:rsidR="008520E2" w:rsidRDefault="008520E2" w:rsidP="008520E2">
      <w:pPr>
        <w:spacing w:line="360" w:lineRule="auto"/>
        <w:jc w:val="both"/>
        <w:rPr>
          <w:b/>
          <w:bCs/>
          <w:sz w:val="20"/>
          <w:szCs w:val="20"/>
        </w:rPr>
      </w:pPr>
    </w:p>
    <w:p w14:paraId="73129015" w14:textId="77777777" w:rsidR="008520E2" w:rsidRDefault="008520E2" w:rsidP="008520E2">
      <w:pPr>
        <w:spacing w:line="360" w:lineRule="auto"/>
        <w:jc w:val="both"/>
        <w:rPr>
          <w:b/>
          <w:bCs/>
          <w:sz w:val="20"/>
          <w:szCs w:val="20"/>
        </w:rPr>
      </w:pPr>
    </w:p>
    <w:p w14:paraId="33024BEA" w14:textId="77777777" w:rsidR="003658DF" w:rsidRPr="008520E2" w:rsidRDefault="003658DF" w:rsidP="008520E2">
      <w:pPr>
        <w:spacing w:line="360" w:lineRule="auto"/>
        <w:jc w:val="both"/>
        <w:rPr>
          <w:b/>
          <w:bCs/>
          <w:sz w:val="20"/>
          <w:szCs w:val="20"/>
        </w:rPr>
      </w:pPr>
      <w:r w:rsidRPr="008520E2">
        <w:rPr>
          <w:b/>
          <w:bCs/>
          <w:sz w:val="20"/>
          <w:szCs w:val="20"/>
        </w:rPr>
        <w:t>INTRODUCTION</w:t>
      </w:r>
    </w:p>
    <w:p w14:paraId="2D1DCC8A" w14:textId="77777777" w:rsidR="008520E2" w:rsidRPr="008520E2" w:rsidRDefault="003658DF" w:rsidP="008520E2">
      <w:pPr>
        <w:spacing w:line="360" w:lineRule="auto"/>
        <w:jc w:val="both"/>
        <w:rPr>
          <w:sz w:val="20"/>
          <w:szCs w:val="20"/>
        </w:rPr>
      </w:pPr>
      <w:bookmarkStart w:id="1" w:name="_Hlk133926056"/>
      <w:r w:rsidRPr="008520E2">
        <w:rPr>
          <w:sz w:val="20"/>
          <w:szCs w:val="20"/>
        </w:rPr>
        <w:t>Cervical cancer is a preventable disease due to long preinvasive stage.</w:t>
      </w:r>
      <w:r w:rsidR="00A3746A" w:rsidRPr="008520E2">
        <w:rPr>
          <w:sz w:val="20"/>
          <w:szCs w:val="20"/>
          <w:vertAlign w:val="superscript"/>
        </w:rPr>
        <w:t>1</w:t>
      </w:r>
      <w:r w:rsidRPr="008520E2">
        <w:rPr>
          <w:sz w:val="20"/>
          <w:szCs w:val="20"/>
        </w:rPr>
        <w:t xml:space="preserve"> Even though cervical cytology is the </w:t>
      </w:r>
      <w:r w:rsidRPr="008520E2">
        <w:rPr>
          <w:sz w:val="20"/>
          <w:szCs w:val="20"/>
        </w:rPr>
        <w:lastRenderedPageBreak/>
        <w:t>most used strategy to detect cervical cancer and its precursor lesion, its effectiveness is still questioned because many women are still developing cancer. This is due to the high rate of false negative results which can range from 2% to 62%.</w:t>
      </w:r>
      <w:r w:rsidR="00BA6724" w:rsidRPr="008520E2">
        <w:rPr>
          <w:sz w:val="20"/>
          <w:szCs w:val="20"/>
        </w:rPr>
        <w:t xml:space="preserve"> </w:t>
      </w:r>
      <w:r w:rsidRPr="008520E2">
        <w:rPr>
          <w:sz w:val="20"/>
          <w:szCs w:val="20"/>
        </w:rPr>
        <w:t>The reasons for this huge variation in range are errors in collection, screening and diagnostic interpretation.</w:t>
      </w:r>
      <w:r w:rsidR="00FC05C2" w:rsidRPr="008520E2">
        <w:rPr>
          <w:sz w:val="20"/>
          <w:szCs w:val="20"/>
          <w:vertAlign w:val="superscript"/>
        </w:rPr>
        <w:t>2</w:t>
      </w:r>
      <w:r w:rsidR="00577F36" w:rsidRPr="008520E2">
        <w:rPr>
          <w:sz w:val="20"/>
          <w:szCs w:val="20"/>
        </w:rPr>
        <w:t xml:space="preserve"> </w:t>
      </w:r>
      <w:r w:rsidR="008520E2" w:rsidRPr="008520E2">
        <w:rPr>
          <w:sz w:val="20"/>
          <w:szCs w:val="20"/>
        </w:rPr>
        <w:t xml:space="preserve"> </w:t>
      </w:r>
      <w:r w:rsidR="00697F03" w:rsidRPr="008520E2">
        <w:rPr>
          <w:sz w:val="20"/>
          <w:szCs w:val="20"/>
        </w:rPr>
        <w:t>Monitoring the relative frequency of the interpretations of atypical squamous cells (ASC) and squamous intraepithelial lesions (SIL) has been proposed as a quality control measure.</w:t>
      </w:r>
      <w:bookmarkEnd w:id="1"/>
    </w:p>
    <w:p w14:paraId="55E9AC35" w14:textId="50E47DBE" w:rsidR="008520E2" w:rsidRPr="008520E2" w:rsidRDefault="008520E2" w:rsidP="008520E2">
      <w:pPr>
        <w:spacing w:line="360" w:lineRule="auto"/>
        <w:jc w:val="both"/>
        <w:rPr>
          <w:sz w:val="20"/>
          <w:szCs w:val="20"/>
        </w:rPr>
      </w:pPr>
      <w:r w:rsidRPr="008520E2">
        <w:rPr>
          <w:sz w:val="20"/>
          <w:szCs w:val="20"/>
        </w:rPr>
        <w:t xml:space="preserve">            Atypical squamous cells (ASC) are the most common epithelial abnormality reported in Papanicolaou (Pap) test results. These cells show cytologic abnormalities suggestive of squamous intraepithelial lesion (SIL) but with insufficient evidence, qualitative or quantitative, for a definite diagnosis of SIL.ASC is essentially a diagnosis of uncertainty. It is a diagnosis of uncertainty and is used as an intralaboratory and interlaboratory comparison tool for quality control purpose.  This is done to ensure that the interpretation ASC is not overused. To control for differences in the frequency of cervical dysplasia in different populations, the ratio of ASC to SIL interpretations has been adopted as the preferred measure, especially for interlaboratory comparisons.</w:t>
      </w:r>
    </w:p>
    <w:p w14:paraId="00804D8A" w14:textId="29BD11A8" w:rsidR="008520E2" w:rsidRPr="008520E2" w:rsidRDefault="008520E2" w:rsidP="008520E2">
      <w:pPr>
        <w:spacing w:line="360" w:lineRule="auto"/>
        <w:jc w:val="both"/>
        <w:rPr>
          <w:sz w:val="20"/>
          <w:szCs w:val="20"/>
          <w:vertAlign w:val="superscript"/>
        </w:rPr>
      </w:pPr>
      <w:r w:rsidRPr="008520E2">
        <w:rPr>
          <w:sz w:val="20"/>
          <w:szCs w:val="20"/>
        </w:rPr>
        <w:t xml:space="preserve">              Since the diagnosis of ASC is dependent on the laboratory patient population, a higher rate can occur if there is a larger proportion of high-risk patients. In response to this, the ASC/squamous intraepithelial lesion (SIL) ratio was introduced as a quality control measure that was less dependent on the patient population, because the ASC and SIL rates would both increase in a laboratory with more high-risk patients. The ASC/SIL ratio can be calculated for the entire laboratory or for individual cytopathologists. This ratio can be used  as a surrogate marker for the level of certainty and for specificity. Current recommendations are for a laboratory or cytopathologist to maintain a ratio of less than 2:1 or 3:1.</w:t>
      </w:r>
      <w:r w:rsidRPr="008520E2">
        <w:rPr>
          <w:sz w:val="20"/>
          <w:szCs w:val="20"/>
          <w:vertAlign w:val="superscript"/>
        </w:rPr>
        <w:t xml:space="preserve">3,4 </w:t>
      </w:r>
      <w:r w:rsidRPr="008520E2">
        <w:rPr>
          <w:sz w:val="20"/>
          <w:szCs w:val="20"/>
        </w:rPr>
        <w:t xml:space="preserve">The objective of the study </w:t>
      </w:r>
      <w:bookmarkStart w:id="2" w:name="_Hlk133926334"/>
      <w:r w:rsidRPr="008520E2">
        <w:rPr>
          <w:sz w:val="20"/>
          <w:szCs w:val="20"/>
        </w:rPr>
        <w:t>is to evaluate the cytological features of uterine cervical smears and ASC/SIL ratio as quality control measure in cervical cytopathology</w:t>
      </w:r>
      <w:bookmarkEnd w:id="2"/>
      <w:r w:rsidRPr="008520E2">
        <w:rPr>
          <w:sz w:val="20"/>
          <w:szCs w:val="20"/>
        </w:rPr>
        <w:t>.</w:t>
      </w:r>
    </w:p>
    <w:p w14:paraId="16CC9100" w14:textId="6B3C9416" w:rsidR="005D7F46" w:rsidRPr="008520E2" w:rsidRDefault="00AF5143" w:rsidP="008520E2">
      <w:pPr>
        <w:spacing w:line="360" w:lineRule="auto"/>
        <w:jc w:val="both"/>
        <w:rPr>
          <w:sz w:val="20"/>
          <w:szCs w:val="20"/>
        </w:rPr>
      </w:pPr>
      <w:r w:rsidRPr="008520E2">
        <w:rPr>
          <w:b/>
          <w:bCs/>
          <w:sz w:val="20"/>
          <w:szCs w:val="20"/>
        </w:rPr>
        <w:t>METHODS</w:t>
      </w:r>
    </w:p>
    <w:p w14:paraId="12AFF660" w14:textId="186340BC" w:rsidR="00AF5143" w:rsidRPr="008520E2" w:rsidRDefault="00AF5143" w:rsidP="008520E2">
      <w:pPr>
        <w:spacing w:line="360" w:lineRule="auto"/>
        <w:ind w:right="-13"/>
        <w:jc w:val="both"/>
        <w:rPr>
          <w:sz w:val="20"/>
          <w:szCs w:val="20"/>
        </w:rPr>
      </w:pPr>
      <w:bookmarkStart w:id="3" w:name="_Hlk133926212"/>
      <w:r w:rsidRPr="008520E2">
        <w:rPr>
          <w:sz w:val="20"/>
          <w:szCs w:val="20"/>
        </w:rPr>
        <w:t xml:space="preserve">This prospective study was carried </w:t>
      </w:r>
      <w:r w:rsidR="006F12B6" w:rsidRPr="008520E2">
        <w:rPr>
          <w:sz w:val="20"/>
          <w:szCs w:val="20"/>
        </w:rPr>
        <w:t>out on patients referred to pathology department of JJM Medical College, Davanagere for cytology interpretation of uterine cervix during the two year period from August 2020 to August</w:t>
      </w:r>
      <w:r w:rsidR="003A17B0" w:rsidRPr="008520E2">
        <w:rPr>
          <w:sz w:val="20"/>
          <w:szCs w:val="20"/>
        </w:rPr>
        <w:t>-</w:t>
      </w:r>
      <w:r w:rsidR="006F12B6" w:rsidRPr="008520E2">
        <w:rPr>
          <w:sz w:val="20"/>
          <w:szCs w:val="20"/>
        </w:rPr>
        <w:t>2022.</w:t>
      </w:r>
      <w:r w:rsidR="003A17B0" w:rsidRPr="008520E2">
        <w:rPr>
          <w:sz w:val="20"/>
          <w:szCs w:val="20"/>
        </w:rPr>
        <w:t xml:space="preserve"> </w:t>
      </w:r>
      <w:r w:rsidRPr="008520E2">
        <w:rPr>
          <w:sz w:val="20"/>
          <w:szCs w:val="20"/>
        </w:rPr>
        <w:t>We screened 1000 sexually active women who were more than 18 years of age.</w:t>
      </w:r>
      <w:r w:rsidR="006F12B6" w:rsidRPr="008520E2">
        <w:rPr>
          <w:sz w:val="20"/>
          <w:szCs w:val="20"/>
        </w:rPr>
        <w:t xml:space="preserve"> Relevant clinical</w:t>
      </w:r>
      <w:r w:rsidRPr="008520E2">
        <w:rPr>
          <w:sz w:val="20"/>
          <w:szCs w:val="20"/>
        </w:rPr>
        <w:t xml:space="preserve"> history was taken from clinical forms that included the chief complaint</w:t>
      </w:r>
      <w:r w:rsidR="006F12B6" w:rsidRPr="008520E2">
        <w:rPr>
          <w:sz w:val="20"/>
          <w:szCs w:val="20"/>
        </w:rPr>
        <w:t>. The endocervical brush was introduced into endocervix until the junction of the bristles of the brush with the end of the handle is approximately with the external os.  After insertion the brush was rotated 180 degrees in the endocervical canal.  For pregnant women saline moistened swab was used. The slide was labelled on its frosted section with the cytology number as per the register maintained for cervical cytology at our institution.  The endocervical brush sample was rolled at right angles to the long axis of the slide near the frosted end</w:t>
      </w:r>
      <w:r w:rsidR="004A7AA6" w:rsidRPr="008520E2">
        <w:rPr>
          <w:sz w:val="20"/>
          <w:szCs w:val="20"/>
        </w:rPr>
        <w:t>.</w:t>
      </w:r>
      <w:r w:rsidR="006F12B6" w:rsidRPr="008520E2">
        <w:rPr>
          <w:sz w:val="20"/>
          <w:szCs w:val="20"/>
        </w:rPr>
        <w:t>The spatula sample was quickly applied, through a rotating motion of the cervical sampling face of the spatula across the glass slide. After preparing the smear with the spatula and the brush, the slide was rapidly fixed with a spray fixative/95% ethanol.  The endocervical brush component will dry more slowly than the spatula component, and that is why it was applied first. Then the smears were stained with Papanicolaou, H&amp;E, Giemsa.</w:t>
      </w:r>
      <w:r w:rsidRPr="008520E2">
        <w:rPr>
          <w:sz w:val="20"/>
          <w:szCs w:val="20"/>
        </w:rPr>
        <w:t>Laboratory results were reported according to the new Bethesda System for Reporting Cervical Cytology 2014. The system broadly divides lesions into those negative for intraepithelial neoplasia and epithelial cell abnormalities (ECA) that include squamous and glandular cell</w:t>
      </w:r>
      <w:r w:rsidR="004A7AA6" w:rsidRPr="008520E2">
        <w:rPr>
          <w:sz w:val="20"/>
          <w:szCs w:val="20"/>
        </w:rPr>
        <w:t>s.</w:t>
      </w:r>
    </w:p>
    <w:bookmarkEnd w:id="3"/>
    <w:p w14:paraId="26CFEE53" w14:textId="77777777" w:rsidR="00D809AC" w:rsidRDefault="00D809AC" w:rsidP="008520E2">
      <w:pPr>
        <w:spacing w:line="360" w:lineRule="auto"/>
        <w:ind w:right="-13"/>
        <w:jc w:val="both"/>
        <w:rPr>
          <w:b/>
          <w:bCs/>
          <w:sz w:val="20"/>
          <w:szCs w:val="20"/>
        </w:rPr>
      </w:pPr>
    </w:p>
    <w:p w14:paraId="11F6ACD0" w14:textId="77777777" w:rsidR="00D809AC" w:rsidRDefault="00D809AC" w:rsidP="008520E2">
      <w:pPr>
        <w:spacing w:line="360" w:lineRule="auto"/>
        <w:ind w:right="-13"/>
        <w:jc w:val="both"/>
        <w:rPr>
          <w:b/>
          <w:bCs/>
          <w:sz w:val="20"/>
          <w:szCs w:val="20"/>
        </w:rPr>
      </w:pPr>
    </w:p>
    <w:p w14:paraId="3F50660E" w14:textId="77777777" w:rsidR="00D809AC" w:rsidRDefault="00D809AC" w:rsidP="008520E2">
      <w:pPr>
        <w:spacing w:line="360" w:lineRule="auto"/>
        <w:ind w:right="-13"/>
        <w:jc w:val="both"/>
        <w:rPr>
          <w:b/>
          <w:bCs/>
          <w:sz w:val="20"/>
          <w:szCs w:val="20"/>
        </w:rPr>
      </w:pPr>
    </w:p>
    <w:p w14:paraId="3A4A1290" w14:textId="02798EA2" w:rsidR="003A17B0" w:rsidRPr="008520E2" w:rsidRDefault="00416ED5" w:rsidP="008520E2">
      <w:pPr>
        <w:spacing w:line="360" w:lineRule="auto"/>
        <w:ind w:right="-13"/>
        <w:jc w:val="both"/>
        <w:rPr>
          <w:b/>
          <w:bCs/>
          <w:sz w:val="20"/>
          <w:szCs w:val="20"/>
        </w:rPr>
      </w:pPr>
      <w:r w:rsidRPr="008520E2">
        <w:rPr>
          <w:b/>
          <w:bCs/>
          <w:sz w:val="20"/>
          <w:szCs w:val="20"/>
        </w:rPr>
        <w:t>RESULTS</w:t>
      </w:r>
    </w:p>
    <w:p w14:paraId="639D6766" w14:textId="646A891A" w:rsidR="00416ED5" w:rsidRPr="008520E2" w:rsidRDefault="00416ED5" w:rsidP="008520E2">
      <w:pPr>
        <w:pStyle w:val="Caption"/>
        <w:keepNext/>
        <w:spacing w:after="0" w:line="360" w:lineRule="auto"/>
        <w:jc w:val="both"/>
        <w:rPr>
          <w:rFonts w:ascii="Times New Roman" w:hAnsi="Times New Roman" w:cs="Times New Roman"/>
          <w:sz w:val="20"/>
          <w:szCs w:val="20"/>
        </w:rPr>
      </w:pPr>
      <w:r w:rsidRPr="008520E2">
        <w:rPr>
          <w:rFonts w:ascii="Times New Roman" w:hAnsi="Times New Roman" w:cs="Times New Roman"/>
          <w:sz w:val="20"/>
          <w:szCs w:val="20"/>
        </w:rPr>
        <w:t xml:space="preserve">Table </w:t>
      </w:r>
      <w:r w:rsidRPr="008520E2">
        <w:rPr>
          <w:rFonts w:ascii="Times New Roman" w:hAnsi="Times New Roman" w:cs="Times New Roman"/>
          <w:sz w:val="20"/>
          <w:szCs w:val="20"/>
        </w:rPr>
        <w:fldChar w:fldCharType="begin"/>
      </w:r>
      <w:r w:rsidRPr="008520E2">
        <w:rPr>
          <w:rFonts w:ascii="Times New Roman" w:hAnsi="Times New Roman" w:cs="Times New Roman"/>
          <w:sz w:val="20"/>
          <w:szCs w:val="20"/>
        </w:rPr>
        <w:instrText xml:space="preserve"> SEQ Table \* ARABIC </w:instrText>
      </w:r>
      <w:r w:rsidRPr="008520E2">
        <w:rPr>
          <w:rFonts w:ascii="Times New Roman" w:hAnsi="Times New Roman" w:cs="Times New Roman"/>
          <w:sz w:val="20"/>
          <w:szCs w:val="20"/>
        </w:rPr>
        <w:fldChar w:fldCharType="separate"/>
      </w:r>
      <w:r w:rsidR="00D809AC">
        <w:rPr>
          <w:rFonts w:ascii="Times New Roman" w:hAnsi="Times New Roman" w:cs="Times New Roman"/>
          <w:noProof/>
          <w:sz w:val="20"/>
          <w:szCs w:val="20"/>
        </w:rPr>
        <w:t>1</w:t>
      </w:r>
      <w:r w:rsidRPr="008520E2">
        <w:rPr>
          <w:rFonts w:ascii="Times New Roman" w:hAnsi="Times New Roman" w:cs="Times New Roman"/>
          <w:sz w:val="20"/>
          <w:szCs w:val="20"/>
        </w:rPr>
        <w:fldChar w:fldCharType="end"/>
      </w:r>
      <w:r w:rsidRPr="008520E2">
        <w:rPr>
          <w:rFonts w:ascii="Times New Roman" w:hAnsi="Times New Roman" w:cs="Times New Roman"/>
          <w:sz w:val="20"/>
          <w:szCs w:val="20"/>
        </w:rPr>
        <w:t xml:space="preserve">: </w:t>
      </w:r>
      <w:r w:rsidR="006C40D0" w:rsidRPr="008520E2">
        <w:rPr>
          <w:rFonts w:ascii="Times New Roman" w:hAnsi="Times New Roman" w:cs="Times New Roman"/>
          <w:sz w:val="20"/>
          <w:szCs w:val="20"/>
        </w:rPr>
        <w:t>AGE DISTRIBUTION OF CASES</w:t>
      </w:r>
      <w:r w:rsidRPr="008520E2">
        <w:rPr>
          <w:rFonts w:ascii="Times New Roman" w:hAnsi="Times New Roman" w:cs="Times New Roman"/>
          <w:sz w:val="20"/>
          <w:szCs w:val="20"/>
        </w:rPr>
        <w:t>. N = 800</w:t>
      </w:r>
    </w:p>
    <w:tbl>
      <w:tblPr>
        <w:tblW w:w="5000" w:type="pct"/>
        <w:jc w:val="center"/>
        <w:tblLook w:val="0420" w:firstRow="1" w:lastRow="0" w:firstColumn="0" w:lastColumn="0" w:noHBand="0" w:noVBand="1"/>
      </w:tblPr>
      <w:tblGrid>
        <w:gridCol w:w="3630"/>
        <w:gridCol w:w="2708"/>
        <w:gridCol w:w="2708"/>
      </w:tblGrid>
      <w:tr w:rsidR="00416ED5" w:rsidRPr="008520E2" w14:paraId="20D8BC8F" w14:textId="77777777" w:rsidTr="00ED0AA6">
        <w:trPr>
          <w:tblHeader/>
          <w:jc w:val="center"/>
        </w:trPr>
        <w:tc>
          <w:tcPr>
            <w:tcW w:w="2006"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949B02"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b/>
                <w:sz w:val="20"/>
                <w:szCs w:val="20"/>
              </w:rPr>
              <w:t>Characteristic</w:t>
            </w:r>
          </w:p>
        </w:tc>
        <w:tc>
          <w:tcPr>
            <w:tcW w:w="1497"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0B653B"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b/>
                <w:sz w:val="20"/>
                <w:szCs w:val="20"/>
              </w:rPr>
              <w:t>N = 800</w:t>
            </w:r>
          </w:p>
        </w:tc>
        <w:tc>
          <w:tcPr>
            <w:tcW w:w="1497"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37698B"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b/>
                <w:sz w:val="20"/>
                <w:szCs w:val="20"/>
              </w:rPr>
              <w:t>Percent</w:t>
            </w:r>
          </w:p>
        </w:tc>
      </w:tr>
      <w:tr w:rsidR="00416ED5" w:rsidRPr="008520E2" w14:paraId="7520B1BB" w14:textId="77777777" w:rsidTr="00ED0AA6">
        <w:trPr>
          <w:jc w:val="center"/>
        </w:trPr>
        <w:tc>
          <w:tcPr>
            <w:tcW w:w="2006"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35C6833B"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b/>
                <w:sz w:val="20"/>
                <w:szCs w:val="20"/>
              </w:rPr>
              <w:t>Age</w:t>
            </w:r>
          </w:p>
        </w:tc>
        <w:tc>
          <w:tcPr>
            <w:tcW w:w="1497"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1BA53AA3"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p>
        </w:tc>
        <w:tc>
          <w:tcPr>
            <w:tcW w:w="1497"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2CC74EA4"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p>
        </w:tc>
      </w:tr>
      <w:tr w:rsidR="00416ED5" w:rsidRPr="008520E2" w14:paraId="43597495" w14:textId="77777777" w:rsidTr="00ED0AA6">
        <w:trPr>
          <w:jc w:val="center"/>
        </w:trPr>
        <w:tc>
          <w:tcPr>
            <w:tcW w:w="2006"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024F5011"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300" w:right="100"/>
              <w:jc w:val="both"/>
              <w:rPr>
                <w:sz w:val="20"/>
                <w:szCs w:val="20"/>
              </w:rPr>
            </w:pPr>
            <w:r w:rsidRPr="008520E2">
              <w:rPr>
                <w:rFonts w:eastAsia="Arial"/>
                <w:sz w:val="20"/>
                <w:szCs w:val="20"/>
              </w:rPr>
              <w:t>Mean (SD)</w:t>
            </w:r>
          </w:p>
        </w:tc>
        <w:tc>
          <w:tcPr>
            <w:tcW w:w="2994" w:type="pct"/>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37BF5CD7"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sz w:val="20"/>
                <w:szCs w:val="20"/>
              </w:rPr>
              <w:t>39 (10)</w:t>
            </w:r>
          </w:p>
        </w:tc>
      </w:tr>
      <w:tr w:rsidR="00416ED5" w:rsidRPr="008520E2" w14:paraId="59F5946A" w14:textId="77777777" w:rsidTr="00ED0AA6">
        <w:trPr>
          <w:jc w:val="center"/>
        </w:trPr>
        <w:tc>
          <w:tcPr>
            <w:tcW w:w="2006"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59DA45C1"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300" w:right="100"/>
              <w:jc w:val="both"/>
              <w:rPr>
                <w:sz w:val="20"/>
                <w:szCs w:val="20"/>
              </w:rPr>
            </w:pPr>
            <w:r w:rsidRPr="008520E2">
              <w:rPr>
                <w:rFonts w:eastAsia="Arial"/>
                <w:sz w:val="20"/>
                <w:szCs w:val="20"/>
              </w:rPr>
              <w:t>Range</w:t>
            </w:r>
          </w:p>
        </w:tc>
        <w:tc>
          <w:tcPr>
            <w:tcW w:w="2994" w:type="pct"/>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25B2DDD9" w14:textId="26C4C0ED"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sz w:val="20"/>
                <w:szCs w:val="20"/>
              </w:rPr>
              <w:t xml:space="preserve">21 </w:t>
            </w:r>
            <w:r w:rsidR="000A2DE4" w:rsidRPr="008520E2">
              <w:rPr>
                <w:rFonts w:eastAsia="Arial"/>
                <w:sz w:val="20"/>
                <w:szCs w:val="20"/>
              </w:rPr>
              <w:t>–</w:t>
            </w:r>
            <w:r w:rsidRPr="008520E2">
              <w:rPr>
                <w:rFonts w:eastAsia="Arial"/>
                <w:sz w:val="20"/>
                <w:szCs w:val="20"/>
              </w:rPr>
              <w:t xml:space="preserve"> 75</w:t>
            </w:r>
          </w:p>
        </w:tc>
      </w:tr>
      <w:tr w:rsidR="00416ED5" w:rsidRPr="008520E2" w14:paraId="761F5DD8" w14:textId="77777777" w:rsidTr="00ED0AA6">
        <w:trPr>
          <w:jc w:val="center"/>
        </w:trPr>
        <w:tc>
          <w:tcPr>
            <w:tcW w:w="2006"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3D4B8465"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300" w:right="100"/>
              <w:jc w:val="both"/>
              <w:rPr>
                <w:sz w:val="20"/>
                <w:szCs w:val="20"/>
              </w:rPr>
            </w:pPr>
            <w:r w:rsidRPr="008520E2">
              <w:rPr>
                <w:rFonts w:eastAsia="Arial"/>
                <w:sz w:val="20"/>
                <w:szCs w:val="20"/>
              </w:rPr>
              <w:t>Median, (IQR)</w:t>
            </w:r>
          </w:p>
        </w:tc>
        <w:tc>
          <w:tcPr>
            <w:tcW w:w="2994" w:type="pct"/>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1522E106"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sz w:val="20"/>
                <w:szCs w:val="20"/>
              </w:rPr>
              <w:t>38, (32, 45)</w:t>
            </w:r>
          </w:p>
        </w:tc>
      </w:tr>
      <w:tr w:rsidR="00416ED5" w:rsidRPr="008520E2" w14:paraId="6DA53D0F" w14:textId="77777777" w:rsidTr="00ED0AA6">
        <w:trPr>
          <w:jc w:val="center"/>
        </w:trPr>
        <w:tc>
          <w:tcPr>
            <w:tcW w:w="2006"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2C60304A"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b/>
                <w:sz w:val="20"/>
                <w:szCs w:val="20"/>
              </w:rPr>
              <w:t>Age (Category</w:t>
            </w:r>
          </w:p>
        </w:tc>
        <w:tc>
          <w:tcPr>
            <w:tcW w:w="1497"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01295470"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p>
        </w:tc>
        <w:tc>
          <w:tcPr>
            <w:tcW w:w="1497"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29990017"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p>
        </w:tc>
      </w:tr>
      <w:tr w:rsidR="00416ED5" w:rsidRPr="008520E2" w14:paraId="2BADDCEC" w14:textId="77777777" w:rsidTr="00ED0AA6">
        <w:trPr>
          <w:jc w:val="center"/>
        </w:trPr>
        <w:tc>
          <w:tcPr>
            <w:tcW w:w="2006"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77245175"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300" w:right="100"/>
              <w:jc w:val="both"/>
              <w:rPr>
                <w:sz w:val="20"/>
                <w:szCs w:val="20"/>
              </w:rPr>
            </w:pPr>
            <w:r w:rsidRPr="008520E2">
              <w:rPr>
                <w:rFonts w:eastAsia="Arial"/>
                <w:sz w:val="20"/>
                <w:szCs w:val="20"/>
              </w:rPr>
              <w:t>20 – 29</w:t>
            </w:r>
          </w:p>
        </w:tc>
        <w:tc>
          <w:tcPr>
            <w:tcW w:w="1497"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4755F867"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sz w:val="20"/>
                <w:szCs w:val="20"/>
              </w:rPr>
              <w:t>136</w:t>
            </w:r>
          </w:p>
        </w:tc>
        <w:tc>
          <w:tcPr>
            <w:tcW w:w="1497"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48276DD8"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sz w:val="20"/>
                <w:szCs w:val="20"/>
              </w:rPr>
              <w:t>17%</w:t>
            </w:r>
          </w:p>
        </w:tc>
      </w:tr>
      <w:tr w:rsidR="00416ED5" w:rsidRPr="008520E2" w14:paraId="75355F76" w14:textId="77777777" w:rsidTr="00ED0AA6">
        <w:trPr>
          <w:jc w:val="center"/>
        </w:trPr>
        <w:tc>
          <w:tcPr>
            <w:tcW w:w="2006"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48012153"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300" w:right="100"/>
              <w:jc w:val="both"/>
              <w:rPr>
                <w:sz w:val="20"/>
                <w:szCs w:val="20"/>
              </w:rPr>
            </w:pPr>
            <w:r w:rsidRPr="008520E2">
              <w:rPr>
                <w:rFonts w:eastAsia="Arial"/>
                <w:sz w:val="20"/>
                <w:szCs w:val="20"/>
              </w:rPr>
              <w:t>30 – 39</w:t>
            </w:r>
          </w:p>
        </w:tc>
        <w:tc>
          <w:tcPr>
            <w:tcW w:w="1497"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6E6853F4"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sz w:val="20"/>
                <w:szCs w:val="20"/>
              </w:rPr>
              <w:t>310</w:t>
            </w:r>
          </w:p>
        </w:tc>
        <w:tc>
          <w:tcPr>
            <w:tcW w:w="1497"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33699993"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sz w:val="20"/>
                <w:szCs w:val="20"/>
              </w:rPr>
              <w:t>39%</w:t>
            </w:r>
          </w:p>
        </w:tc>
      </w:tr>
      <w:tr w:rsidR="00416ED5" w:rsidRPr="008520E2" w14:paraId="07D9DCED" w14:textId="77777777" w:rsidTr="00ED0AA6">
        <w:trPr>
          <w:jc w:val="center"/>
        </w:trPr>
        <w:tc>
          <w:tcPr>
            <w:tcW w:w="2006"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1B9C2183"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300" w:right="100"/>
              <w:jc w:val="both"/>
              <w:rPr>
                <w:sz w:val="20"/>
                <w:szCs w:val="20"/>
              </w:rPr>
            </w:pPr>
            <w:r w:rsidRPr="008520E2">
              <w:rPr>
                <w:rFonts w:eastAsia="Arial"/>
                <w:sz w:val="20"/>
                <w:szCs w:val="20"/>
              </w:rPr>
              <w:t>40 – 49</w:t>
            </w:r>
          </w:p>
        </w:tc>
        <w:tc>
          <w:tcPr>
            <w:tcW w:w="1497"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4FBE6AF1"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sz w:val="20"/>
                <w:szCs w:val="20"/>
              </w:rPr>
              <w:t>245</w:t>
            </w:r>
          </w:p>
        </w:tc>
        <w:tc>
          <w:tcPr>
            <w:tcW w:w="1497"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57197CE9"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sz w:val="20"/>
                <w:szCs w:val="20"/>
              </w:rPr>
              <w:t>31%</w:t>
            </w:r>
          </w:p>
        </w:tc>
      </w:tr>
      <w:tr w:rsidR="00416ED5" w:rsidRPr="008520E2" w14:paraId="65D50F2F" w14:textId="77777777" w:rsidTr="00ED0AA6">
        <w:trPr>
          <w:jc w:val="center"/>
        </w:trPr>
        <w:tc>
          <w:tcPr>
            <w:tcW w:w="2006"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4BFD2140"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300" w:right="100"/>
              <w:jc w:val="both"/>
              <w:rPr>
                <w:sz w:val="20"/>
                <w:szCs w:val="20"/>
              </w:rPr>
            </w:pPr>
            <w:r w:rsidRPr="008520E2">
              <w:rPr>
                <w:rFonts w:eastAsia="Arial"/>
                <w:sz w:val="20"/>
                <w:szCs w:val="20"/>
              </w:rPr>
              <w:t>50 – 59</w:t>
            </w:r>
          </w:p>
        </w:tc>
        <w:tc>
          <w:tcPr>
            <w:tcW w:w="1497"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48F17415"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sz w:val="20"/>
                <w:szCs w:val="20"/>
              </w:rPr>
              <w:t>76</w:t>
            </w:r>
          </w:p>
        </w:tc>
        <w:tc>
          <w:tcPr>
            <w:tcW w:w="1497"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71FF2FAE"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sz w:val="20"/>
                <w:szCs w:val="20"/>
              </w:rPr>
              <w:t>9.5%</w:t>
            </w:r>
          </w:p>
        </w:tc>
      </w:tr>
      <w:tr w:rsidR="00416ED5" w:rsidRPr="008520E2" w14:paraId="7494D50C" w14:textId="77777777" w:rsidTr="00ED0AA6">
        <w:trPr>
          <w:jc w:val="center"/>
        </w:trPr>
        <w:tc>
          <w:tcPr>
            <w:tcW w:w="2006"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39B46A59"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300" w:right="100"/>
              <w:jc w:val="both"/>
              <w:rPr>
                <w:sz w:val="20"/>
                <w:szCs w:val="20"/>
              </w:rPr>
            </w:pPr>
            <w:r w:rsidRPr="008520E2">
              <w:rPr>
                <w:rFonts w:eastAsia="Arial"/>
                <w:sz w:val="20"/>
                <w:szCs w:val="20"/>
              </w:rPr>
              <w:t>60 – 69</w:t>
            </w:r>
          </w:p>
        </w:tc>
        <w:tc>
          <w:tcPr>
            <w:tcW w:w="1497"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59609DDD"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sz w:val="20"/>
                <w:szCs w:val="20"/>
              </w:rPr>
              <w:t>26</w:t>
            </w:r>
          </w:p>
        </w:tc>
        <w:tc>
          <w:tcPr>
            <w:tcW w:w="1497"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6A9516B4"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sz w:val="20"/>
                <w:szCs w:val="20"/>
              </w:rPr>
              <w:t>3.2%</w:t>
            </w:r>
          </w:p>
        </w:tc>
      </w:tr>
      <w:tr w:rsidR="00416ED5" w:rsidRPr="008520E2" w14:paraId="3B332E93" w14:textId="77777777" w:rsidTr="00ED0AA6">
        <w:trPr>
          <w:jc w:val="center"/>
        </w:trPr>
        <w:tc>
          <w:tcPr>
            <w:tcW w:w="2006"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0CBE2F83"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300" w:right="100"/>
              <w:jc w:val="both"/>
              <w:rPr>
                <w:sz w:val="20"/>
                <w:szCs w:val="20"/>
              </w:rPr>
            </w:pPr>
            <w:r w:rsidRPr="008520E2">
              <w:rPr>
                <w:rFonts w:eastAsia="Arial"/>
                <w:sz w:val="20"/>
                <w:szCs w:val="20"/>
              </w:rPr>
              <w:t>&gt; 70</w:t>
            </w:r>
          </w:p>
        </w:tc>
        <w:tc>
          <w:tcPr>
            <w:tcW w:w="1497"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77317BB2"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sz w:val="20"/>
                <w:szCs w:val="20"/>
              </w:rPr>
              <w:t>7</w:t>
            </w:r>
          </w:p>
        </w:tc>
        <w:tc>
          <w:tcPr>
            <w:tcW w:w="1497" w:type="pc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406343F7" w14:textId="77777777" w:rsidR="00416ED5" w:rsidRPr="008520E2" w:rsidRDefault="00416ED5" w:rsidP="008520E2">
            <w:pPr>
              <w:pBdr>
                <w:top w:val="none" w:sz="0" w:space="0" w:color="000000"/>
                <w:left w:val="none" w:sz="0" w:space="0" w:color="000000"/>
                <w:bottom w:val="none" w:sz="0" w:space="0" w:color="000000"/>
                <w:right w:val="none" w:sz="0" w:space="0" w:color="000000"/>
              </w:pBdr>
              <w:spacing w:line="360" w:lineRule="auto"/>
              <w:ind w:left="100" w:right="100"/>
              <w:jc w:val="both"/>
              <w:rPr>
                <w:sz w:val="20"/>
                <w:szCs w:val="20"/>
              </w:rPr>
            </w:pPr>
            <w:r w:rsidRPr="008520E2">
              <w:rPr>
                <w:rFonts w:eastAsia="Arial"/>
                <w:sz w:val="20"/>
                <w:szCs w:val="20"/>
              </w:rPr>
              <w:t>0.9%</w:t>
            </w:r>
          </w:p>
        </w:tc>
      </w:tr>
    </w:tbl>
    <w:p w14:paraId="358EA10F" w14:textId="77777777" w:rsidR="00416ED5" w:rsidRPr="008520E2" w:rsidRDefault="00416ED5" w:rsidP="008520E2">
      <w:pPr>
        <w:pStyle w:val="Caption"/>
        <w:keepNext/>
        <w:spacing w:after="0" w:line="360" w:lineRule="auto"/>
        <w:jc w:val="both"/>
        <w:rPr>
          <w:rFonts w:ascii="Times New Roman" w:hAnsi="Times New Roman" w:cs="Times New Roman"/>
          <w:sz w:val="20"/>
          <w:szCs w:val="20"/>
        </w:rPr>
      </w:pPr>
    </w:p>
    <w:p w14:paraId="3BC58641" w14:textId="77777777" w:rsidR="00416ED5" w:rsidRPr="008520E2" w:rsidRDefault="00416ED5" w:rsidP="008520E2">
      <w:pPr>
        <w:pStyle w:val="Caption"/>
        <w:keepNext/>
        <w:spacing w:after="0" w:line="360" w:lineRule="auto"/>
        <w:jc w:val="both"/>
        <w:rPr>
          <w:rFonts w:ascii="Times New Roman" w:hAnsi="Times New Roman" w:cs="Times New Roman"/>
          <w:sz w:val="20"/>
          <w:szCs w:val="20"/>
        </w:rPr>
      </w:pPr>
      <w:r w:rsidRPr="008520E2">
        <w:rPr>
          <w:rFonts w:ascii="Times New Roman" w:hAnsi="Times New Roman" w:cs="Times New Roman"/>
          <w:sz w:val="20"/>
          <w:szCs w:val="20"/>
        </w:rPr>
        <w:t xml:space="preserve">CHART </w:t>
      </w:r>
      <w:r w:rsidR="003A6DF3" w:rsidRPr="008520E2">
        <w:rPr>
          <w:rFonts w:ascii="Times New Roman" w:hAnsi="Times New Roman" w:cs="Times New Roman"/>
          <w:sz w:val="20"/>
          <w:szCs w:val="20"/>
        </w:rPr>
        <w:fldChar w:fldCharType="begin"/>
      </w:r>
      <w:r w:rsidR="003A6DF3" w:rsidRPr="008520E2">
        <w:rPr>
          <w:rFonts w:ascii="Times New Roman" w:hAnsi="Times New Roman" w:cs="Times New Roman"/>
          <w:sz w:val="20"/>
          <w:szCs w:val="20"/>
        </w:rPr>
        <w:instrText xml:space="preserve"> SEQ Figure \* ARABIC </w:instrText>
      </w:r>
      <w:r w:rsidR="003A6DF3" w:rsidRPr="008520E2">
        <w:rPr>
          <w:rFonts w:ascii="Times New Roman" w:hAnsi="Times New Roman" w:cs="Times New Roman"/>
          <w:sz w:val="20"/>
          <w:szCs w:val="20"/>
        </w:rPr>
        <w:fldChar w:fldCharType="separate"/>
      </w:r>
      <w:r w:rsidR="00D809AC">
        <w:rPr>
          <w:rFonts w:ascii="Times New Roman" w:hAnsi="Times New Roman" w:cs="Times New Roman"/>
          <w:noProof/>
          <w:sz w:val="20"/>
          <w:szCs w:val="20"/>
        </w:rPr>
        <w:t>1</w:t>
      </w:r>
      <w:r w:rsidR="003A6DF3" w:rsidRPr="008520E2">
        <w:rPr>
          <w:rFonts w:ascii="Times New Roman" w:hAnsi="Times New Roman" w:cs="Times New Roman"/>
          <w:noProof/>
          <w:sz w:val="20"/>
          <w:szCs w:val="20"/>
        </w:rPr>
        <w:fldChar w:fldCharType="end"/>
      </w:r>
      <w:r w:rsidRPr="008520E2">
        <w:rPr>
          <w:rFonts w:ascii="Times New Roman" w:hAnsi="Times New Roman" w:cs="Times New Roman"/>
          <w:sz w:val="20"/>
          <w:szCs w:val="20"/>
        </w:rPr>
        <w:t>: Histogram showing age distribution of the participants. N = 800</w:t>
      </w:r>
    </w:p>
    <w:p w14:paraId="23BC423C" w14:textId="77777777" w:rsidR="00416ED5" w:rsidRPr="008520E2" w:rsidRDefault="00416ED5" w:rsidP="008520E2">
      <w:pPr>
        <w:pStyle w:val="FirstParagraph"/>
        <w:spacing w:before="0" w:after="0" w:line="360" w:lineRule="auto"/>
        <w:jc w:val="both"/>
        <w:rPr>
          <w:rFonts w:cs="Times New Roman"/>
          <w:sz w:val="20"/>
          <w:szCs w:val="20"/>
        </w:rPr>
      </w:pPr>
      <w:r w:rsidRPr="008520E2">
        <w:rPr>
          <w:rFonts w:cs="Times New Roman"/>
          <w:noProof/>
          <w:sz w:val="20"/>
          <w:szCs w:val="20"/>
        </w:rPr>
        <w:t xml:space="preserve"> </w:t>
      </w:r>
      <w:r w:rsidRPr="008520E2">
        <w:rPr>
          <w:rFonts w:cs="Times New Roman"/>
          <w:noProof/>
          <w:sz w:val="20"/>
          <w:szCs w:val="20"/>
          <w:lang w:val="en-IN" w:eastAsia="en-IN"/>
        </w:rPr>
        <w:drawing>
          <wp:inline distT="0" distB="0" distL="0" distR="0" wp14:anchorId="3FE7BE26" wp14:editId="7E21D42A">
            <wp:extent cx="3634740" cy="1706880"/>
            <wp:effectExtent l="0" t="0" r="3810" b="7620"/>
            <wp:docPr id="21" name="Picture"/>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34406" cy="1706723"/>
                    </a:xfrm>
                    <a:prstGeom prst="rect">
                      <a:avLst/>
                    </a:prstGeom>
                    <a:noFill/>
                    <a:ln w="9525">
                      <a:noFill/>
                      <a:headEnd/>
                      <a:tailEnd/>
                    </a:ln>
                  </pic:spPr>
                </pic:pic>
              </a:graphicData>
            </a:graphic>
          </wp:inline>
        </w:drawing>
      </w:r>
    </w:p>
    <w:p w14:paraId="2845A722" w14:textId="72D53CBA" w:rsidR="00416ED5" w:rsidRPr="008520E2" w:rsidRDefault="00416ED5" w:rsidP="008520E2">
      <w:pPr>
        <w:pStyle w:val="FirstParagraph"/>
        <w:spacing w:before="0" w:after="0" w:line="360" w:lineRule="auto"/>
        <w:jc w:val="both"/>
        <w:rPr>
          <w:rFonts w:cs="Times New Roman"/>
          <w:b/>
          <w:bCs/>
          <w:sz w:val="20"/>
          <w:szCs w:val="20"/>
        </w:rPr>
      </w:pPr>
      <w:r w:rsidRPr="008520E2">
        <w:rPr>
          <w:rFonts w:cs="Times New Roman"/>
          <w:sz w:val="20"/>
          <w:szCs w:val="20"/>
        </w:rPr>
        <w:t xml:space="preserve">The present study shows the distribution of age among participants. The overall mean age of participants was 39 with a standard deviation of 10. The range of age within participants was from 21 to 75. </w:t>
      </w:r>
      <w:r w:rsidRPr="008520E2">
        <w:rPr>
          <w:rFonts w:cs="Times New Roman"/>
          <w:color w:val="212121"/>
          <w:sz w:val="20"/>
          <w:szCs w:val="20"/>
          <w:shd w:val="clear" w:color="auto" w:fill="FFFFFF"/>
        </w:rPr>
        <w:t>Maximum number of patients (39%) were in the age group 30-39 years (fourth decade) followed by 31% in the fifth,17% in the third, 9% in the sixth,3% in the seventh, and 1% the in the eighth decade.</w:t>
      </w:r>
      <w:r w:rsidRPr="008520E2">
        <w:rPr>
          <w:rFonts w:cs="Times New Roman"/>
          <w:sz w:val="20"/>
          <w:szCs w:val="20"/>
        </w:rPr>
        <w:t xml:space="preserve"> The presenting complaints were vaginal discharge, pain abdomen, and abnormal uterine bleeding.(</w:t>
      </w:r>
      <w:r w:rsidRPr="008520E2">
        <w:rPr>
          <w:rFonts w:cs="Times New Roman"/>
          <w:b/>
          <w:bCs/>
          <w:sz w:val="20"/>
          <w:szCs w:val="20"/>
        </w:rPr>
        <w:t xml:space="preserve"> Table 1 and chart 1)</w:t>
      </w:r>
    </w:p>
    <w:p w14:paraId="776454B1" w14:textId="77777777" w:rsidR="00225C44" w:rsidRPr="008520E2" w:rsidRDefault="005E3211" w:rsidP="008520E2">
      <w:pPr>
        <w:spacing w:line="360" w:lineRule="auto"/>
        <w:jc w:val="both"/>
        <w:rPr>
          <w:b/>
          <w:bCs/>
          <w:color w:val="000000"/>
          <w:sz w:val="20"/>
          <w:szCs w:val="20"/>
        </w:rPr>
      </w:pPr>
      <w:r w:rsidRPr="008520E2">
        <w:rPr>
          <w:b/>
          <w:bCs/>
          <w:color w:val="000000"/>
          <w:sz w:val="20"/>
          <w:szCs w:val="20"/>
        </w:rPr>
        <w:t xml:space="preserve"> </w:t>
      </w:r>
    </w:p>
    <w:p w14:paraId="6D8A9C72" w14:textId="10DA622D" w:rsidR="006C40D0" w:rsidRPr="008520E2" w:rsidRDefault="00225C44" w:rsidP="008520E2">
      <w:pPr>
        <w:spacing w:line="360" w:lineRule="auto"/>
        <w:jc w:val="both"/>
        <w:rPr>
          <w:b/>
          <w:bCs/>
          <w:color w:val="000000"/>
          <w:sz w:val="20"/>
          <w:szCs w:val="20"/>
        </w:rPr>
      </w:pPr>
      <w:r w:rsidRPr="008520E2">
        <w:rPr>
          <w:b/>
          <w:bCs/>
          <w:color w:val="000000"/>
          <w:sz w:val="20"/>
          <w:szCs w:val="20"/>
        </w:rPr>
        <w:t xml:space="preserve"> TABLE 2 : CYTOLOGY INTERPRETATION USING BETHESDA SYSTEM 2014</w:t>
      </w:r>
    </w:p>
    <w:p w14:paraId="1B1F250B" w14:textId="77777777" w:rsidR="006C40D0" w:rsidRPr="008520E2" w:rsidRDefault="006C40D0" w:rsidP="008520E2">
      <w:pPr>
        <w:spacing w:line="360" w:lineRule="auto"/>
        <w:jc w:val="both"/>
        <w:rPr>
          <w:b/>
          <w:bCs/>
          <w:color w:val="000000"/>
          <w:sz w:val="20"/>
          <w:szCs w:val="20"/>
        </w:rPr>
      </w:pPr>
    </w:p>
    <w:tbl>
      <w:tblPr>
        <w:tblStyle w:val="TableGrid"/>
        <w:tblW w:w="0" w:type="auto"/>
        <w:tblLook w:val="04A0" w:firstRow="1" w:lastRow="0" w:firstColumn="1" w:lastColumn="0" w:noHBand="0" w:noVBand="1"/>
      </w:tblPr>
      <w:tblGrid>
        <w:gridCol w:w="1631"/>
        <w:gridCol w:w="749"/>
        <w:gridCol w:w="970"/>
        <w:gridCol w:w="34"/>
        <w:gridCol w:w="1110"/>
        <w:gridCol w:w="867"/>
        <w:gridCol w:w="919"/>
        <w:gridCol w:w="908"/>
        <w:gridCol w:w="841"/>
        <w:gridCol w:w="987"/>
      </w:tblGrid>
      <w:tr w:rsidR="00C04D35" w:rsidRPr="008520E2" w14:paraId="53BE2EEB" w14:textId="0E91C489" w:rsidTr="00C04D35">
        <w:tc>
          <w:tcPr>
            <w:tcW w:w="1631" w:type="dxa"/>
          </w:tcPr>
          <w:p w14:paraId="30886751" w14:textId="4B2506F0" w:rsidR="00C04D35" w:rsidRPr="008520E2" w:rsidRDefault="00C04D35" w:rsidP="008520E2">
            <w:pPr>
              <w:spacing w:line="360" w:lineRule="auto"/>
              <w:jc w:val="both"/>
              <w:rPr>
                <w:b/>
                <w:bCs/>
                <w:color w:val="000000"/>
                <w:sz w:val="20"/>
                <w:szCs w:val="20"/>
              </w:rPr>
            </w:pPr>
            <w:r w:rsidRPr="008520E2">
              <w:rPr>
                <w:b/>
                <w:bCs/>
                <w:color w:val="000000"/>
                <w:sz w:val="20"/>
                <w:szCs w:val="20"/>
              </w:rPr>
              <w:t>Cytology interpretation</w:t>
            </w:r>
          </w:p>
        </w:tc>
        <w:tc>
          <w:tcPr>
            <w:tcW w:w="749" w:type="dxa"/>
          </w:tcPr>
          <w:p w14:paraId="569BAA65" w14:textId="77777777" w:rsidR="00C04D35" w:rsidRPr="008520E2" w:rsidRDefault="00C04D35" w:rsidP="008520E2">
            <w:pPr>
              <w:spacing w:line="360" w:lineRule="auto"/>
              <w:jc w:val="both"/>
              <w:rPr>
                <w:b/>
                <w:bCs/>
                <w:color w:val="000000"/>
                <w:sz w:val="20"/>
                <w:szCs w:val="20"/>
              </w:rPr>
            </w:pPr>
          </w:p>
        </w:tc>
        <w:tc>
          <w:tcPr>
            <w:tcW w:w="970" w:type="dxa"/>
          </w:tcPr>
          <w:p w14:paraId="1B985203" w14:textId="6DFE7A03" w:rsidR="00C04D35" w:rsidRPr="008520E2" w:rsidRDefault="00C04D35" w:rsidP="008520E2">
            <w:pPr>
              <w:spacing w:line="360" w:lineRule="auto"/>
              <w:jc w:val="both"/>
              <w:rPr>
                <w:b/>
                <w:bCs/>
                <w:color w:val="000000"/>
                <w:sz w:val="20"/>
                <w:szCs w:val="20"/>
              </w:rPr>
            </w:pPr>
          </w:p>
        </w:tc>
        <w:tc>
          <w:tcPr>
            <w:tcW w:w="2930" w:type="dxa"/>
            <w:gridSpan w:val="4"/>
          </w:tcPr>
          <w:p w14:paraId="7BF06617" w14:textId="68338593" w:rsidR="00C04D35" w:rsidRPr="008520E2" w:rsidRDefault="00C04D35" w:rsidP="008520E2">
            <w:pPr>
              <w:spacing w:line="360" w:lineRule="auto"/>
              <w:jc w:val="both"/>
              <w:rPr>
                <w:b/>
                <w:bCs/>
                <w:color w:val="000000"/>
                <w:sz w:val="20"/>
                <w:szCs w:val="20"/>
              </w:rPr>
            </w:pPr>
            <w:r w:rsidRPr="008520E2">
              <w:rPr>
                <w:b/>
                <w:bCs/>
                <w:color w:val="000000"/>
                <w:sz w:val="20"/>
                <w:szCs w:val="20"/>
              </w:rPr>
              <w:t>BETHESDA SYSTEM OF REPORTING 2014</w:t>
            </w:r>
          </w:p>
        </w:tc>
        <w:tc>
          <w:tcPr>
            <w:tcW w:w="908" w:type="dxa"/>
          </w:tcPr>
          <w:p w14:paraId="114C8480" w14:textId="77777777" w:rsidR="00C04D35" w:rsidRPr="008520E2" w:rsidRDefault="00C04D35" w:rsidP="008520E2">
            <w:pPr>
              <w:spacing w:line="360" w:lineRule="auto"/>
              <w:jc w:val="both"/>
              <w:rPr>
                <w:b/>
                <w:bCs/>
                <w:color w:val="000000"/>
                <w:sz w:val="20"/>
                <w:szCs w:val="20"/>
              </w:rPr>
            </w:pPr>
          </w:p>
        </w:tc>
        <w:tc>
          <w:tcPr>
            <w:tcW w:w="841" w:type="dxa"/>
          </w:tcPr>
          <w:p w14:paraId="6BF39C78" w14:textId="77777777" w:rsidR="00C04D35" w:rsidRPr="008520E2" w:rsidRDefault="00C04D35" w:rsidP="008520E2">
            <w:pPr>
              <w:spacing w:line="360" w:lineRule="auto"/>
              <w:jc w:val="both"/>
              <w:rPr>
                <w:b/>
                <w:bCs/>
                <w:color w:val="000000"/>
                <w:sz w:val="20"/>
                <w:szCs w:val="20"/>
              </w:rPr>
            </w:pPr>
          </w:p>
        </w:tc>
        <w:tc>
          <w:tcPr>
            <w:tcW w:w="987" w:type="dxa"/>
          </w:tcPr>
          <w:p w14:paraId="092D6B0E" w14:textId="77777777" w:rsidR="00C04D35" w:rsidRPr="008520E2" w:rsidRDefault="00C04D35" w:rsidP="008520E2">
            <w:pPr>
              <w:spacing w:line="360" w:lineRule="auto"/>
              <w:jc w:val="both"/>
              <w:rPr>
                <w:b/>
                <w:bCs/>
                <w:color w:val="000000"/>
                <w:sz w:val="20"/>
                <w:szCs w:val="20"/>
              </w:rPr>
            </w:pPr>
          </w:p>
        </w:tc>
      </w:tr>
      <w:tr w:rsidR="00C04D35" w:rsidRPr="008520E2" w14:paraId="6C686F34" w14:textId="2E709CCD" w:rsidTr="00C04D35">
        <w:tc>
          <w:tcPr>
            <w:tcW w:w="1631" w:type="dxa"/>
          </w:tcPr>
          <w:p w14:paraId="421ACE67" w14:textId="1CF848CA" w:rsidR="00C04D35" w:rsidRPr="008520E2" w:rsidRDefault="00C04D35" w:rsidP="008520E2">
            <w:pPr>
              <w:spacing w:line="360" w:lineRule="auto"/>
              <w:jc w:val="both"/>
              <w:rPr>
                <w:b/>
                <w:bCs/>
                <w:color w:val="000000"/>
                <w:sz w:val="20"/>
                <w:szCs w:val="20"/>
              </w:rPr>
            </w:pPr>
          </w:p>
        </w:tc>
        <w:tc>
          <w:tcPr>
            <w:tcW w:w="749" w:type="dxa"/>
          </w:tcPr>
          <w:p w14:paraId="5E293C2E" w14:textId="22079069" w:rsidR="00C04D35" w:rsidRPr="008520E2" w:rsidRDefault="00C04D35" w:rsidP="008520E2">
            <w:pPr>
              <w:spacing w:line="360" w:lineRule="auto"/>
              <w:jc w:val="both"/>
              <w:rPr>
                <w:b/>
                <w:bCs/>
                <w:color w:val="000000"/>
                <w:sz w:val="20"/>
                <w:szCs w:val="20"/>
              </w:rPr>
            </w:pPr>
            <w:r w:rsidRPr="008520E2">
              <w:rPr>
                <w:b/>
                <w:bCs/>
                <w:color w:val="000000"/>
                <w:sz w:val="20"/>
                <w:szCs w:val="20"/>
              </w:rPr>
              <w:t>US</w:t>
            </w:r>
          </w:p>
        </w:tc>
        <w:tc>
          <w:tcPr>
            <w:tcW w:w="1004" w:type="dxa"/>
            <w:gridSpan w:val="2"/>
          </w:tcPr>
          <w:p w14:paraId="196D27E0" w14:textId="2CE4BCBC" w:rsidR="00C04D35" w:rsidRPr="008520E2" w:rsidRDefault="00C04D35" w:rsidP="008520E2">
            <w:pPr>
              <w:spacing w:line="360" w:lineRule="auto"/>
              <w:jc w:val="both"/>
              <w:rPr>
                <w:b/>
                <w:bCs/>
                <w:color w:val="000000"/>
                <w:sz w:val="20"/>
                <w:szCs w:val="20"/>
              </w:rPr>
            </w:pPr>
            <w:r w:rsidRPr="008520E2">
              <w:rPr>
                <w:b/>
                <w:bCs/>
                <w:color w:val="000000"/>
                <w:sz w:val="20"/>
                <w:szCs w:val="20"/>
              </w:rPr>
              <w:t>NILM</w:t>
            </w:r>
          </w:p>
        </w:tc>
        <w:tc>
          <w:tcPr>
            <w:tcW w:w="1110" w:type="dxa"/>
          </w:tcPr>
          <w:p w14:paraId="0B9F89C8" w14:textId="72A087AE" w:rsidR="00C04D35" w:rsidRPr="008520E2" w:rsidRDefault="00C04D35" w:rsidP="008520E2">
            <w:pPr>
              <w:spacing w:line="360" w:lineRule="auto"/>
              <w:jc w:val="both"/>
              <w:rPr>
                <w:b/>
                <w:bCs/>
                <w:color w:val="000000"/>
                <w:sz w:val="20"/>
                <w:szCs w:val="20"/>
              </w:rPr>
            </w:pPr>
            <w:r w:rsidRPr="008520E2">
              <w:rPr>
                <w:b/>
                <w:bCs/>
                <w:color w:val="000000"/>
                <w:sz w:val="20"/>
                <w:szCs w:val="20"/>
              </w:rPr>
              <w:t>ASCUS</w:t>
            </w:r>
          </w:p>
        </w:tc>
        <w:tc>
          <w:tcPr>
            <w:tcW w:w="867" w:type="dxa"/>
          </w:tcPr>
          <w:p w14:paraId="344D2732" w14:textId="3CE87B13" w:rsidR="00C04D35" w:rsidRPr="008520E2" w:rsidRDefault="00C04D35" w:rsidP="008520E2">
            <w:pPr>
              <w:spacing w:line="360" w:lineRule="auto"/>
              <w:jc w:val="both"/>
              <w:rPr>
                <w:b/>
                <w:bCs/>
                <w:color w:val="000000"/>
                <w:sz w:val="20"/>
                <w:szCs w:val="20"/>
              </w:rPr>
            </w:pPr>
            <w:r w:rsidRPr="008520E2">
              <w:rPr>
                <w:b/>
                <w:bCs/>
                <w:color w:val="000000"/>
                <w:sz w:val="20"/>
                <w:szCs w:val="20"/>
              </w:rPr>
              <w:t>ASCH</w:t>
            </w:r>
          </w:p>
        </w:tc>
        <w:tc>
          <w:tcPr>
            <w:tcW w:w="919" w:type="dxa"/>
          </w:tcPr>
          <w:p w14:paraId="02756320" w14:textId="3D8F0F5D" w:rsidR="00C04D35" w:rsidRPr="008520E2" w:rsidRDefault="00C04D35" w:rsidP="008520E2">
            <w:pPr>
              <w:spacing w:line="360" w:lineRule="auto"/>
              <w:jc w:val="both"/>
              <w:rPr>
                <w:b/>
                <w:bCs/>
                <w:color w:val="000000"/>
                <w:sz w:val="20"/>
                <w:szCs w:val="20"/>
              </w:rPr>
            </w:pPr>
            <w:r w:rsidRPr="008520E2">
              <w:rPr>
                <w:b/>
                <w:bCs/>
                <w:color w:val="000000"/>
                <w:sz w:val="20"/>
                <w:szCs w:val="20"/>
              </w:rPr>
              <w:t>LSIL</w:t>
            </w:r>
          </w:p>
        </w:tc>
        <w:tc>
          <w:tcPr>
            <w:tcW w:w="908" w:type="dxa"/>
          </w:tcPr>
          <w:p w14:paraId="423E4C44" w14:textId="3B1BC288" w:rsidR="00C04D35" w:rsidRPr="008520E2" w:rsidRDefault="00C04D35" w:rsidP="008520E2">
            <w:pPr>
              <w:spacing w:line="360" w:lineRule="auto"/>
              <w:jc w:val="both"/>
              <w:rPr>
                <w:b/>
                <w:bCs/>
                <w:color w:val="000000"/>
                <w:sz w:val="20"/>
                <w:szCs w:val="20"/>
              </w:rPr>
            </w:pPr>
            <w:r w:rsidRPr="008520E2">
              <w:rPr>
                <w:b/>
                <w:bCs/>
                <w:color w:val="000000"/>
                <w:sz w:val="20"/>
                <w:szCs w:val="20"/>
              </w:rPr>
              <w:t>HSIL</w:t>
            </w:r>
          </w:p>
        </w:tc>
        <w:tc>
          <w:tcPr>
            <w:tcW w:w="841" w:type="dxa"/>
          </w:tcPr>
          <w:p w14:paraId="0D7F41B0" w14:textId="66EC677E" w:rsidR="00C04D35" w:rsidRPr="008520E2" w:rsidRDefault="00C04D35" w:rsidP="008520E2">
            <w:pPr>
              <w:spacing w:line="360" w:lineRule="auto"/>
              <w:jc w:val="both"/>
              <w:rPr>
                <w:b/>
                <w:bCs/>
                <w:color w:val="000000"/>
                <w:sz w:val="20"/>
                <w:szCs w:val="20"/>
              </w:rPr>
            </w:pPr>
            <w:r w:rsidRPr="008520E2">
              <w:rPr>
                <w:b/>
                <w:bCs/>
                <w:color w:val="000000"/>
                <w:sz w:val="20"/>
                <w:szCs w:val="20"/>
              </w:rPr>
              <w:t>AGC</w:t>
            </w:r>
          </w:p>
        </w:tc>
        <w:tc>
          <w:tcPr>
            <w:tcW w:w="987" w:type="dxa"/>
          </w:tcPr>
          <w:p w14:paraId="313C3E76" w14:textId="00CED376" w:rsidR="00C04D35" w:rsidRPr="008520E2" w:rsidRDefault="00C04D35" w:rsidP="008520E2">
            <w:pPr>
              <w:spacing w:line="360" w:lineRule="auto"/>
              <w:jc w:val="both"/>
              <w:rPr>
                <w:b/>
                <w:bCs/>
                <w:color w:val="000000"/>
                <w:sz w:val="20"/>
                <w:szCs w:val="20"/>
              </w:rPr>
            </w:pPr>
            <w:r w:rsidRPr="008520E2">
              <w:rPr>
                <w:b/>
                <w:bCs/>
                <w:color w:val="000000"/>
                <w:sz w:val="20"/>
                <w:szCs w:val="20"/>
              </w:rPr>
              <w:t>TOTAL</w:t>
            </w:r>
          </w:p>
        </w:tc>
      </w:tr>
      <w:tr w:rsidR="00C04D35" w:rsidRPr="008520E2" w14:paraId="31CF4007" w14:textId="6F351479" w:rsidTr="00C04D35">
        <w:tc>
          <w:tcPr>
            <w:tcW w:w="1631" w:type="dxa"/>
          </w:tcPr>
          <w:p w14:paraId="7D7F2104" w14:textId="16B91DA6" w:rsidR="00C04D35" w:rsidRPr="008520E2" w:rsidRDefault="00C04D35" w:rsidP="008520E2">
            <w:pPr>
              <w:spacing w:line="360" w:lineRule="auto"/>
              <w:jc w:val="both"/>
              <w:rPr>
                <w:b/>
                <w:bCs/>
                <w:color w:val="000000"/>
                <w:sz w:val="20"/>
                <w:szCs w:val="20"/>
              </w:rPr>
            </w:pPr>
            <w:r w:rsidRPr="008520E2">
              <w:rPr>
                <w:b/>
                <w:bCs/>
                <w:color w:val="000000"/>
                <w:sz w:val="20"/>
                <w:szCs w:val="20"/>
              </w:rPr>
              <w:t xml:space="preserve">No of patients </w:t>
            </w:r>
          </w:p>
        </w:tc>
        <w:tc>
          <w:tcPr>
            <w:tcW w:w="749" w:type="dxa"/>
          </w:tcPr>
          <w:p w14:paraId="066FAF65" w14:textId="6C2CF1AB" w:rsidR="00C04D35" w:rsidRPr="008520E2" w:rsidRDefault="00C04D35" w:rsidP="008520E2">
            <w:pPr>
              <w:spacing w:line="360" w:lineRule="auto"/>
              <w:jc w:val="both"/>
              <w:rPr>
                <w:b/>
                <w:bCs/>
                <w:color w:val="000000"/>
                <w:sz w:val="20"/>
                <w:szCs w:val="20"/>
              </w:rPr>
            </w:pPr>
            <w:r w:rsidRPr="008520E2">
              <w:rPr>
                <w:b/>
                <w:bCs/>
                <w:color w:val="000000"/>
                <w:sz w:val="20"/>
                <w:szCs w:val="20"/>
              </w:rPr>
              <w:t>67</w:t>
            </w:r>
          </w:p>
        </w:tc>
        <w:tc>
          <w:tcPr>
            <w:tcW w:w="1004" w:type="dxa"/>
            <w:gridSpan w:val="2"/>
          </w:tcPr>
          <w:p w14:paraId="1122826E" w14:textId="6EF6A047" w:rsidR="00C04D35" w:rsidRPr="008520E2" w:rsidRDefault="00C04D35" w:rsidP="008520E2">
            <w:pPr>
              <w:spacing w:line="360" w:lineRule="auto"/>
              <w:jc w:val="both"/>
              <w:rPr>
                <w:b/>
                <w:bCs/>
                <w:color w:val="000000"/>
                <w:sz w:val="20"/>
                <w:szCs w:val="20"/>
              </w:rPr>
            </w:pPr>
            <w:r w:rsidRPr="008520E2">
              <w:rPr>
                <w:b/>
                <w:bCs/>
                <w:color w:val="000000"/>
                <w:sz w:val="20"/>
                <w:szCs w:val="20"/>
              </w:rPr>
              <w:t>714</w:t>
            </w:r>
          </w:p>
        </w:tc>
        <w:tc>
          <w:tcPr>
            <w:tcW w:w="1110" w:type="dxa"/>
          </w:tcPr>
          <w:p w14:paraId="73F25FB1" w14:textId="7093966A" w:rsidR="00C04D35" w:rsidRPr="008520E2" w:rsidRDefault="00C04D35" w:rsidP="008520E2">
            <w:pPr>
              <w:spacing w:line="360" w:lineRule="auto"/>
              <w:jc w:val="both"/>
              <w:rPr>
                <w:b/>
                <w:bCs/>
                <w:color w:val="000000"/>
                <w:sz w:val="20"/>
                <w:szCs w:val="20"/>
              </w:rPr>
            </w:pPr>
            <w:r w:rsidRPr="008520E2">
              <w:rPr>
                <w:b/>
                <w:bCs/>
                <w:color w:val="000000"/>
                <w:sz w:val="20"/>
                <w:szCs w:val="20"/>
              </w:rPr>
              <w:t>7</w:t>
            </w:r>
          </w:p>
        </w:tc>
        <w:tc>
          <w:tcPr>
            <w:tcW w:w="867" w:type="dxa"/>
          </w:tcPr>
          <w:p w14:paraId="14F0F9C6" w14:textId="3DC6565A" w:rsidR="00C04D35" w:rsidRPr="008520E2" w:rsidRDefault="00C04D35" w:rsidP="008520E2">
            <w:pPr>
              <w:spacing w:line="360" w:lineRule="auto"/>
              <w:jc w:val="both"/>
              <w:rPr>
                <w:b/>
                <w:bCs/>
                <w:color w:val="000000"/>
                <w:sz w:val="20"/>
                <w:szCs w:val="20"/>
              </w:rPr>
            </w:pPr>
            <w:r w:rsidRPr="008520E2">
              <w:rPr>
                <w:b/>
                <w:bCs/>
                <w:color w:val="000000"/>
                <w:sz w:val="20"/>
                <w:szCs w:val="20"/>
              </w:rPr>
              <w:t>4</w:t>
            </w:r>
          </w:p>
        </w:tc>
        <w:tc>
          <w:tcPr>
            <w:tcW w:w="919" w:type="dxa"/>
          </w:tcPr>
          <w:p w14:paraId="344E102C" w14:textId="7CEB9B59" w:rsidR="00C04D35" w:rsidRPr="008520E2" w:rsidRDefault="00C04D35" w:rsidP="008520E2">
            <w:pPr>
              <w:spacing w:line="360" w:lineRule="auto"/>
              <w:jc w:val="both"/>
              <w:rPr>
                <w:b/>
                <w:bCs/>
                <w:color w:val="000000"/>
                <w:sz w:val="20"/>
                <w:szCs w:val="20"/>
              </w:rPr>
            </w:pPr>
            <w:r w:rsidRPr="008520E2">
              <w:rPr>
                <w:b/>
                <w:bCs/>
                <w:color w:val="000000"/>
                <w:sz w:val="20"/>
                <w:szCs w:val="20"/>
              </w:rPr>
              <w:t>2</w:t>
            </w:r>
          </w:p>
        </w:tc>
        <w:tc>
          <w:tcPr>
            <w:tcW w:w="908" w:type="dxa"/>
          </w:tcPr>
          <w:p w14:paraId="11588750" w14:textId="3D691C2E" w:rsidR="00C04D35" w:rsidRPr="008520E2" w:rsidRDefault="00C04D35" w:rsidP="008520E2">
            <w:pPr>
              <w:spacing w:line="360" w:lineRule="auto"/>
              <w:jc w:val="both"/>
              <w:rPr>
                <w:b/>
                <w:bCs/>
                <w:color w:val="000000"/>
                <w:sz w:val="20"/>
                <w:szCs w:val="20"/>
              </w:rPr>
            </w:pPr>
            <w:r w:rsidRPr="008520E2">
              <w:rPr>
                <w:b/>
                <w:bCs/>
                <w:color w:val="000000"/>
                <w:sz w:val="20"/>
                <w:szCs w:val="20"/>
              </w:rPr>
              <w:t>4</w:t>
            </w:r>
          </w:p>
        </w:tc>
        <w:tc>
          <w:tcPr>
            <w:tcW w:w="841" w:type="dxa"/>
          </w:tcPr>
          <w:p w14:paraId="4FA028D6" w14:textId="75B3B1AB" w:rsidR="00C04D35" w:rsidRPr="008520E2" w:rsidRDefault="00C04D35" w:rsidP="008520E2">
            <w:pPr>
              <w:spacing w:line="360" w:lineRule="auto"/>
              <w:jc w:val="both"/>
              <w:rPr>
                <w:b/>
                <w:bCs/>
                <w:color w:val="000000"/>
                <w:sz w:val="20"/>
                <w:szCs w:val="20"/>
              </w:rPr>
            </w:pPr>
            <w:r w:rsidRPr="008520E2">
              <w:rPr>
                <w:b/>
                <w:bCs/>
                <w:color w:val="000000"/>
                <w:sz w:val="20"/>
                <w:szCs w:val="20"/>
              </w:rPr>
              <w:t>2</w:t>
            </w:r>
          </w:p>
        </w:tc>
        <w:tc>
          <w:tcPr>
            <w:tcW w:w="987" w:type="dxa"/>
          </w:tcPr>
          <w:p w14:paraId="625F5D77" w14:textId="585DD8C3" w:rsidR="00C04D35" w:rsidRPr="008520E2" w:rsidRDefault="00C04D35" w:rsidP="008520E2">
            <w:pPr>
              <w:spacing w:line="360" w:lineRule="auto"/>
              <w:jc w:val="both"/>
              <w:rPr>
                <w:b/>
                <w:bCs/>
                <w:color w:val="000000"/>
                <w:sz w:val="20"/>
                <w:szCs w:val="20"/>
              </w:rPr>
            </w:pPr>
            <w:r w:rsidRPr="008520E2">
              <w:rPr>
                <w:b/>
                <w:bCs/>
                <w:color w:val="000000"/>
                <w:sz w:val="20"/>
                <w:szCs w:val="20"/>
              </w:rPr>
              <w:t>800</w:t>
            </w:r>
          </w:p>
        </w:tc>
      </w:tr>
      <w:tr w:rsidR="00C04D35" w:rsidRPr="008520E2" w14:paraId="1DD9A31F" w14:textId="77777777" w:rsidTr="00C04D35">
        <w:tc>
          <w:tcPr>
            <w:tcW w:w="1631" w:type="dxa"/>
          </w:tcPr>
          <w:p w14:paraId="22EBFD82" w14:textId="32A179D5" w:rsidR="00C04D35" w:rsidRPr="008520E2" w:rsidRDefault="00C04D35" w:rsidP="008520E2">
            <w:pPr>
              <w:spacing w:line="360" w:lineRule="auto"/>
              <w:jc w:val="both"/>
              <w:rPr>
                <w:b/>
                <w:bCs/>
                <w:color w:val="000000"/>
                <w:sz w:val="20"/>
                <w:szCs w:val="20"/>
              </w:rPr>
            </w:pPr>
            <w:r w:rsidRPr="008520E2">
              <w:rPr>
                <w:b/>
                <w:bCs/>
                <w:color w:val="000000"/>
                <w:sz w:val="20"/>
                <w:szCs w:val="20"/>
              </w:rPr>
              <w:t>Percentage</w:t>
            </w:r>
          </w:p>
        </w:tc>
        <w:tc>
          <w:tcPr>
            <w:tcW w:w="749" w:type="dxa"/>
          </w:tcPr>
          <w:p w14:paraId="27E5F328" w14:textId="5C2BA952" w:rsidR="00C04D35" w:rsidRPr="008520E2" w:rsidRDefault="00C04D35" w:rsidP="008520E2">
            <w:pPr>
              <w:spacing w:line="360" w:lineRule="auto"/>
              <w:jc w:val="both"/>
              <w:rPr>
                <w:b/>
                <w:bCs/>
                <w:color w:val="000000"/>
                <w:sz w:val="20"/>
                <w:szCs w:val="20"/>
              </w:rPr>
            </w:pPr>
            <w:r w:rsidRPr="008520E2">
              <w:rPr>
                <w:b/>
                <w:bCs/>
                <w:color w:val="000000"/>
                <w:sz w:val="20"/>
                <w:szCs w:val="20"/>
              </w:rPr>
              <w:t>8.4</w:t>
            </w:r>
          </w:p>
        </w:tc>
        <w:tc>
          <w:tcPr>
            <w:tcW w:w="1004" w:type="dxa"/>
            <w:gridSpan w:val="2"/>
          </w:tcPr>
          <w:p w14:paraId="52693BBE" w14:textId="79EBB67A" w:rsidR="00C04D35" w:rsidRPr="008520E2" w:rsidRDefault="00C04D35" w:rsidP="008520E2">
            <w:pPr>
              <w:spacing w:line="360" w:lineRule="auto"/>
              <w:jc w:val="both"/>
              <w:rPr>
                <w:b/>
                <w:bCs/>
                <w:color w:val="000000"/>
                <w:sz w:val="20"/>
                <w:szCs w:val="20"/>
              </w:rPr>
            </w:pPr>
            <w:r w:rsidRPr="008520E2">
              <w:rPr>
                <w:b/>
                <w:bCs/>
                <w:color w:val="000000"/>
                <w:sz w:val="20"/>
                <w:szCs w:val="20"/>
              </w:rPr>
              <w:t>89.2</w:t>
            </w:r>
          </w:p>
        </w:tc>
        <w:tc>
          <w:tcPr>
            <w:tcW w:w="1110" w:type="dxa"/>
          </w:tcPr>
          <w:p w14:paraId="2A25C7DC" w14:textId="159B301F" w:rsidR="00C04D35" w:rsidRPr="008520E2" w:rsidRDefault="00C04D35" w:rsidP="008520E2">
            <w:pPr>
              <w:spacing w:line="360" w:lineRule="auto"/>
              <w:jc w:val="both"/>
              <w:rPr>
                <w:b/>
                <w:bCs/>
                <w:color w:val="000000"/>
                <w:sz w:val="20"/>
                <w:szCs w:val="20"/>
              </w:rPr>
            </w:pPr>
            <w:r w:rsidRPr="008520E2">
              <w:rPr>
                <w:b/>
                <w:bCs/>
                <w:color w:val="000000"/>
                <w:sz w:val="20"/>
                <w:szCs w:val="20"/>
              </w:rPr>
              <w:t>0.9</w:t>
            </w:r>
          </w:p>
        </w:tc>
        <w:tc>
          <w:tcPr>
            <w:tcW w:w="867" w:type="dxa"/>
          </w:tcPr>
          <w:p w14:paraId="631691CA" w14:textId="4A1AB7A2" w:rsidR="00C04D35" w:rsidRPr="008520E2" w:rsidRDefault="00C04D35" w:rsidP="008520E2">
            <w:pPr>
              <w:spacing w:line="360" w:lineRule="auto"/>
              <w:jc w:val="both"/>
              <w:rPr>
                <w:b/>
                <w:bCs/>
                <w:color w:val="000000"/>
                <w:sz w:val="20"/>
                <w:szCs w:val="20"/>
              </w:rPr>
            </w:pPr>
            <w:r w:rsidRPr="008520E2">
              <w:rPr>
                <w:b/>
                <w:bCs/>
                <w:color w:val="000000"/>
                <w:sz w:val="20"/>
                <w:szCs w:val="20"/>
              </w:rPr>
              <w:t>0.5</w:t>
            </w:r>
          </w:p>
        </w:tc>
        <w:tc>
          <w:tcPr>
            <w:tcW w:w="919" w:type="dxa"/>
          </w:tcPr>
          <w:p w14:paraId="0671029D" w14:textId="1EED6384" w:rsidR="00C04D35" w:rsidRPr="008520E2" w:rsidRDefault="00C04D35" w:rsidP="008520E2">
            <w:pPr>
              <w:spacing w:line="360" w:lineRule="auto"/>
              <w:jc w:val="both"/>
              <w:rPr>
                <w:b/>
                <w:bCs/>
                <w:color w:val="000000"/>
                <w:sz w:val="20"/>
                <w:szCs w:val="20"/>
              </w:rPr>
            </w:pPr>
            <w:r w:rsidRPr="008520E2">
              <w:rPr>
                <w:b/>
                <w:bCs/>
                <w:color w:val="000000"/>
                <w:sz w:val="20"/>
                <w:szCs w:val="20"/>
              </w:rPr>
              <w:t>0.25</w:t>
            </w:r>
          </w:p>
        </w:tc>
        <w:tc>
          <w:tcPr>
            <w:tcW w:w="908" w:type="dxa"/>
          </w:tcPr>
          <w:p w14:paraId="387E03A6" w14:textId="538E10AD" w:rsidR="00C04D35" w:rsidRPr="008520E2" w:rsidRDefault="00C04D35" w:rsidP="008520E2">
            <w:pPr>
              <w:spacing w:line="360" w:lineRule="auto"/>
              <w:jc w:val="both"/>
              <w:rPr>
                <w:b/>
                <w:bCs/>
                <w:color w:val="000000"/>
                <w:sz w:val="20"/>
                <w:szCs w:val="20"/>
              </w:rPr>
            </w:pPr>
            <w:r w:rsidRPr="008520E2">
              <w:rPr>
                <w:b/>
                <w:bCs/>
                <w:color w:val="000000"/>
                <w:sz w:val="20"/>
                <w:szCs w:val="20"/>
              </w:rPr>
              <w:t>0.5</w:t>
            </w:r>
          </w:p>
        </w:tc>
        <w:tc>
          <w:tcPr>
            <w:tcW w:w="841" w:type="dxa"/>
          </w:tcPr>
          <w:p w14:paraId="555EBD23" w14:textId="28870E4B" w:rsidR="00C04D35" w:rsidRPr="008520E2" w:rsidRDefault="00C04D35" w:rsidP="008520E2">
            <w:pPr>
              <w:spacing w:line="360" w:lineRule="auto"/>
              <w:jc w:val="both"/>
              <w:rPr>
                <w:b/>
                <w:bCs/>
                <w:color w:val="000000"/>
                <w:sz w:val="20"/>
                <w:szCs w:val="20"/>
              </w:rPr>
            </w:pPr>
            <w:r w:rsidRPr="008520E2">
              <w:rPr>
                <w:b/>
                <w:bCs/>
                <w:color w:val="000000"/>
                <w:sz w:val="20"/>
                <w:szCs w:val="20"/>
              </w:rPr>
              <w:t>0.25</w:t>
            </w:r>
          </w:p>
        </w:tc>
        <w:tc>
          <w:tcPr>
            <w:tcW w:w="987" w:type="dxa"/>
          </w:tcPr>
          <w:p w14:paraId="2E8ACCA5" w14:textId="391FD079" w:rsidR="00C04D35" w:rsidRPr="008520E2" w:rsidRDefault="00C04D35" w:rsidP="008520E2">
            <w:pPr>
              <w:spacing w:line="360" w:lineRule="auto"/>
              <w:jc w:val="both"/>
              <w:rPr>
                <w:b/>
                <w:bCs/>
                <w:color w:val="000000"/>
                <w:sz w:val="20"/>
                <w:szCs w:val="20"/>
              </w:rPr>
            </w:pPr>
            <w:r w:rsidRPr="008520E2">
              <w:rPr>
                <w:b/>
                <w:bCs/>
                <w:color w:val="000000"/>
                <w:sz w:val="20"/>
                <w:szCs w:val="20"/>
              </w:rPr>
              <w:t>100</w:t>
            </w:r>
          </w:p>
        </w:tc>
      </w:tr>
    </w:tbl>
    <w:p w14:paraId="0845AA61" w14:textId="1329878A" w:rsidR="00416ED5" w:rsidRDefault="00416ED5" w:rsidP="008520E2">
      <w:pPr>
        <w:spacing w:line="360" w:lineRule="auto"/>
        <w:jc w:val="both"/>
        <w:rPr>
          <w:sz w:val="20"/>
          <w:szCs w:val="20"/>
        </w:rPr>
      </w:pPr>
    </w:p>
    <w:p w14:paraId="0A67ED4C" w14:textId="77777777" w:rsidR="00D809AC" w:rsidRDefault="00D809AC" w:rsidP="008520E2">
      <w:pPr>
        <w:spacing w:line="360" w:lineRule="auto"/>
        <w:jc w:val="both"/>
        <w:rPr>
          <w:sz w:val="20"/>
          <w:szCs w:val="20"/>
        </w:rPr>
      </w:pPr>
    </w:p>
    <w:p w14:paraId="500737A7" w14:textId="77777777" w:rsidR="00D809AC" w:rsidRPr="008520E2" w:rsidRDefault="00D809AC" w:rsidP="008520E2">
      <w:pPr>
        <w:spacing w:line="360" w:lineRule="auto"/>
        <w:jc w:val="both"/>
        <w:rPr>
          <w:sz w:val="20"/>
          <w:szCs w:val="20"/>
        </w:rPr>
      </w:pPr>
    </w:p>
    <w:p w14:paraId="5AE902D8" w14:textId="77777777" w:rsidR="005E3211" w:rsidRPr="008520E2" w:rsidRDefault="00416ED5" w:rsidP="008520E2">
      <w:pPr>
        <w:spacing w:line="360" w:lineRule="auto"/>
        <w:jc w:val="both"/>
        <w:rPr>
          <w:b/>
          <w:sz w:val="20"/>
          <w:szCs w:val="20"/>
        </w:rPr>
      </w:pPr>
      <w:r w:rsidRPr="008520E2">
        <w:rPr>
          <w:sz w:val="20"/>
          <w:szCs w:val="20"/>
        </w:rPr>
        <w:t xml:space="preserve">          </w:t>
      </w:r>
      <w:r w:rsidR="005E3211" w:rsidRPr="008520E2">
        <w:rPr>
          <w:b/>
          <w:sz w:val="20"/>
          <w:szCs w:val="20"/>
        </w:rPr>
        <w:t>NEGATIVE FOR INTRAEPITHELIAL LESION OR MALIGNANCY</w:t>
      </w:r>
    </w:p>
    <w:p w14:paraId="62D0A407" w14:textId="3FEEE09A" w:rsidR="00127F0D" w:rsidRPr="00D809AC" w:rsidRDefault="00127F0D" w:rsidP="008520E2">
      <w:pPr>
        <w:spacing w:line="360" w:lineRule="auto"/>
        <w:jc w:val="both"/>
        <w:rPr>
          <w:sz w:val="20"/>
          <w:szCs w:val="20"/>
        </w:rPr>
      </w:pPr>
      <w:r w:rsidRPr="008520E2">
        <w:rPr>
          <w:sz w:val="20"/>
          <w:szCs w:val="20"/>
        </w:rPr>
        <w:t>The present study shows the distribution of case based on Bethesda 2014 Routine screening. Out of</w:t>
      </w:r>
      <w:r w:rsidR="00616540" w:rsidRPr="008520E2">
        <w:rPr>
          <w:sz w:val="20"/>
          <w:szCs w:val="20"/>
        </w:rPr>
        <w:t xml:space="preserve"> </w:t>
      </w:r>
      <w:r w:rsidR="001F1283" w:rsidRPr="008520E2">
        <w:rPr>
          <w:sz w:val="20"/>
          <w:szCs w:val="20"/>
        </w:rPr>
        <w:t>800</w:t>
      </w:r>
      <w:r w:rsidRPr="008520E2">
        <w:rPr>
          <w:sz w:val="20"/>
          <w:szCs w:val="20"/>
        </w:rPr>
        <w:t xml:space="preserve"> participants, </w:t>
      </w:r>
      <w:r w:rsidRPr="008520E2">
        <w:rPr>
          <w:color w:val="333333"/>
          <w:sz w:val="20"/>
          <w:szCs w:val="20"/>
          <w:shd w:val="clear" w:color="auto" w:fill="FFFFFF"/>
        </w:rPr>
        <w:t>Smears from 7</w:t>
      </w:r>
      <w:r w:rsidR="00CC3CA5" w:rsidRPr="008520E2">
        <w:rPr>
          <w:color w:val="333333"/>
          <w:sz w:val="20"/>
          <w:szCs w:val="20"/>
          <w:shd w:val="clear" w:color="auto" w:fill="FFFFFF"/>
        </w:rPr>
        <w:t>33</w:t>
      </w:r>
      <w:r w:rsidRPr="008520E2">
        <w:rPr>
          <w:color w:val="333333"/>
          <w:sz w:val="20"/>
          <w:szCs w:val="20"/>
          <w:shd w:val="clear" w:color="auto" w:fill="FFFFFF"/>
        </w:rPr>
        <w:t>(9</w:t>
      </w:r>
      <w:r w:rsidR="00CC3CA5" w:rsidRPr="008520E2">
        <w:rPr>
          <w:color w:val="333333"/>
          <w:sz w:val="20"/>
          <w:szCs w:val="20"/>
          <w:shd w:val="clear" w:color="auto" w:fill="FFFFFF"/>
        </w:rPr>
        <w:t>1.6</w:t>
      </w:r>
      <w:r w:rsidRPr="008520E2">
        <w:rPr>
          <w:color w:val="333333"/>
          <w:sz w:val="20"/>
          <w:szCs w:val="20"/>
          <w:shd w:val="clear" w:color="auto" w:fill="FFFFFF"/>
        </w:rPr>
        <w:t xml:space="preserve">%) patients were found satisfactory for reporting while the remaining </w:t>
      </w:r>
      <w:r w:rsidR="00CC3CA5" w:rsidRPr="008520E2">
        <w:rPr>
          <w:color w:val="333333"/>
          <w:sz w:val="20"/>
          <w:szCs w:val="20"/>
          <w:shd w:val="clear" w:color="auto" w:fill="FFFFFF"/>
        </w:rPr>
        <w:t>8.</w:t>
      </w:r>
      <w:r w:rsidR="00F705A9" w:rsidRPr="008520E2">
        <w:rPr>
          <w:color w:val="333333"/>
          <w:sz w:val="20"/>
          <w:szCs w:val="20"/>
          <w:shd w:val="clear" w:color="auto" w:fill="FFFFFF"/>
        </w:rPr>
        <w:t>4</w:t>
      </w:r>
      <w:r w:rsidRPr="008520E2">
        <w:rPr>
          <w:color w:val="333333"/>
          <w:sz w:val="20"/>
          <w:szCs w:val="20"/>
          <w:shd w:val="clear" w:color="auto" w:fill="FFFFFF"/>
        </w:rPr>
        <w:t>% was unsatisfactory.</w:t>
      </w:r>
      <w:r w:rsidRPr="008520E2">
        <w:rPr>
          <w:sz w:val="20"/>
          <w:szCs w:val="20"/>
        </w:rPr>
        <w:t xml:space="preserve"> Of the 714 NILM Pap smears, the most common finding was non-specific inflammation which was present in 286 Pap smears. Among these 286 inflammatory Pap smears, 51 were associated with infection with the most common infection being bacterial vaginosis in 36 followed by candidiasis in 13 cases.4 cases were of trichomonas vaginalis and 2 cases of herpes simplex virus infection.</w:t>
      </w:r>
      <w:r w:rsidRPr="008520E2">
        <w:rPr>
          <w:b/>
          <w:bCs/>
          <w:sz w:val="20"/>
          <w:szCs w:val="20"/>
        </w:rPr>
        <w:t xml:space="preserve"> (Table </w:t>
      </w:r>
      <w:r w:rsidR="00225C44" w:rsidRPr="008520E2">
        <w:rPr>
          <w:b/>
          <w:bCs/>
          <w:sz w:val="20"/>
          <w:szCs w:val="20"/>
        </w:rPr>
        <w:t>3</w:t>
      </w:r>
      <w:r w:rsidRPr="008520E2">
        <w:rPr>
          <w:b/>
          <w:bCs/>
          <w:sz w:val="20"/>
          <w:szCs w:val="20"/>
        </w:rPr>
        <w:t xml:space="preserve"> </w:t>
      </w:r>
      <w:r w:rsidR="00225C44" w:rsidRPr="008520E2">
        <w:rPr>
          <w:b/>
          <w:bCs/>
          <w:sz w:val="20"/>
          <w:szCs w:val="20"/>
        </w:rPr>
        <w:t>)</w:t>
      </w:r>
    </w:p>
    <w:p w14:paraId="173127A4" w14:textId="7544796F" w:rsidR="005E3211" w:rsidRPr="008520E2" w:rsidRDefault="005E3211" w:rsidP="008520E2">
      <w:pPr>
        <w:spacing w:line="360" w:lineRule="auto"/>
        <w:jc w:val="both"/>
        <w:rPr>
          <w:b/>
          <w:sz w:val="20"/>
          <w:szCs w:val="20"/>
        </w:rPr>
      </w:pPr>
      <w:r w:rsidRPr="008520E2">
        <w:rPr>
          <w:b/>
          <w:sz w:val="20"/>
          <w:szCs w:val="20"/>
        </w:rPr>
        <w:t xml:space="preserve">TABLE </w:t>
      </w:r>
      <w:r w:rsidR="00225C44" w:rsidRPr="008520E2">
        <w:rPr>
          <w:b/>
          <w:sz w:val="20"/>
          <w:szCs w:val="20"/>
        </w:rPr>
        <w:t xml:space="preserve">3 : </w:t>
      </w:r>
      <w:r w:rsidRPr="008520E2">
        <w:rPr>
          <w:b/>
          <w:sz w:val="20"/>
          <w:szCs w:val="20"/>
        </w:rPr>
        <w:t xml:space="preserve"> Negative for intraepithelial lesion or malignancy</w:t>
      </w:r>
    </w:p>
    <w:tbl>
      <w:tblPr>
        <w:tblW w:w="81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811"/>
        <w:gridCol w:w="792"/>
      </w:tblGrid>
      <w:tr w:rsidR="005E3211" w:rsidRPr="008520E2" w14:paraId="45CDFD60" w14:textId="77777777" w:rsidTr="00ED0AA6">
        <w:trPr>
          <w:trHeight w:val="571"/>
        </w:trPr>
        <w:tc>
          <w:tcPr>
            <w:tcW w:w="553" w:type="dxa"/>
            <w:shd w:val="clear" w:color="auto" w:fill="auto"/>
            <w:vAlign w:val="center"/>
            <w:hideMark/>
          </w:tcPr>
          <w:p w14:paraId="53CA74D3" w14:textId="77777777" w:rsidR="005E3211" w:rsidRPr="008520E2" w:rsidRDefault="005E3211" w:rsidP="008520E2">
            <w:pPr>
              <w:spacing w:line="360" w:lineRule="auto"/>
              <w:jc w:val="both"/>
              <w:rPr>
                <w:b/>
                <w:bCs/>
                <w:color w:val="000000"/>
                <w:sz w:val="20"/>
                <w:szCs w:val="20"/>
              </w:rPr>
            </w:pPr>
            <w:r w:rsidRPr="008520E2">
              <w:rPr>
                <w:b/>
                <w:bCs/>
                <w:color w:val="000000"/>
                <w:sz w:val="20"/>
                <w:szCs w:val="20"/>
              </w:rPr>
              <w:t>Sl. No.</w:t>
            </w:r>
          </w:p>
        </w:tc>
        <w:tc>
          <w:tcPr>
            <w:tcW w:w="6811" w:type="dxa"/>
            <w:shd w:val="clear" w:color="auto" w:fill="auto"/>
            <w:vAlign w:val="center"/>
            <w:hideMark/>
          </w:tcPr>
          <w:p w14:paraId="18F0AFFA" w14:textId="77777777" w:rsidR="005E3211" w:rsidRPr="008520E2" w:rsidRDefault="005E3211" w:rsidP="008520E2">
            <w:pPr>
              <w:spacing w:line="360" w:lineRule="auto"/>
              <w:jc w:val="both"/>
              <w:rPr>
                <w:b/>
                <w:bCs/>
                <w:color w:val="000000"/>
                <w:sz w:val="20"/>
                <w:szCs w:val="20"/>
              </w:rPr>
            </w:pPr>
            <w:r w:rsidRPr="008520E2">
              <w:rPr>
                <w:b/>
                <w:bCs/>
                <w:color w:val="000000"/>
                <w:sz w:val="20"/>
                <w:szCs w:val="20"/>
              </w:rPr>
              <w:t>Diagnosis</w:t>
            </w:r>
          </w:p>
        </w:tc>
        <w:tc>
          <w:tcPr>
            <w:tcW w:w="792" w:type="dxa"/>
            <w:shd w:val="clear" w:color="auto" w:fill="auto"/>
            <w:vAlign w:val="center"/>
            <w:hideMark/>
          </w:tcPr>
          <w:p w14:paraId="649BBDD2" w14:textId="77777777" w:rsidR="005E3211" w:rsidRPr="008520E2" w:rsidRDefault="005E3211" w:rsidP="008520E2">
            <w:pPr>
              <w:spacing w:line="360" w:lineRule="auto"/>
              <w:jc w:val="both"/>
              <w:rPr>
                <w:b/>
                <w:bCs/>
                <w:color w:val="000000"/>
                <w:sz w:val="20"/>
                <w:szCs w:val="20"/>
              </w:rPr>
            </w:pPr>
            <w:r w:rsidRPr="008520E2">
              <w:rPr>
                <w:b/>
                <w:bCs/>
                <w:color w:val="000000"/>
                <w:sz w:val="20"/>
                <w:szCs w:val="20"/>
              </w:rPr>
              <w:t>Total</w:t>
            </w:r>
          </w:p>
        </w:tc>
      </w:tr>
      <w:tr w:rsidR="005E3211" w:rsidRPr="008520E2" w14:paraId="5101D8B5" w14:textId="77777777" w:rsidTr="00ED0AA6">
        <w:trPr>
          <w:trHeight w:val="286"/>
        </w:trPr>
        <w:tc>
          <w:tcPr>
            <w:tcW w:w="553" w:type="dxa"/>
            <w:shd w:val="clear" w:color="auto" w:fill="auto"/>
            <w:noWrap/>
            <w:vAlign w:val="center"/>
          </w:tcPr>
          <w:p w14:paraId="0A7E2EC9" w14:textId="77777777" w:rsidR="005E3211" w:rsidRPr="008520E2" w:rsidRDefault="005E3211" w:rsidP="008520E2">
            <w:pPr>
              <w:pStyle w:val="ListParagraph"/>
              <w:numPr>
                <w:ilvl w:val="0"/>
                <w:numId w:val="2"/>
              </w:numPr>
              <w:spacing w:after="0" w:line="360" w:lineRule="auto"/>
              <w:ind w:hanging="720"/>
              <w:jc w:val="both"/>
              <w:rPr>
                <w:rFonts w:ascii="Times New Roman" w:eastAsia="Times New Roman" w:hAnsi="Times New Roman" w:cs="Times New Roman"/>
                <w:color w:val="000000"/>
                <w:sz w:val="20"/>
                <w:szCs w:val="20"/>
                <w:lang w:val="en-US"/>
              </w:rPr>
            </w:pPr>
          </w:p>
        </w:tc>
        <w:tc>
          <w:tcPr>
            <w:tcW w:w="6811" w:type="dxa"/>
            <w:shd w:val="clear" w:color="auto" w:fill="auto"/>
            <w:vAlign w:val="center"/>
            <w:hideMark/>
          </w:tcPr>
          <w:p w14:paraId="25D57F81" w14:textId="6DCF1C6F" w:rsidR="005E3211" w:rsidRPr="008520E2" w:rsidRDefault="005E3211" w:rsidP="008520E2">
            <w:pPr>
              <w:spacing w:line="360" w:lineRule="auto"/>
              <w:jc w:val="both"/>
              <w:rPr>
                <w:color w:val="000000"/>
                <w:sz w:val="20"/>
                <w:szCs w:val="20"/>
              </w:rPr>
            </w:pPr>
            <w:r w:rsidRPr="008520E2">
              <w:rPr>
                <w:color w:val="000000"/>
                <w:sz w:val="20"/>
                <w:szCs w:val="20"/>
              </w:rPr>
              <w:t>Atrophic cervicitis</w:t>
            </w:r>
          </w:p>
        </w:tc>
        <w:tc>
          <w:tcPr>
            <w:tcW w:w="792" w:type="dxa"/>
            <w:shd w:val="clear" w:color="auto" w:fill="auto"/>
            <w:noWrap/>
            <w:vAlign w:val="center"/>
            <w:hideMark/>
          </w:tcPr>
          <w:p w14:paraId="0A895155" w14:textId="49CB6FC7" w:rsidR="005E3211" w:rsidRPr="008520E2" w:rsidRDefault="001F1283" w:rsidP="008520E2">
            <w:pPr>
              <w:spacing w:line="360" w:lineRule="auto"/>
              <w:jc w:val="both"/>
              <w:rPr>
                <w:b/>
                <w:bCs/>
                <w:color w:val="000000"/>
                <w:sz w:val="20"/>
                <w:szCs w:val="20"/>
              </w:rPr>
            </w:pPr>
            <w:r w:rsidRPr="008520E2">
              <w:rPr>
                <w:b/>
                <w:bCs/>
                <w:color w:val="000000"/>
                <w:sz w:val="20"/>
                <w:szCs w:val="20"/>
              </w:rPr>
              <w:t>80</w:t>
            </w:r>
          </w:p>
        </w:tc>
      </w:tr>
      <w:tr w:rsidR="005E3211" w:rsidRPr="008520E2" w14:paraId="48D57A1D" w14:textId="77777777" w:rsidTr="00ED0AA6">
        <w:trPr>
          <w:trHeight w:val="286"/>
        </w:trPr>
        <w:tc>
          <w:tcPr>
            <w:tcW w:w="553" w:type="dxa"/>
            <w:shd w:val="clear" w:color="auto" w:fill="auto"/>
            <w:noWrap/>
            <w:vAlign w:val="center"/>
          </w:tcPr>
          <w:p w14:paraId="4EE385C0" w14:textId="77777777" w:rsidR="005E3211" w:rsidRPr="008520E2" w:rsidRDefault="005E3211" w:rsidP="008520E2">
            <w:pPr>
              <w:pStyle w:val="ListParagraph"/>
              <w:numPr>
                <w:ilvl w:val="0"/>
                <w:numId w:val="2"/>
              </w:numPr>
              <w:spacing w:after="0" w:line="360" w:lineRule="auto"/>
              <w:ind w:hanging="720"/>
              <w:jc w:val="both"/>
              <w:rPr>
                <w:rFonts w:ascii="Times New Roman" w:eastAsia="Times New Roman" w:hAnsi="Times New Roman" w:cs="Times New Roman"/>
                <w:color w:val="000000"/>
                <w:sz w:val="20"/>
                <w:szCs w:val="20"/>
                <w:lang w:val="en-US"/>
              </w:rPr>
            </w:pPr>
          </w:p>
        </w:tc>
        <w:tc>
          <w:tcPr>
            <w:tcW w:w="6811" w:type="dxa"/>
            <w:shd w:val="clear" w:color="auto" w:fill="auto"/>
            <w:vAlign w:val="center"/>
            <w:hideMark/>
          </w:tcPr>
          <w:p w14:paraId="098EE31B" w14:textId="77777777" w:rsidR="005E3211" w:rsidRPr="008520E2" w:rsidRDefault="005E3211" w:rsidP="008520E2">
            <w:pPr>
              <w:spacing w:line="360" w:lineRule="auto"/>
              <w:jc w:val="both"/>
              <w:rPr>
                <w:color w:val="000000"/>
                <w:sz w:val="20"/>
                <w:szCs w:val="20"/>
              </w:rPr>
            </w:pPr>
            <w:r w:rsidRPr="008520E2">
              <w:rPr>
                <w:color w:val="000000"/>
                <w:sz w:val="20"/>
                <w:szCs w:val="20"/>
              </w:rPr>
              <w:t>Chronic Cervicitis</w:t>
            </w:r>
          </w:p>
        </w:tc>
        <w:tc>
          <w:tcPr>
            <w:tcW w:w="792" w:type="dxa"/>
            <w:shd w:val="clear" w:color="auto" w:fill="auto"/>
            <w:noWrap/>
            <w:vAlign w:val="center"/>
            <w:hideMark/>
          </w:tcPr>
          <w:p w14:paraId="49AB39CE" w14:textId="55BB6D8E" w:rsidR="005E3211" w:rsidRPr="008520E2" w:rsidRDefault="001F1283" w:rsidP="008520E2">
            <w:pPr>
              <w:spacing w:line="360" w:lineRule="auto"/>
              <w:jc w:val="both"/>
              <w:rPr>
                <w:b/>
                <w:bCs/>
                <w:color w:val="000000"/>
                <w:sz w:val="20"/>
                <w:szCs w:val="20"/>
              </w:rPr>
            </w:pPr>
            <w:r w:rsidRPr="008520E2">
              <w:rPr>
                <w:b/>
                <w:bCs/>
                <w:color w:val="000000"/>
                <w:sz w:val="20"/>
                <w:szCs w:val="20"/>
              </w:rPr>
              <w:t>198</w:t>
            </w:r>
          </w:p>
        </w:tc>
      </w:tr>
      <w:tr w:rsidR="005E3211" w:rsidRPr="008520E2" w14:paraId="061F1B31" w14:textId="77777777" w:rsidTr="00ED0AA6">
        <w:trPr>
          <w:trHeight w:val="43"/>
        </w:trPr>
        <w:tc>
          <w:tcPr>
            <w:tcW w:w="553" w:type="dxa"/>
            <w:shd w:val="clear" w:color="auto" w:fill="auto"/>
            <w:noWrap/>
            <w:vAlign w:val="center"/>
          </w:tcPr>
          <w:p w14:paraId="40BA820D" w14:textId="77777777" w:rsidR="005E3211" w:rsidRPr="008520E2" w:rsidRDefault="005E3211" w:rsidP="008520E2">
            <w:pPr>
              <w:pStyle w:val="ListParagraph"/>
              <w:numPr>
                <w:ilvl w:val="0"/>
                <w:numId w:val="2"/>
              </w:numPr>
              <w:spacing w:after="0" w:line="360" w:lineRule="auto"/>
              <w:ind w:hanging="720"/>
              <w:jc w:val="both"/>
              <w:rPr>
                <w:rFonts w:ascii="Times New Roman" w:eastAsia="Times New Roman" w:hAnsi="Times New Roman" w:cs="Times New Roman"/>
                <w:color w:val="000000"/>
                <w:sz w:val="20"/>
                <w:szCs w:val="20"/>
                <w:lang w:val="en-US"/>
              </w:rPr>
            </w:pPr>
          </w:p>
        </w:tc>
        <w:tc>
          <w:tcPr>
            <w:tcW w:w="6811" w:type="dxa"/>
            <w:shd w:val="clear" w:color="auto" w:fill="auto"/>
            <w:vAlign w:val="center"/>
            <w:hideMark/>
          </w:tcPr>
          <w:p w14:paraId="4E1C0C8E" w14:textId="5D2E44E0" w:rsidR="005E3211" w:rsidRPr="008520E2" w:rsidRDefault="005E3211" w:rsidP="008520E2">
            <w:pPr>
              <w:spacing w:line="360" w:lineRule="auto"/>
              <w:jc w:val="both"/>
              <w:rPr>
                <w:color w:val="000000"/>
                <w:sz w:val="20"/>
                <w:szCs w:val="20"/>
              </w:rPr>
            </w:pPr>
            <w:r w:rsidRPr="008520E2">
              <w:rPr>
                <w:color w:val="000000"/>
                <w:sz w:val="20"/>
                <w:szCs w:val="20"/>
              </w:rPr>
              <w:t>Chronic Cervicitis with</w:t>
            </w:r>
            <w:r w:rsidR="00616540" w:rsidRPr="008520E2">
              <w:rPr>
                <w:color w:val="000000"/>
                <w:sz w:val="20"/>
                <w:szCs w:val="20"/>
              </w:rPr>
              <w:t xml:space="preserve"> </w:t>
            </w:r>
            <w:r w:rsidRPr="008520E2">
              <w:rPr>
                <w:color w:val="000000"/>
                <w:sz w:val="20"/>
                <w:szCs w:val="20"/>
              </w:rPr>
              <w:t>squamous metaplasia</w:t>
            </w:r>
          </w:p>
        </w:tc>
        <w:tc>
          <w:tcPr>
            <w:tcW w:w="792" w:type="dxa"/>
            <w:shd w:val="clear" w:color="auto" w:fill="auto"/>
            <w:noWrap/>
            <w:vAlign w:val="center"/>
            <w:hideMark/>
          </w:tcPr>
          <w:p w14:paraId="251A89A4" w14:textId="1266D16E" w:rsidR="005E3211" w:rsidRPr="008520E2" w:rsidRDefault="001F1283" w:rsidP="008520E2">
            <w:pPr>
              <w:spacing w:line="360" w:lineRule="auto"/>
              <w:jc w:val="both"/>
              <w:rPr>
                <w:b/>
                <w:bCs/>
                <w:color w:val="000000"/>
                <w:sz w:val="20"/>
                <w:szCs w:val="20"/>
              </w:rPr>
            </w:pPr>
            <w:r w:rsidRPr="008520E2">
              <w:rPr>
                <w:b/>
                <w:bCs/>
                <w:color w:val="000000"/>
                <w:sz w:val="20"/>
                <w:szCs w:val="20"/>
              </w:rPr>
              <w:t>8</w:t>
            </w:r>
          </w:p>
        </w:tc>
      </w:tr>
      <w:tr w:rsidR="005E3211" w:rsidRPr="008520E2" w14:paraId="31339889" w14:textId="77777777" w:rsidTr="00ED0AA6">
        <w:trPr>
          <w:trHeight w:val="286"/>
        </w:trPr>
        <w:tc>
          <w:tcPr>
            <w:tcW w:w="553" w:type="dxa"/>
            <w:shd w:val="clear" w:color="auto" w:fill="auto"/>
            <w:noWrap/>
            <w:vAlign w:val="center"/>
          </w:tcPr>
          <w:p w14:paraId="7262ECA2" w14:textId="77777777" w:rsidR="005E3211" w:rsidRPr="008520E2" w:rsidRDefault="005E3211" w:rsidP="008520E2">
            <w:pPr>
              <w:pStyle w:val="ListParagraph"/>
              <w:numPr>
                <w:ilvl w:val="0"/>
                <w:numId w:val="2"/>
              </w:numPr>
              <w:spacing w:after="0" w:line="360" w:lineRule="auto"/>
              <w:ind w:hanging="720"/>
              <w:jc w:val="both"/>
              <w:rPr>
                <w:rFonts w:ascii="Times New Roman" w:eastAsia="Times New Roman" w:hAnsi="Times New Roman" w:cs="Times New Roman"/>
                <w:color w:val="000000"/>
                <w:sz w:val="20"/>
                <w:szCs w:val="20"/>
                <w:lang w:val="en-US"/>
              </w:rPr>
            </w:pPr>
          </w:p>
        </w:tc>
        <w:tc>
          <w:tcPr>
            <w:tcW w:w="6811" w:type="dxa"/>
            <w:shd w:val="clear" w:color="auto" w:fill="auto"/>
            <w:vAlign w:val="bottom"/>
            <w:hideMark/>
          </w:tcPr>
          <w:p w14:paraId="581CE7C7" w14:textId="77777777" w:rsidR="005E3211" w:rsidRPr="008520E2" w:rsidRDefault="005E3211" w:rsidP="008520E2">
            <w:pPr>
              <w:spacing w:line="360" w:lineRule="auto"/>
              <w:jc w:val="both"/>
              <w:rPr>
                <w:color w:val="000000"/>
                <w:sz w:val="20"/>
                <w:szCs w:val="20"/>
              </w:rPr>
            </w:pPr>
            <w:r w:rsidRPr="008520E2">
              <w:rPr>
                <w:color w:val="000000"/>
                <w:sz w:val="20"/>
                <w:szCs w:val="20"/>
              </w:rPr>
              <w:t>Chronic Cervicitis with candidiasis</w:t>
            </w:r>
          </w:p>
        </w:tc>
        <w:tc>
          <w:tcPr>
            <w:tcW w:w="792" w:type="dxa"/>
            <w:shd w:val="clear" w:color="auto" w:fill="auto"/>
            <w:noWrap/>
            <w:vAlign w:val="center"/>
            <w:hideMark/>
          </w:tcPr>
          <w:p w14:paraId="67F4B0E8" w14:textId="09F5A2FD" w:rsidR="005E3211" w:rsidRPr="008520E2" w:rsidRDefault="001F1283" w:rsidP="008520E2">
            <w:pPr>
              <w:spacing w:line="360" w:lineRule="auto"/>
              <w:jc w:val="both"/>
              <w:rPr>
                <w:b/>
                <w:bCs/>
                <w:color w:val="000000"/>
                <w:sz w:val="20"/>
                <w:szCs w:val="20"/>
              </w:rPr>
            </w:pPr>
            <w:r w:rsidRPr="008520E2">
              <w:rPr>
                <w:b/>
                <w:bCs/>
                <w:color w:val="000000"/>
                <w:sz w:val="20"/>
                <w:szCs w:val="20"/>
              </w:rPr>
              <w:t>13</w:t>
            </w:r>
          </w:p>
        </w:tc>
      </w:tr>
      <w:tr w:rsidR="005E3211" w:rsidRPr="008520E2" w14:paraId="5E4EBF4C" w14:textId="77777777" w:rsidTr="00ED0AA6">
        <w:trPr>
          <w:trHeight w:val="98"/>
        </w:trPr>
        <w:tc>
          <w:tcPr>
            <w:tcW w:w="553" w:type="dxa"/>
            <w:shd w:val="clear" w:color="auto" w:fill="auto"/>
            <w:noWrap/>
            <w:vAlign w:val="center"/>
          </w:tcPr>
          <w:p w14:paraId="236F9AF6" w14:textId="77777777" w:rsidR="005E3211" w:rsidRPr="008520E2" w:rsidRDefault="005E3211" w:rsidP="008520E2">
            <w:pPr>
              <w:pStyle w:val="ListParagraph"/>
              <w:numPr>
                <w:ilvl w:val="0"/>
                <w:numId w:val="2"/>
              </w:numPr>
              <w:spacing w:after="0" w:line="360" w:lineRule="auto"/>
              <w:ind w:hanging="720"/>
              <w:jc w:val="both"/>
              <w:rPr>
                <w:rFonts w:ascii="Times New Roman" w:eastAsia="Times New Roman" w:hAnsi="Times New Roman" w:cs="Times New Roman"/>
                <w:color w:val="000000"/>
                <w:sz w:val="20"/>
                <w:szCs w:val="20"/>
                <w:lang w:val="en-US"/>
              </w:rPr>
            </w:pPr>
          </w:p>
        </w:tc>
        <w:tc>
          <w:tcPr>
            <w:tcW w:w="6811" w:type="dxa"/>
            <w:shd w:val="clear" w:color="auto" w:fill="auto"/>
            <w:vAlign w:val="bottom"/>
            <w:hideMark/>
          </w:tcPr>
          <w:p w14:paraId="0B988505" w14:textId="77777777" w:rsidR="005E3211" w:rsidRPr="008520E2" w:rsidRDefault="005E3211" w:rsidP="008520E2">
            <w:pPr>
              <w:spacing w:line="360" w:lineRule="auto"/>
              <w:jc w:val="both"/>
              <w:rPr>
                <w:color w:val="000000"/>
                <w:sz w:val="20"/>
                <w:szCs w:val="20"/>
              </w:rPr>
            </w:pPr>
            <w:r w:rsidRPr="008520E2">
              <w:rPr>
                <w:color w:val="000000"/>
                <w:sz w:val="20"/>
                <w:szCs w:val="20"/>
              </w:rPr>
              <w:t>Chronic Cervicitis with gardnerella vaginalis infection (Bacterial vaginosis)</w:t>
            </w:r>
          </w:p>
        </w:tc>
        <w:tc>
          <w:tcPr>
            <w:tcW w:w="792" w:type="dxa"/>
            <w:shd w:val="clear" w:color="auto" w:fill="auto"/>
            <w:noWrap/>
            <w:vAlign w:val="center"/>
            <w:hideMark/>
          </w:tcPr>
          <w:p w14:paraId="7533C663" w14:textId="5AA33EBD" w:rsidR="005E3211" w:rsidRPr="008520E2" w:rsidRDefault="001F1283" w:rsidP="008520E2">
            <w:pPr>
              <w:spacing w:line="360" w:lineRule="auto"/>
              <w:jc w:val="both"/>
              <w:rPr>
                <w:b/>
                <w:bCs/>
                <w:color w:val="000000"/>
                <w:sz w:val="20"/>
                <w:szCs w:val="20"/>
              </w:rPr>
            </w:pPr>
            <w:r w:rsidRPr="008520E2">
              <w:rPr>
                <w:b/>
                <w:bCs/>
                <w:color w:val="000000"/>
                <w:sz w:val="20"/>
                <w:szCs w:val="20"/>
              </w:rPr>
              <w:t>36</w:t>
            </w:r>
          </w:p>
        </w:tc>
      </w:tr>
      <w:tr w:rsidR="005E3211" w:rsidRPr="008520E2" w14:paraId="019A2C33" w14:textId="77777777" w:rsidTr="00ED0AA6">
        <w:trPr>
          <w:trHeight w:val="43"/>
        </w:trPr>
        <w:tc>
          <w:tcPr>
            <w:tcW w:w="553" w:type="dxa"/>
            <w:shd w:val="clear" w:color="auto" w:fill="auto"/>
            <w:noWrap/>
            <w:vAlign w:val="center"/>
          </w:tcPr>
          <w:p w14:paraId="6FDBD6A1" w14:textId="77777777" w:rsidR="005E3211" w:rsidRPr="008520E2" w:rsidRDefault="005E3211" w:rsidP="008520E2">
            <w:pPr>
              <w:pStyle w:val="ListParagraph"/>
              <w:numPr>
                <w:ilvl w:val="0"/>
                <w:numId w:val="2"/>
              </w:numPr>
              <w:spacing w:after="0" w:line="360" w:lineRule="auto"/>
              <w:ind w:hanging="720"/>
              <w:jc w:val="both"/>
              <w:rPr>
                <w:rFonts w:ascii="Times New Roman" w:eastAsia="Times New Roman" w:hAnsi="Times New Roman" w:cs="Times New Roman"/>
                <w:color w:val="000000"/>
                <w:sz w:val="20"/>
                <w:szCs w:val="20"/>
                <w:lang w:val="en-US"/>
              </w:rPr>
            </w:pPr>
          </w:p>
        </w:tc>
        <w:tc>
          <w:tcPr>
            <w:tcW w:w="6811" w:type="dxa"/>
            <w:shd w:val="clear" w:color="auto" w:fill="auto"/>
            <w:vAlign w:val="bottom"/>
            <w:hideMark/>
          </w:tcPr>
          <w:p w14:paraId="5FC5DC37" w14:textId="77777777" w:rsidR="005E3211" w:rsidRPr="008520E2" w:rsidRDefault="005E3211" w:rsidP="008520E2">
            <w:pPr>
              <w:spacing w:line="360" w:lineRule="auto"/>
              <w:jc w:val="both"/>
              <w:rPr>
                <w:color w:val="000000"/>
                <w:sz w:val="20"/>
                <w:szCs w:val="20"/>
              </w:rPr>
            </w:pPr>
            <w:r w:rsidRPr="008520E2">
              <w:rPr>
                <w:color w:val="000000"/>
                <w:sz w:val="20"/>
                <w:szCs w:val="20"/>
              </w:rPr>
              <w:t>Chronic Cervicitis with trichomonas vaginalis infection &amp; infestation</w:t>
            </w:r>
          </w:p>
        </w:tc>
        <w:tc>
          <w:tcPr>
            <w:tcW w:w="792" w:type="dxa"/>
            <w:shd w:val="clear" w:color="auto" w:fill="auto"/>
            <w:noWrap/>
            <w:vAlign w:val="center"/>
            <w:hideMark/>
          </w:tcPr>
          <w:p w14:paraId="449E2264" w14:textId="2F7A883F" w:rsidR="005E3211" w:rsidRPr="008520E2" w:rsidRDefault="001F1283" w:rsidP="008520E2">
            <w:pPr>
              <w:spacing w:line="360" w:lineRule="auto"/>
              <w:jc w:val="both"/>
              <w:rPr>
                <w:b/>
                <w:bCs/>
                <w:color w:val="000000"/>
                <w:sz w:val="20"/>
                <w:szCs w:val="20"/>
              </w:rPr>
            </w:pPr>
            <w:r w:rsidRPr="008520E2">
              <w:rPr>
                <w:b/>
                <w:bCs/>
                <w:color w:val="000000"/>
                <w:sz w:val="20"/>
                <w:szCs w:val="20"/>
              </w:rPr>
              <w:t>4</w:t>
            </w:r>
          </w:p>
        </w:tc>
      </w:tr>
      <w:tr w:rsidR="005E3211" w:rsidRPr="008520E2" w14:paraId="5E004E01" w14:textId="77777777" w:rsidTr="00ED0AA6">
        <w:trPr>
          <w:trHeight w:val="143"/>
        </w:trPr>
        <w:tc>
          <w:tcPr>
            <w:tcW w:w="553" w:type="dxa"/>
            <w:shd w:val="clear" w:color="auto" w:fill="auto"/>
            <w:noWrap/>
            <w:vAlign w:val="center"/>
          </w:tcPr>
          <w:p w14:paraId="5EC234EC" w14:textId="77777777" w:rsidR="005E3211" w:rsidRPr="008520E2" w:rsidRDefault="005E3211" w:rsidP="008520E2">
            <w:pPr>
              <w:pStyle w:val="ListParagraph"/>
              <w:numPr>
                <w:ilvl w:val="0"/>
                <w:numId w:val="2"/>
              </w:numPr>
              <w:spacing w:after="0" w:line="360" w:lineRule="auto"/>
              <w:ind w:hanging="720"/>
              <w:jc w:val="both"/>
              <w:rPr>
                <w:rFonts w:ascii="Times New Roman" w:eastAsia="Times New Roman" w:hAnsi="Times New Roman" w:cs="Times New Roman"/>
                <w:color w:val="000000"/>
                <w:sz w:val="20"/>
                <w:szCs w:val="20"/>
                <w:lang w:val="en-US"/>
              </w:rPr>
            </w:pPr>
          </w:p>
        </w:tc>
        <w:tc>
          <w:tcPr>
            <w:tcW w:w="6811" w:type="dxa"/>
            <w:shd w:val="clear" w:color="auto" w:fill="auto"/>
            <w:vAlign w:val="bottom"/>
            <w:hideMark/>
          </w:tcPr>
          <w:p w14:paraId="5B753054" w14:textId="77777777" w:rsidR="005E3211" w:rsidRPr="008520E2" w:rsidRDefault="005E3211" w:rsidP="008520E2">
            <w:pPr>
              <w:spacing w:line="360" w:lineRule="auto"/>
              <w:jc w:val="both"/>
              <w:rPr>
                <w:color w:val="000000"/>
                <w:sz w:val="20"/>
                <w:szCs w:val="20"/>
              </w:rPr>
            </w:pPr>
            <w:r w:rsidRPr="008520E2">
              <w:rPr>
                <w:color w:val="000000"/>
                <w:sz w:val="20"/>
                <w:szCs w:val="20"/>
              </w:rPr>
              <w:t>Smear are negative for malignant cells</w:t>
            </w:r>
          </w:p>
        </w:tc>
        <w:tc>
          <w:tcPr>
            <w:tcW w:w="792" w:type="dxa"/>
            <w:shd w:val="clear" w:color="auto" w:fill="auto"/>
            <w:noWrap/>
            <w:vAlign w:val="center"/>
            <w:hideMark/>
          </w:tcPr>
          <w:p w14:paraId="39CBE440" w14:textId="3EB5AC8C" w:rsidR="005E3211" w:rsidRPr="008520E2" w:rsidRDefault="00436344" w:rsidP="008520E2">
            <w:pPr>
              <w:spacing w:line="360" w:lineRule="auto"/>
              <w:jc w:val="both"/>
              <w:rPr>
                <w:b/>
                <w:bCs/>
                <w:color w:val="000000"/>
                <w:sz w:val="20"/>
                <w:szCs w:val="20"/>
              </w:rPr>
            </w:pPr>
            <w:r w:rsidRPr="008520E2">
              <w:rPr>
                <w:b/>
                <w:bCs/>
                <w:color w:val="000000"/>
                <w:sz w:val="20"/>
                <w:szCs w:val="20"/>
              </w:rPr>
              <w:t>428</w:t>
            </w:r>
          </w:p>
        </w:tc>
      </w:tr>
      <w:tr w:rsidR="005E3211" w:rsidRPr="008520E2" w14:paraId="209E26ED" w14:textId="77777777" w:rsidTr="00ED0AA6">
        <w:trPr>
          <w:trHeight w:val="43"/>
        </w:trPr>
        <w:tc>
          <w:tcPr>
            <w:tcW w:w="7364" w:type="dxa"/>
            <w:gridSpan w:val="2"/>
            <w:shd w:val="clear" w:color="auto" w:fill="auto"/>
            <w:vAlign w:val="bottom"/>
            <w:hideMark/>
          </w:tcPr>
          <w:p w14:paraId="0A83E951" w14:textId="77777777" w:rsidR="005E3211" w:rsidRPr="008520E2" w:rsidRDefault="005E3211" w:rsidP="008520E2">
            <w:pPr>
              <w:spacing w:line="360" w:lineRule="auto"/>
              <w:jc w:val="both"/>
              <w:rPr>
                <w:b/>
                <w:bCs/>
                <w:color w:val="000000"/>
                <w:sz w:val="20"/>
                <w:szCs w:val="20"/>
              </w:rPr>
            </w:pPr>
            <w:r w:rsidRPr="008520E2">
              <w:rPr>
                <w:b/>
                <w:bCs/>
                <w:color w:val="000000"/>
                <w:sz w:val="20"/>
                <w:szCs w:val="20"/>
              </w:rPr>
              <w:t>TOTAL</w:t>
            </w:r>
          </w:p>
        </w:tc>
        <w:tc>
          <w:tcPr>
            <w:tcW w:w="792" w:type="dxa"/>
            <w:shd w:val="clear" w:color="auto" w:fill="auto"/>
            <w:noWrap/>
            <w:vAlign w:val="center"/>
            <w:hideMark/>
          </w:tcPr>
          <w:p w14:paraId="019A899E" w14:textId="073711BF" w:rsidR="005E3211" w:rsidRPr="008520E2" w:rsidRDefault="004D29CC" w:rsidP="008520E2">
            <w:pPr>
              <w:spacing w:line="360" w:lineRule="auto"/>
              <w:jc w:val="both"/>
              <w:rPr>
                <w:b/>
                <w:bCs/>
                <w:color w:val="000000"/>
                <w:sz w:val="20"/>
                <w:szCs w:val="20"/>
              </w:rPr>
            </w:pPr>
            <w:r w:rsidRPr="008520E2">
              <w:rPr>
                <w:b/>
                <w:bCs/>
                <w:color w:val="000000"/>
                <w:sz w:val="20"/>
                <w:szCs w:val="20"/>
              </w:rPr>
              <w:t>714</w:t>
            </w:r>
          </w:p>
        </w:tc>
      </w:tr>
    </w:tbl>
    <w:p w14:paraId="4A2B531B" w14:textId="77777777" w:rsidR="00D809AC" w:rsidRDefault="00D809AC" w:rsidP="00D809AC">
      <w:pPr>
        <w:spacing w:line="360" w:lineRule="auto"/>
        <w:jc w:val="both"/>
        <w:rPr>
          <w:sz w:val="20"/>
          <w:szCs w:val="20"/>
        </w:rPr>
      </w:pPr>
    </w:p>
    <w:p w14:paraId="6597E995" w14:textId="77777777" w:rsidR="00127F0D" w:rsidRPr="008520E2" w:rsidRDefault="00127F0D" w:rsidP="00D809AC">
      <w:pPr>
        <w:spacing w:line="360" w:lineRule="auto"/>
        <w:jc w:val="both"/>
        <w:rPr>
          <w:sz w:val="20"/>
          <w:szCs w:val="20"/>
        </w:rPr>
      </w:pPr>
      <w:r w:rsidRPr="008520E2">
        <w:rPr>
          <w:sz w:val="20"/>
          <w:szCs w:val="20"/>
        </w:rPr>
        <w:t>Specific organisms obtained were Gardnerella vaginalis, Trichomonas vaginalis, fungal organisms morphologically consistent with Candida.</w:t>
      </w:r>
    </w:p>
    <w:p w14:paraId="5E4576C3" w14:textId="48DDF2E9" w:rsidR="00AD38D9" w:rsidRPr="008520E2" w:rsidRDefault="00AD38D9" w:rsidP="008520E2">
      <w:pPr>
        <w:spacing w:line="360" w:lineRule="auto"/>
        <w:jc w:val="both"/>
        <w:rPr>
          <w:sz w:val="20"/>
          <w:szCs w:val="20"/>
        </w:rPr>
      </w:pPr>
      <w:r w:rsidRPr="008520E2">
        <w:rPr>
          <w:b/>
          <w:bCs/>
          <w:sz w:val="20"/>
          <w:szCs w:val="20"/>
        </w:rPr>
        <w:t xml:space="preserve">ASC/SIL ratio </w:t>
      </w:r>
    </w:p>
    <w:p w14:paraId="77C6F9AF" w14:textId="64A5FBBD" w:rsidR="00455F0E" w:rsidRPr="008520E2" w:rsidRDefault="00455F0E" w:rsidP="008520E2">
      <w:pPr>
        <w:spacing w:line="360" w:lineRule="auto"/>
        <w:jc w:val="both"/>
        <w:rPr>
          <w:sz w:val="20"/>
          <w:szCs w:val="20"/>
        </w:rPr>
      </w:pPr>
      <w:r w:rsidRPr="008520E2">
        <w:rPr>
          <w:color w:val="212121"/>
          <w:sz w:val="20"/>
          <w:szCs w:val="20"/>
          <w:shd w:val="clear" w:color="auto" w:fill="FFFFFF"/>
        </w:rPr>
        <w:t>ASC/SIL ratio correlate with screening sensitivity</w:t>
      </w:r>
      <w:r w:rsidR="00560281" w:rsidRPr="008520E2">
        <w:rPr>
          <w:color w:val="212121"/>
          <w:sz w:val="20"/>
          <w:szCs w:val="20"/>
          <w:shd w:val="clear" w:color="auto" w:fill="FFFFFF"/>
        </w:rPr>
        <w:t>.</w:t>
      </w:r>
      <w:r w:rsidRPr="008520E2">
        <w:rPr>
          <w:sz w:val="20"/>
          <w:szCs w:val="20"/>
          <w:vertAlign w:val="superscript"/>
        </w:rPr>
        <w:t xml:space="preserve"> </w:t>
      </w:r>
      <w:r w:rsidRPr="008520E2">
        <w:rPr>
          <w:sz w:val="20"/>
          <w:szCs w:val="20"/>
        </w:rPr>
        <w:t>In  the present study , ASC/SIL ratio was 1.</w:t>
      </w:r>
      <w:r w:rsidR="00BD03B0" w:rsidRPr="008520E2">
        <w:rPr>
          <w:sz w:val="20"/>
          <w:szCs w:val="20"/>
        </w:rPr>
        <w:t>5</w:t>
      </w:r>
      <w:r w:rsidRPr="008520E2">
        <w:rPr>
          <w:sz w:val="20"/>
          <w:szCs w:val="20"/>
        </w:rPr>
        <w:t>: 1. This  is below the upper benchmark of 3:1.</w:t>
      </w:r>
      <w:r w:rsidRPr="008520E2">
        <w:rPr>
          <w:sz w:val="20"/>
          <w:szCs w:val="20"/>
          <w:vertAlign w:val="superscript"/>
        </w:rPr>
        <w:t>5</w:t>
      </w:r>
      <w:r w:rsidRPr="008520E2">
        <w:rPr>
          <w:sz w:val="20"/>
          <w:szCs w:val="20"/>
        </w:rPr>
        <w:t xml:space="preserve"> </w:t>
      </w:r>
    </w:p>
    <w:p w14:paraId="27659FDE" w14:textId="0E467930" w:rsidR="00455F0E" w:rsidRPr="008520E2" w:rsidRDefault="00087E96" w:rsidP="008520E2">
      <w:pPr>
        <w:spacing w:line="360" w:lineRule="auto"/>
        <w:jc w:val="both"/>
        <w:rPr>
          <w:b/>
          <w:bCs/>
          <w:sz w:val="20"/>
          <w:szCs w:val="20"/>
        </w:rPr>
      </w:pPr>
      <w:r w:rsidRPr="008520E2">
        <w:rPr>
          <w:b/>
          <w:bCs/>
          <w:sz w:val="20"/>
          <w:szCs w:val="20"/>
        </w:rPr>
        <w:t>DISCUSSION</w:t>
      </w:r>
    </w:p>
    <w:p w14:paraId="5F0A076B" w14:textId="7C40D8C7" w:rsidR="008A379A" w:rsidRPr="008520E2" w:rsidRDefault="008A379A" w:rsidP="008520E2">
      <w:pPr>
        <w:spacing w:line="360" w:lineRule="auto"/>
        <w:jc w:val="both"/>
        <w:rPr>
          <w:color w:val="212121"/>
          <w:sz w:val="20"/>
          <w:szCs w:val="20"/>
          <w:shd w:val="clear" w:color="auto" w:fill="FFFFFF"/>
          <w:vertAlign w:val="superscript"/>
        </w:rPr>
      </w:pPr>
      <w:r w:rsidRPr="008520E2">
        <w:rPr>
          <w:color w:val="212121"/>
          <w:sz w:val="20"/>
          <w:szCs w:val="20"/>
          <w:shd w:val="clear" w:color="auto" w:fill="FFFFFF"/>
        </w:rPr>
        <w:t>Cancer cervix is considered to be an ideal gynecological malignancy for screening as it meets both test and disease criteria for screening. It has a long latent phase during which it can be detected as identifiable and treatable premalignant lesions which precede the invasive disease and the benefit of conducting screening for carcinoma cervix exceeds the cost involved.</w:t>
      </w:r>
      <w:r w:rsidR="00292328" w:rsidRPr="008520E2">
        <w:rPr>
          <w:color w:val="212121"/>
          <w:sz w:val="20"/>
          <w:szCs w:val="20"/>
          <w:shd w:val="clear" w:color="auto" w:fill="FFFFFF"/>
          <w:vertAlign w:val="superscript"/>
        </w:rPr>
        <w:t>6</w:t>
      </w:r>
      <w:r w:rsidR="008520E2">
        <w:rPr>
          <w:color w:val="212121"/>
          <w:sz w:val="20"/>
          <w:szCs w:val="20"/>
          <w:shd w:val="clear" w:color="auto" w:fill="FFFFFF"/>
          <w:vertAlign w:val="superscript"/>
        </w:rPr>
        <w:t xml:space="preserve"> </w:t>
      </w:r>
      <w:r w:rsidRPr="008520E2">
        <w:rPr>
          <w:color w:val="212121"/>
          <w:sz w:val="20"/>
          <w:szCs w:val="20"/>
          <w:shd w:val="clear" w:color="auto" w:fill="FFFFFF"/>
        </w:rPr>
        <w:t xml:space="preserve"> In the present study maximum number of patients (39%) were in the age group 30-39 years (fourth decade) followed by 31% in fifth,17% in third, 9% in sixth ,3% in seventh and 1% in eighth decade. The most common presenting complaint was discharge per vaginum (96%) followed by intermenstrual bleed  (2% )and pain in lower abdomen (2%).In the study by Bal MS et al.</w:t>
      </w:r>
      <w:r w:rsidRPr="008520E2">
        <w:rPr>
          <w:color w:val="212121"/>
          <w:sz w:val="20"/>
          <w:szCs w:val="20"/>
          <w:shd w:val="clear" w:color="auto" w:fill="FFFFFF"/>
          <w:vertAlign w:val="superscript"/>
        </w:rPr>
        <w:t xml:space="preserve"> </w:t>
      </w:r>
      <w:r w:rsidR="00292328" w:rsidRPr="008520E2">
        <w:rPr>
          <w:color w:val="212121"/>
          <w:sz w:val="20"/>
          <w:szCs w:val="20"/>
          <w:shd w:val="clear" w:color="auto" w:fill="FFFFFF"/>
          <w:vertAlign w:val="superscript"/>
        </w:rPr>
        <w:t>6</w:t>
      </w:r>
      <w:r w:rsidRPr="008520E2">
        <w:rPr>
          <w:color w:val="212121"/>
          <w:sz w:val="20"/>
          <w:szCs w:val="20"/>
          <w:shd w:val="clear" w:color="auto" w:fill="FFFFFF"/>
        </w:rPr>
        <w:t xml:space="preserve">  maximum number of patients (45.3%) were in the age group of 31-40 years (fourth decade) followed by 33.3% in third, 17.7% in fifth, 2% in sixth decade and 1.7% in seventh decade. The most common presenting complaint was discharge per vaginum present in 177 (59%) patients. History of pain in the lower abdomen was present in 58 (19.3%), inter menstrual bleeding in 30 (10%), and 17 (5.7%) patients had complaint of dyspareunia. Post-coital bleeding was the chief complaint in 15 (5%) patients. Only three patients (1%) presented with post menopausal bleeding. </w:t>
      </w:r>
    </w:p>
    <w:p w14:paraId="1ECB876A" w14:textId="225F3888" w:rsidR="008A379A" w:rsidRPr="008520E2" w:rsidRDefault="008A379A" w:rsidP="008520E2">
      <w:pPr>
        <w:spacing w:line="360" w:lineRule="auto"/>
        <w:jc w:val="both"/>
        <w:rPr>
          <w:color w:val="212121"/>
          <w:sz w:val="20"/>
          <w:szCs w:val="20"/>
          <w:shd w:val="clear" w:color="auto" w:fill="FFFFFF"/>
        </w:rPr>
      </w:pPr>
      <w:r w:rsidRPr="008520E2">
        <w:rPr>
          <w:color w:val="212121"/>
          <w:sz w:val="20"/>
          <w:szCs w:val="20"/>
          <w:shd w:val="clear" w:color="auto" w:fill="FFFFFF"/>
        </w:rPr>
        <w:t xml:space="preserve">             In the  present study, on routine screening epithelial cell abnormalities were found in </w:t>
      </w:r>
      <w:r w:rsidR="004E55A2" w:rsidRPr="008520E2">
        <w:rPr>
          <w:color w:val="212121"/>
          <w:sz w:val="20"/>
          <w:szCs w:val="20"/>
          <w:shd w:val="clear" w:color="auto" w:fill="FFFFFF"/>
        </w:rPr>
        <w:t>2.</w:t>
      </w:r>
      <w:r w:rsidR="001051C8" w:rsidRPr="008520E2">
        <w:rPr>
          <w:color w:val="212121"/>
          <w:sz w:val="20"/>
          <w:szCs w:val="20"/>
          <w:shd w:val="clear" w:color="auto" w:fill="FFFFFF"/>
        </w:rPr>
        <w:t>4</w:t>
      </w:r>
      <w:r w:rsidR="004E55A2" w:rsidRPr="008520E2">
        <w:rPr>
          <w:color w:val="212121"/>
          <w:sz w:val="20"/>
          <w:szCs w:val="20"/>
          <w:shd w:val="clear" w:color="auto" w:fill="FFFFFF"/>
        </w:rPr>
        <w:t xml:space="preserve"> </w:t>
      </w:r>
      <w:r w:rsidRPr="008520E2">
        <w:rPr>
          <w:color w:val="212121"/>
          <w:sz w:val="20"/>
          <w:szCs w:val="20"/>
          <w:shd w:val="clear" w:color="auto" w:fill="FFFFFF"/>
        </w:rPr>
        <w:t>% smears. Prevalence of ASCUS was 0.</w:t>
      </w:r>
      <w:r w:rsidR="001051C8" w:rsidRPr="008520E2">
        <w:rPr>
          <w:color w:val="212121"/>
          <w:sz w:val="20"/>
          <w:szCs w:val="20"/>
          <w:shd w:val="clear" w:color="auto" w:fill="FFFFFF"/>
        </w:rPr>
        <w:t>9</w:t>
      </w:r>
      <w:r w:rsidRPr="008520E2">
        <w:rPr>
          <w:color w:val="212121"/>
          <w:sz w:val="20"/>
          <w:szCs w:val="20"/>
          <w:shd w:val="clear" w:color="auto" w:fill="FFFFFF"/>
        </w:rPr>
        <w:t xml:space="preserve">% ( </w:t>
      </w:r>
      <w:r w:rsidR="004E55A2" w:rsidRPr="008520E2">
        <w:rPr>
          <w:color w:val="212121"/>
          <w:sz w:val="20"/>
          <w:szCs w:val="20"/>
          <w:shd w:val="clear" w:color="auto" w:fill="FFFFFF"/>
        </w:rPr>
        <w:t>7</w:t>
      </w:r>
      <w:r w:rsidRPr="008520E2">
        <w:rPr>
          <w:color w:val="212121"/>
          <w:sz w:val="20"/>
          <w:szCs w:val="20"/>
          <w:shd w:val="clear" w:color="auto" w:fill="FFFFFF"/>
        </w:rPr>
        <w:t xml:space="preserve"> cases),</w:t>
      </w:r>
      <w:r w:rsidR="004E55A2" w:rsidRPr="008520E2">
        <w:rPr>
          <w:color w:val="212121"/>
          <w:sz w:val="20"/>
          <w:szCs w:val="20"/>
          <w:shd w:val="clear" w:color="auto" w:fill="FFFFFF"/>
        </w:rPr>
        <w:t>ASC-H  was 0.5% (4cases),</w:t>
      </w:r>
      <w:r w:rsidRPr="008520E2">
        <w:rPr>
          <w:color w:val="212121"/>
          <w:sz w:val="20"/>
          <w:szCs w:val="20"/>
          <w:shd w:val="clear" w:color="auto" w:fill="FFFFFF"/>
        </w:rPr>
        <w:t xml:space="preserve">  LSIL was 0.25% (2cases)</w:t>
      </w:r>
      <w:r w:rsidR="004E55A2" w:rsidRPr="008520E2">
        <w:rPr>
          <w:color w:val="212121"/>
          <w:sz w:val="20"/>
          <w:szCs w:val="20"/>
          <w:shd w:val="clear" w:color="auto" w:fill="FFFFFF"/>
        </w:rPr>
        <w:t>, HSIL was 0.5% (4 cases), AGC – NOS was 0.25% (2 cases).</w:t>
      </w:r>
      <w:r w:rsidR="00F705A9" w:rsidRPr="008520E2">
        <w:rPr>
          <w:color w:val="212121"/>
          <w:sz w:val="20"/>
          <w:szCs w:val="20"/>
          <w:shd w:val="clear" w:color="auto" w:fill="FFFFFF"/>
        </w:rPr>
        <w:t xml:space="preserve"> So  SIL was seen in 0.75% (6 cases). </w:t>
      </w:r>
      <w:r w:rsidRPr="008520E2">
        <w:rPr>
          <w:color w:val="212121"/>
          <w:sz w:val="20"/>
          <w:szCs w:val="20"/>
          <w:shd w:val="clear" w:color="auto" w:fill="FFFFFF"/>
        </w:rPr>
        <w:t>According to Bal MS et al.</w:t>
      </w:r>
      <w:r w:rsidR="00292328" w:rsidRPr="008520E2">
        <w:rPr>
          <w:color w:val="212121"/>
          <w:sz w:val="20"/>
          <w:szCs w:val="20"/>
          <w:shd w:val="clear" w:color="auto" w:fill="FFFFFF"/>
          <w:vertAlign w:val="superscript"/>
        </w:rPr>
        <w:t>6</w:t>
      </w:r>
      <w:r w:rsidRPr="008520E2">
        <w:rPr>
          <w:color w:val="212121"/>
          <w:sz w:val="20"/>
          <w:szCs w:val="20"/>
          <w:shd w:val="clear" w:color="auto" w:fill="FFFFFF"/>
        </w:rPr>
        <w:t xml:space="preserve"> epithelial cell abnormalities were found in 5% smears. Prevalence of ASCUS was 0.3% (1 case), SIL was seen in 3.4% (10 cases), out of which LSIL was 2.7% (8 cases) and HSIL accounted for 0.7%. Invasive cancer was seen in 1.3% cases.</w:t>
      </w:r>
    </w:p>
    <w:p w14:paraId="0116A46F" w14:textId="26E8F12E" w:rsidR="008A379A" w:rsidRPr="008520E2" w:rsidRDefault="008A379A" w:rsidP="008520E2">
      <w:pPr>
        <w:spacing w:line="360" w:lineRule="auto"/>
        <w:jc w:val="both"/>
        <w:rPr>
          <w:color w:val="333333"/>
          <w:sz w:val="20"/>
          <w:szCs w:val="20"/>
          <w:shd w:val="clear" w:color="auto" w:fill="FFFFFF"/>
          <w:vertAlign w:val="superscript"/>
        </w:rPr>
      </w:pPr>
      <w:r w:rsidRPr="008520E2">
        <w:rPr>
          <w:color w:val="333333"/>
          <w:sz w:val="20"/>
          <w:szCs w:val="20"/>
          <w:shd w:val="clear" w:color="auto" w:fill="FFFFFF"/>
        </w:rPr>
        <w:t xml:space="preserve">    </w:t>
      </w:r>
      <w:r w:rsidR="008520E2">
        <w:rPr>
          <w:color w:val="333333"/>
          <w:sz w:val="20"/>
          <w:szCs w:val="20"/>
          <w:shd w:val="clear" w:color="auto" w:fill="FFFFFF"/>
        </w:rPr>
        <w:t xml:space="preserve">   </w:t>
      </w:r>
      <w:r w:rsidRPr="008520E2">
        <w:rPr>
          <w:color w:val="333333"/>
          <w:sz w:val="20"/>
          <w:szCs w:val="20"/>
          <w:shd w:val="clear" w:color="auto" w:fill="FFFFFF"/>
        </w:rPr>
        <w:t xml:space="preserve">    In the present study out of 800 cases, smears from 7</w:t>
      </w:r>
      <w:r w:rsidR="00F705A9" w:rsidRPr="008520E2">
        <w:rPr>
          <w:color w:val="333333"/>
          <w:sz w:val="20"/>
          <w:szCs w:val="20"/>
          <w:shd w:val="clear" w:color="auto" w:fill="FFFFFF"/>
        </w:rPr>
        <w:t>33</w:t>
      </w:r>
      <w:r w:rsidRPr="008520E2">
        <w:rPr>
          <w:color w:val="333333"/>
          <w:sz w:val="20"/>
          <w:szCs w:val="20"/>
          <w:shd w:val="clear" w:color="auto" w:fill="FFFFFF"/>
        </w:rPr>
        <w:t>(9</w:t>
      </w:r>
      <w:r w:rsidR="00F705A9" w:rsidRPr="008520E2">
        <w:rPr>
          <w:color w:val="333333"/>
          <w:sz w:val="20"/>
          <w:szCs w:val="20"/>
          <w:shd w:val="clear" w:color="auto" w:fill="FFFFFF"/>
        </w:rPr>
        <w:t>1.6</w:t>
      </w:r>
      <w:r w:rsidRPr="008520E2">
        <w:rPr>
          <w:color w:val="333333"/>
          <w:sz w:val="20"/>
          <w:szCs w:val="20"/>
          <w:shd w:val="clear" w:color="auto" w:fill="FFFFFF"/>
        </w:rPr>
        <w:t xml:space="preserve">%) patients were found satisfactory for reporting while the remaining </w:t>
      </w:r>
      <w:r w:rsidR="00F705A9" w:rsidRPr="008520E2">
        <w:rPr>
          <w:color w:val="333333"/>
          <w:sz w:val="20"/>
          <w:szCs w:val="20"/>
          <w:shd w:val="clear" w:color="auto" w:fill="FFFFFF"/>
        </w:rPr>
        <w:t xml:space="preserve">8.4 </w:t>
      </w:r>
      <w:r w:rsidRPr="008520E2">
        <w:rPr>
          <w:color w:val="333333"/>
          <w:sz w:val="20"/>
          <w:szCs w:val="20"/>
          <w:shd w:val="clear" w:color="auto" w:fill="FFFFFF"/>
        </w:rPr>
        <w:t xml:space="preserve">% was unsatisfactory. </w:t>
      </w:r>
      <w:r w:rsidRPr="008520E2">
        <w:rPr>
          <w:color w:val="212121"/>
          <w:sz w:val="20"/>
          <w:szCs w:val="20"/>
          <w:shd w:val="clear" w:color="auto" w:fill="FFFFFF"/>
        </w:rPr>
        <w:t>According to Kapila k et al.</w:t>
      </w:r>
      <w:r w:rsidR="00893658" w:rsidRPr="008520E2">
        <w:rPr>
          <w:color w:val="212121"/>
          <w:sz w:val="20"/>
          <w:szCs w:val="20"/>
          <w:shd w:val="clear" w:color="auto" w:fill="FFFFFF"/>
          <w:vertAlign w:val="superscript"/>
        </w:rPr>
        <w:t xml:space="preserve">7 </w:t>
      </w:r>
      <w:r w:rsidRPr="008520E2">
        <w:rPr>
          <w:color w:val="212121"/>
          <w:sz w:val="20"/>
          <w:szCs w:val="20"/>
          <w:shd w:val="clear" w:color="auto" w:fill="FFFFFF"/>
        </w:rPr>
        <w:t xml:space="preserve">out of 86434 smears, </w:t>
      </w:r>
      <w:r w:rsidRPr="008520E2">
        <w:rPr>
          <w:color w:val="333333"/>
          <w:sz w:val="20"/>
          <w:szCs w:val="20"/>
          <w:shd w:val="clear" w:color="auto" w:fill="FFFFFF"/>
        </w:rPr>
        <w:t>smears from 83,052 (96.09%) patients were found satisfactory for reporting while the remaining 3.9% was unsatisfactory. Atypical squamous cells of undetermined significance (ASCUS) were seen in 1,790 (2.2%) cases, atypical glandular cells of undetermined significance (AGUS) in 630 (0.8%) cases, low grade squamous intraepithelial lesion including human papillomavirus changes (LSIL) in 824 (1.0%) cases, high grade squamous intraepithelial lesion (HSIL) in 189 (0.2%) cases, and carcinoma in 79 (0.1%) cases of which 44 (0.05%) were squamous cell carcinoma  were found in the study by Kapila et. Al.</w:t>
      </w:r>
      <w:r w:rsidR="00893658" w:rsidRPr="008520E2">
        <w:rPr>
          <w:color w:val="333333"/>
          <w:sz w:val="20"/>
          <w:szCs w:val="20"/>
          <w:shd w:val="clear" w:color="auto" w:fill="FFFFFF"/>
          <w:vertAlign w:val="superscript"/>
        </w:rPr>
        <w:t>7</w:t>
      </w:r>
    </w:p>
    <w:p w14:paraId="3E1E05B5" w14:textId="77777777" w:rsidR="008A379A" w:rsidRPr="008520E2" w:rsidRDefault="008A379A" w:rsidP="008520E2">
      <w:pPr>
        <w:spacing w:line="360" w:lineRule="auto"/>
        <w:jc w:val="both"/>
        <w:rPr>
          <w:sz w:val="20"/>
          <w:szCs w:val="20"/>
        </w:rPr>
      </w:pPr>
      <w:r w:rsidRPr="008520E2">
        <w:rPr>
          <w:sz w:val="20"/>
          <w:szCs w:val="20"/>
        </w:rPr>
        <w:t>COMPARISON OF DISTRIBUTION OF FREQUENCY OF UNSATISFACTORY  IN ROUTINE SCREENING AND FINAL DIAGNOSIS WITH OTHER STUDIES</w:t>
      </w:r>
    </w:p>
    <w:tbl>
      <w:tblPr>
        <w:tblStyle w:val="TableGrid"/>
        <w:tblW w:w="0" w:type="auto"/>
        <w:tblLook w:val="04A0" w:firstRow="1" w:lastRow="0" w:firstColumn="1" w:lastColumn="0" w:noHBand="0" w:noVBand="1"/>
      </w:tblPr>
      <w:tblGrid>
        <w:gridCol w:w="4531"/>
        <w:gridCol w:w="2410"/>
      </w:tblGrid>
      <w:tr w:rsidR="008A379A" w:rsidRPr="008520E2" w14:paraId="4F455D45" w14:textId="77777777" w:rsidTr="00ED0AA6">
        <w:tc>
          <w:tcPr>
            <w:tcW w:w="4531" w:type="dxa"/>
          </w:tcPr>
          <w:p w14:paraId="20CDB551" w14:textId="77777777" w:rsidR="008A379A" w:rsidRPr="008520E2" w:rsidRDefault="008A379A" w:rsidP="008520E2">
            <w:pPr>
              <w:spacing w:line="360" w:lineRule="auto"/>
              <w:jc w:val="both"/>
              <w:rPr>
                <w:sz w:val="20"/>
                <w:szCs w:val="20"/>
              </w:rPr>
            </w:pPr>
          </w:p>
        </w:tc>
        <w:tc>
          <w:tcPr>
            <w:tcW w:w="2410" w:type="dxa"/>
          </w:tcPr>
          <w:p w14:paraId="0EB19F9F" w14:textId="77777777" w:rsidR="008A379A" w:rsidRPr="008520E2" w:rsidRDefault="008A379A" w:rsidP="008520E2">
            <w:pPr>
              <w:spacing w:line="360" w:lineRule="auto"/>
              <w:jc w:val="both"/>
              <w:rPr>
                <w:sz w:val="20"/>
                <w:szCs w:val="20"/>
              </w:rPr>
            </w:pPr>
            <w:r w:rsidRPr="008520E2">
              <w:rPr>
                <w:sz w:val="20"/>
                <w:szCs w:val="20"/>
              </w:rPr>
              <w:t xml:space="preserve">Unsatisfactory </w:t>
            </w:r>
          </w:p>
        </w:tc>
      </w:tr>
      <w:tr w:rsidR="008A379A" w:rsidRPr="008520E2" w14:paraId="5685EA4B" w14:textId="77777777" w:rsidTr="00ED0AA6">
        <w:tc>
          <w:tcPr>
            <w:tcW w:w="4531" w:type="dxa"/>
          </w:tcPr>
          <w:p w14:paraId="3317F6FC" w14:textId="2A234CAA" w:rsidR="008A379A" w:rsidRPr="008520E2" w:rsidRDefault="008A379A" w:rsidP="008520E2">
            <w:pPr>
              <w:spacing w:line="360" w:lineRule="auto"/>
              <w:jc w:val="both"/>
              <w:rPr>
                <w:sz w:val="20"/>
                <w:szCs w:val="20"/>
                <w:vertAlign w:val="superscript"/>
              </w:rPr>
            </w:pPr>
            <w:r w:rsidRPr="008520E2">
              <w:rPr>
                <w:sz w:val="20"/>
                <w:szCs w:val="20"/>
              </w:rPr>
              <w:t>Kapila K et al</w:t>
            </w:r>
            <w:r w:rsidR="00893658" w:rsidRPr="008520E2">
              <w:rPr>
                <w:sz w:val="20"/>
                <w:szCs w:val="20"/>
                <w:vertAlign w:val="superscript"/>
              </w:rPr>
              <w:t>7</w:t>
            </w:r>
          </w:p>
        </w:tc>
        <w:tc>
          <w:tcPr>
            <w:tcW w:w="2410" w:type="dxa"/>
          </w:tcPr>
          <w:p w14:paraId="396AEFFF" w14:textId="77777777" w:rsidR="008A379A" w:rsidRPr="008520E2" w:rsidRDefault="008A379A" w:rsidP="008520E2">
            <w:pPr>
              <w:spacing w:line="360" w:lineRule="auto"/>
              <w:jc w:val="both"/>
              <w:rPr>
                <w:sz w:val="20"/>
                <w:szCs w:val="20"/>
              </w:rPr>
            </w:pPr>
            <w:r w:rsidRPr="008520E2">
              <w:rPr>
                <w:sz w:val="20"/>
                <w:szCs w:val="20"/>
              </w:rPr>
              <w:t>3.9%</w:t>
            </w:r>
          </w:p>
        </w:tc>
      </w:tr>
      <w:tr w:rsidR="008A379A" w:rsidRPr="008520E2" w14:paraId="02307F70" w14:textId="77777777" w:rsidTr="00ED0AA6">
        <w:tc>
          <w:tcPr>
            <w:tcW w:w="4531" w:type="dxa"/>
          </w:tcPr>
          <w:p w14:paraId="6A7A2539" w14:textId="565BB574" w:rsidR="008A379A" w:rsidRPr="008520E2" w:rsidRDefault="008A379A" w:rsidP="008520E2">
            <w:pPr>
              <w:spacing w:line="360" w:lineRule="auto"/>
              <w:jc w:val="both"/>
              <w:rPr>
                <w:sz w:val="20"/>
                <w:szCs w:val="20"/>
                <w:vertAlign w:val="superscript"/>
              </w:rPr>
            </w:pPr>
            <w:r w:rsidRPr="008520E2">
              <w:rPr>
                <w:sz w:val="20"/>
                <w:szCs w:val="20"/>
              </w:rPr>
              <w:t>Kumari M et al.</w:t>
            </w:r>
            <w:r w:rsidR="00A6209C" w:rsidRPr="008520E2">
              <w:rPr>
                <w:sz w:val="20"/>
                <w:szCs w:val="20"/>
                <w:vertAlign w:val="superscript"/>
              </w:rPr>
              <w:t>8</w:t>
            </w:r>
          </w:p>
        </w:tc>
        <w:tc>
          <w:tcPr>
            <w:tcW w:w="2410" w:type="dxa"/>
          </w:tcPr>
          <w:p w14:paraId="6AF2DDB6" w14:textId="77777777" w:rsidR="008A379A" w:rsidRPr="008520E2" w:rsidRDefault="008A379A" w:rsidP="008520E2">
            <w:pPr>
              <w:spacing w:line="360" w:lineRule="auto"/>
              <w:jc w:val="both"/>
              <w:rPr>
                <w:sz w:val="20"/>
                <w:szCs w:val="20"/>
              </w:rPr>
            </w:pPr>
            <w:r w:rsidRPr="008520E2">
              <w:rPr>
                <w:sz w:val="20"/>
                <w:szCs w:val="20"/>
              </w:rPr>
              <w:t>5.19%</w:t>
            </w:r>
          </w:p>
        </w:tc>
      </w:tr>
      <w:tr w:rsidR="008A379A" w:rsidRPr="008520E2" w14:paraId="7CC22E1B" w14:textId="77777777" w:rsidTr="00ED0AA6">
        <w:tc>
          <w:tcPr>
            <w:tcW w:w="4531" w:type="dxa"/>
          </w:tcPr>
          <w:p w14:paraId="1995A9F5" w14:textId="1E6C93D4" w:rsidR="008A379A" w:rsidRPr="008520E2" w:rsidRDefault="008A379A" w:rsidP="008520E2">
            <w:pPr>
              <w:spacing w:line="360" w:lineRule="auto"/>
              <w:jc w:val="both"/>
              <w:rPr>
                <w:sz w:val="20"/>
                <w:szCs w:val="20"/>
                <w:vertAlign w:val="superscript"/>
              </w:rPr>
            </w:pPr>
            <w:r w:rsidRPr="008520E2">
              <w:rPr>
                <w:sz w:val="20"/>
                <w:szCs w:val="20"/>
              </w:rPr>
              <w:t xml:space="preserve">Present study </w:t>
            </w:r>
          </w:p>
        </w:tc>
        <w:tc>
          <w:tcPr>
            <w:tcW w:w="2410" w:type="dxa"/>
          </w:tcPr>
          <w:p w14:paraId="1DA5CD50" w14:textId="117F8A85" w:rsidR="008A379A" w:rsidRPr="008520E2" w:rsidRDefault="00537083" w:rsidP="008520E2">
            <w:pPr>
              <w:spacing w:line="360" w:lineRule="auto"/>
              <w:jc w:val="both"/>
              <w:rPr>
                <w:sz w:val="20"/>
                <w:szCs w:val="20"/>
              </w:rPr>
            </w:pPr>
            <w:r w:rsidRPr="008520E2">
              <w:rPr>
                <w:sz w:val="20"/>
                <w:szCs w:val="20"/>
              </w:rPr>
              <w:t xml:space="preserve"> </w:t>
            </w:r>
            <w:r w:rsidR="00F705A9" w:rsidRPr="008520E2">
              <w:rPr>
                <w:sz w:val="20"/>
                <w:szCs w:val="20"/>
              </w:rPr>
              <w:t xml:space="preserve">8.4 </w:t>
            </w:r>
            <w:r w:rsidRPr="008520E2">
              <w:rPr>
                <w:sz w:val="20"/>
                <w:szCs w:val="20"/>
              </w:rPr>
              <w:t>%</w:t>
            </w:r>
          </w:p>
        </w:tc>
      </w:tr>
    </w:tbl>
    <w:p w14:paraId="031C9424" w14:textId="51792EED" w:rsidR="00C04D35" w:rsidRPr="008520E2" w:rsidRDefault="008A379A" w:rsidP="008520E2">
      <w:pPr>
        <w:spacing w:line="360" w:lineRule="auto"/>
        <w:jc w:val="both"/>
        <w:rPr>
          <w:sz w:val="20"/>
          <w:szCs w:val="20"/>
        </w:rPr>
      </w:pPr>
      <w:r w:rsidRPr="008520E2">
        <w:rPr>
          <w:sz w:val="20"/>
          <w:szCs w:val="20"/>
        </w:rPr>
        <w:t>Mo</w:t>
      </w:r>
      <w:r w:rsidR="00F705A9" w:rsidRPr="008520E2">
        <w:rPr>
          <w:sz w:val="20"/>
          <w:szCs w:val="20"/>
        </w:rPr>
        <w:t>st</w:t>
      </w:r>
      <w:r w:rsidRPr="008520E2">
        <w:rPr>
          <w:sz w:val="20"/>
          <w:szCs w:val="20"/>
        </w:rPr>
        <w:t xml:space="preserve"> smears were classified unsatisfactory  due to scant cellularity, obscuring by inflammatory cells and mucus.</w:t>
      </w:r>
    </w:p>
    <w:p w14:paraId="42268517" w14:textId="36F8D553"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COMPARISON OF EPITHELIAL CELL ABNORMALITIES DETECTED BY ROUTINE SCREENING  WITH OTHER STUDIES</w:t>
      </w:r>
    </w:p>
    <w:tbl>
      <w:tblPr>
        <w:tblStyle w:val="TableGrid"/>
        <w:tblW w:w="9209" w:type="dxa"/>
        <w:tblLayout w:type="fixed"/>
        <w:tblLook w:val="04A0" w:firstRow="1" w:lastRow="0" w:firstColumn="1" w:lastColumn="0" w:noHBand="0" w:noVBand="1"/>
      </w:tblPr>
      <w:tblGrid>
        <w:gridCol w:w="1310"/>
        <w:gridCol w:w="812"/>
        <w:gridCol w:w="708"/>
        <w:gridCol w:w="993"/>
        <w:gridCol w:w="841"/>
        <w:gridCol w:w="850"/>
        <w:gridCol w:w="718"/>
        <w:gridCol w:w="749"/>
        <w:gridCol w:w="811"/>
        <w:gridCol w:w="1417"/>
      </w:tblGrid>
      <w:tr w:rsidR="008A379A" w:rsidRPr="008520E2" w14:paraId="2DD179C5" w14:textId="77777777" w:rsidTr="00ED0AA6">
        <w:trPr>
          <w:trHeight w:val="1280"/>
        </w:trPr>
        <w:tc>
          <w:tcPr>
            <w:tcW w:w="1310" w:type="dxa"/>
          </w:tcPr>
          <w:p w14:paraId="5ACC8AC3" w14:textId="77777777" w:rsidR="008A379A" w:rsidRPr="008520E2" w:rsidRDefault="008A379A" w:rsidP="008520E2">
            <w:pPr>
              <w:spacing w:line="360" w:lineRule="auto"/>
              <w:jc w:val="both"/>
              <w:rPr>
                <w:color w:val="333333"/>
                <w:sz w:val="20"/>
                <w:szCs w:val="20"/>
                <w:shd w:val="clear" w:color="auto" w:fill="FFFFFF"/>
              </w:rPr>
            </w:pPr>
          </w:p>
        </w:tc>
        <w:tc>
          <w:tcPr>
            <w:tcW w:w="812" w:type="dxa"/>
          </w:tcPr>
          <w:p w14:paraId="73F438A6"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Abnormal (%)</w:t>
            </w:r>
          </w:p>
        </w:tc>
        <w:tc>
          <w:tcPr>
            <w:tcW w:w="708" w:type="dxa"/>
          </w:tcPr>
          <w:p w14:paraId="7B2E2206"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ASC-US</w:t>
            </w:r>
          </w:p>
          <w:p w14:paraId="33DC4BC6"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w:t>
            </w:r>
          </w:p>
        </w:tc>
        <w:tc>
          <w:tcPr>
            <w:tcW w:w="993" w:type="dxa"/>
          </w:tcPr>
          <w:p w14:paraId="2553ADB1"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ASC-H(%)</w:t>
            </w:r>
          </w:p>
        </w:tc>
        <w:tc>
          <w:tcPr>
            <w:tcW w:w="841" w:type="dxa"/>
          </w:tcPr>
          <w:p w14:paraId="163B3313"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LSIL(%)</w:t>
            </w:r>
          </w:p>
        </w:tc>
        <w:tc>
          <w:tcPr>
            <w:tcW w:w="850" w:type="dxa"/>
          </w:tcPr>
          <w:p w14:paraId="78231639"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HSIL(%)</w:t>
            </w:r>
          </w:p>
        </w:tc>
        <w:tc>
          <w:tcPr>
            <w:tcW w:w="718" w:type="dxa"/>
          </w:tcPr>
          <w:p w14:paraId="75187CFE"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SCC</w:t>
            </w:r>
          </w:p>
          <w:p w14:paraId="478018E1"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w:t>
            </w:r>
          </w:p>
        </w:tc>
        <w:tc>
          <w:tcPr>
            <w:tcW w:w="749" w:type="dxa"/>
          </w:tcPr>
          <w:p w14:paraId="18474C47"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AGC-NOS</w:t>
            </w:r>
          </w:p>
          <w:p w14:paraId="0245FFC9"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w:t>
            </w:r>
          </w:p>
        </w:tc>
        <w:tc>
          <w:tcPr>
            <w:tcW w:w="811" w:type="dxa"/>
          </w:tcPr>
          <w:p w14:paraId="52727A24"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AGC-FN</w:t>
            </w:r>
          </w:p>
          <w:p w14:paraId="0CC492CC"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w:t>
            </w:r>
          </w:p>
        </w:tc>
        <w:tc>
          <w:tcPr>
            <w:tcW w:w="1417" w:type="dxa"/>
          </w:tcPr>
          <w:p w14:paraId="6C404CCF"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Adenocarcinoma</w:t>
            </w:r>
          </w:p>
          <w:p w14:paraId="79CFA3F2"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w:t>
            </w:r>
          </w:p>
        </w:tc>
      </w:tr>
      <w:tr w:rsidR="008A379A" w:rsidRPr="008520E2" w14:paraId="37D79A4B" w14:textId="77777777" w:rsidTr="00ED0AA6">
        <w:trPr>
          <w:trHeight w:val="1280"/>
        </w:trPr>
        <w:tc>
          <w:tcPr>
            <w:tcW w:w="1310" w:type="dxa"/>
          </w:tcPr>
          <w:p w14:paraId="583941F9" w14:textId="4A5D331C"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Kapila et al.</w:t>
            </w:r>
            <w:r w:rsidR="00B6435B" w:rsidRPr="008520E2">
              <w:rPr>
                <w:color w:val="333333"/>
                <w:sz w:val="20"/>
                <w:szCs w:val="20"/>
                <w:shd w:val="clear" w:color="auto" w:fill="FFFFFF"/>
                <w:vertAlign w:val="superscript"/>
              </w:rPr>
              <w:t>7</w:t>
            </w:r>
          </w:p>
        </w:tc>
        <w:tc>
          <w:tcPr>
            <w:tcW w:w="812" w:type="dxa"/>
          </w:tcPr>
          <w:p w14:paraId="27A4CB45"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4.1</w:t>
            </w:r>
          </w:p>
        </w:tc>
        <w:tc>
          <w:tcPr>
            <w:tcW w:w="708" w:type="dxa"/>
          </w:tcPr>
          <w:p w14:paraId="7816D96D"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2.2</w:t>
            </w:r>
          </w:p>
        </w:tc>
        <w:tc>
          <w:tcPr>
            <w:tcW w:w="993" w:type="dxa"/>
          </w:tcPr>
          <w:p w14:paraId="1FA00FC1"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w:t>
            </w:r>
          </w:p>
        </w:tc>
        <w:tc>
          <w:tcPr>
            <w:tcW w:w="841" w:type="dxa"/>
          </w:tcPr>
          <w:p w14:paraId="5A891AFB"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1</w:t>
            </w:r>
          </w:p>
        </w:tc>
        <w:tc>
          <w:tcPr>
            <w:tcW w:w="850" w:type="dxa"/>
          </w:tcPr>
          <w:p w14:paraId="58DCEE0B"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w:t>
            </w:r>
          </w:p>
        </w:tc>
        <w:tc>
          <w:tcPr>
            <w:tcW w:w="718" w:type="dxa"/>
          </w:tcPr>
          <w:p w14:paraId="2EA4F430"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0.05</w:t>
            </w:r>
          </w:p>
        </w:tc>
        <w:tc>
          <w:tcPr>
            <w:tcW w:w="749" w:type="dxa"/>
          </w:tcPr>
          <w:p w14:paraId="0938A743"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0.8</w:t>
            </w:r>
          </w:p>
        </w:tc>
        <w:tc>
          <w:tcPr>
            <w:tcW w:w="811" w:type="dxa"/>
          </w:tcPr>
          <w:p w14:paraId="5D75764D"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w:t>
            </w:r>
          </w:p>
        </w:tc>
        <w:tc>
          <w:tcPr>
            <w:tcW w:w="1417" w:type="dxa"/>
          </w:tcPr>
          <w:p w14:paraId="7E485451"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0.05</w:t>
            </w:r>
          </w:p>
        </w:tc>
      </w:tr>
      <w:tr w:rsidR="008A379A" w:rsidRPr="008520E2" w14:paraId="3363C372" w14:textId="77777777" w:rsidTr="00ED0AA6">
        <w:tc>
          <w:tcPr>
            <w:tcW w:w="1310" w:type="dxa"/>
          </w:tcPr>
          <w:p w14:paraId="6546F441" w14:textId="7479BD0F"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Kumari M et al.</w:t>
            </w:r>
            <w:r w:rsidR="00B6435B" w:rsidRPr="008520E2">
              <w:rPr>
                <w:color w:val="333333"/>
                <w:sz w:val="20"/>
                <w:szCs w:val="20"/>
                <w:shd w:val="clear" w:color="auto" w:fill="FFFFFF"/>
                <w:vertAlign w:val="superscript"/>
              </w:rPr>
              <w:t>8</w:t>
            </w:r>
          </w:p>
        </w:tc>
        <w:tc>
          <w:tcPr>
            <w:tcW w:w="812" w:type="dxa"/>
          </w:tcPr>
          <w:p w14:paraId="6E15469D"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2.13</w:t>
            </w:r>
          </w:p>
        </w:tc>
        <w:tc>
          <w:tcPr>
            <w:tcW w:w="708" w:type="dxa"/>
          </w:tcPr>
          <w:p w14:paraId="4142EF8B"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0.66</w:t>
            </w:r>
          </w:p>
        </w:tc>
        <w:tc>
          <w:tcPr>
            <w:tcW w:w="993" w:type="dxa"/>
          </w:tcPr>
          <w:p w14:paraId="3FEC80BC"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0.163</w:t>
            </w:r>
          </w:p>
        </w:tc>
        <w:tc>
          <w:tcPr>
            <w:tcW w:w="841" w:type="dxa"/>
          </w:tcPr>
          <w:p w14:paraId="6F1392F2"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0.366</w:t>
            </w:r>
          </w:p>
        </w:tc>
        <w:tc>
          <w:tcPr>
            <w:tcW w:w="850" w:type="dxa"/>
          </w:tcPr>
          <w:p w14:paraId="5CF94845"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0.209</w:t>
            </w:r>
          </w:p>
        </w:tc>
        <w:tc>
          <w:tcPr>
            <w:tcW w:w="718" w:type="dxa"/>
          </w:tcPr>
          <w:p w14:paraId="625670BB"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0.25</w:t>
            </w:r>
          </w:p>
        </w:tc>
        <w:tc>
          <w:tcPr>
            <w:tcW w:w="749" w:type="dxa"/>
          </w:tcPr>
          <w:p w14:paraId="292FA4D4"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0.268</w:t>
            </w:r>
          </w:p>
        </w:tc>
        <w:tc>
          <w:tcPr>
            <w:tcW w:w="811" w:type="dxa"/>
          </w:tcPr>
          <w:p w14:paraId="23D32C43"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0.137</w:t>
            </w:r>
          </w:p>
        </w:tc>
        <w:tc>
          <w:tcPr>
            <w:tcW w:w="1417" w:type="dxa"/>
          </w:tcPr>
          <w:p w14:paraId="7755D89C"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0.059</w:t>
            </w:r>
          </w:p>
        </w:tc>
      </w:tr>
      <w:tr w:rsidR="008A379A" w:rsidRPr="008520E2" w14:paraId="0BDECBFF" w14:textId="77777777" w:rsidTr="00ED0AA6">
        <w:tc>
          <w:tcPr>
            <w:tcW w:w="1310" w:type="dxa"/>
          </w:tcPr>
          <w:p w14:paraId="154DC01D" w14:textId="431AEFFC" w:rsidR="008A379A" w:rsidRPr="008520E2" w:rsidRDefault="008A379A" w:rsidP="008520E2">
            <w:pPr>
              <w:spacing w:line="360" w:lineRule="auto"/>
              <w:jc w:val="both"/>
              <w:rPr>
                <w:color w:val="333333"/>
                <w:sz w:val="20"/>
                <w:szCs w:val="20"/>
                <w:shd w:val="clear" w:color="auto" w:fill="FFFFFF"/>
                <w:vertAlign w:val="superscript"/>
              </w:rPr>
            </w:pPr>
            <w:r w:rsidRPr="008520E2">
              <w:rPr>
                <w:color w:val="333333"/>
                <w:sz w:val="20"/>
                <w:szCs w:val="20"/>
                <w:shd w:val="clear" w:color="auto" w:fill="FFFFFF"/>
              </w:rPr>
              <w:t>Bal MS et al.</w:t>
            </w:r>
            <w:r w:rsidR="00B6435B" w:rsidRPr="008520E2">
              <w:rPr>
                <w:color w:val="333333"/>
                <w:sz w:val="20"/>
                <w:szCs w:val="20"/>
                <w:shd w:val="clear" w:color="auto" w:fill="FFFFFF"/>
                <w:vertAlign w:val="superscript"/>
              </w:rPr>
              <w:t>6</w:t>
            </w:r>
          </w:p>
        </w:tc>
        <w:tc>
          <w:tcPr>
            <w:tcW w:w="812" w:type="dxa"/>
          </w:tcPr>
          <w:p w14:paraId="62CFC7E3"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5</w:t>
            </w:r>
          </w:p>
        </w:tc>
        <w:tc>
          <w:tcPr>
            <w:tcW w:w="708" w:type="dxa"/>
          </w:tcPr>
          <w:p w14:paraId="583447E0"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0.3</w:t>
            </w:r>
          </w:p>
        </w:tc>
        <w:tc>
          <w:tcPr>
            <w:tcW w:w="993" w:type="dxa"/>
          </w:tcPr>
          <w:p w14:paraId="68B6323E"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w:t>
            </w:r>
          </w:p>
        </w:tc>
        <w:tc>
          <w:tcPr>
            <w:tcW w:w="841" w:type="dxa"/>
          </w:tcPr>
          <w:p w14:paraId="30B25482"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2.7</w:t>
            </w:r>
          </w:p>
        </w:tc>
        <w:tc>
          <w:tcPr>
            <w:tcW w:w="850" w:type="dxa"/>
          </w:tcPr>
          <w:p w14:paraId="4460CCDA"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0.7</w:t>
            </w:r>
          </w:p>
        </w:tc>
        <w:tc>
          <w:tcPr>
            <w:tcW w:w="718" w:type="dxa"/>
          </w:tcPr>
          <w:p w14:paraId="509FA7ED"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1.3</w:t>
            </w:r>
          </w:p>
        </w:tc>
        <w:tc>
          <w:tcPr>
            <w:tcW w:w="749" w:type="dxa"/>
          </w:tcPr>
          <w:p w14:paraId="17FA1C0C"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w:t>
            </w:r>
          </w:p>
        </w:tc>
        <w:tc>
          <w:tcPr>
            <w:tcW w:w="811" w:type="dxa"/>
          </w:tcPr>
          <w:p w14:paraId="7112AFE1"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w:t>
            </w:r>
          </w:p>
        </w:tc>
        <w:tc>
          <w:tcPr>
            <w:tcW w:w="1417" w:type="dxa"/>
          </w:tcPr>
          <w:p w14:paraId="74F23B6D"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w:t>
            </w:r>
          </w:p>
        </w:tc>
      </w:tr>
      <w:tr w:rsidR="008A379A" w:rsidRPr="008520E2" w14:paraId="5F1622F8" w14:textId="77777777" w:rsidTr="00ED0AA6">
        <w:tc>
          <w:tcPr>
            <w:tcW w:w="1310" w:type="dxa"/>
          </w:tcPr>
          <w:p w14:paraId="7D44B1CD" w14:textId="0555C950" w:rsidR="008A379A" w:rsidRPr="008520E2" w:rsidRDefault="008A379A" w:rsidP="008520E2">
            <w:pPr>
              <w:spacing w:line="360" w:lineRule="auto"/>
              <w:jc w:val="both"/>
              <w:rPr>
                <w:color w:val="333333"/>
                <w:sz w:val="20"/>
                <w:szCs w:val="20"/>
                <w:shd w:val="clear" w:color="auto" w:fill="FFFFFF"/>
                <w:vertAlign w:val="superscript"/>
              </w:rPr>
            </w:pPr>
            <w:r w:rsidRPr="008520E2">
              <w:rPr>
                <w:color w:val="333333"/>
                <w:sz w:val="20"/>
                <w:szCs w:val="20"/>
                <w:shd w:val="clear" w:color="auto" w:fill="FFFFFF"/>
              </w:rPr>
              <w:t>Elhakeem HA et al.</w:t>
            </w:r>
            <w:r w:rsidR="00B6435B" w:rsidRPr="008520E2">
              <w:rPr>
                <w:color w:val="333333"/>
                <w:sz w:val="20"/>
                <w:szCs w:val="20"/>
                <w:shd w:val="clear" w:color="auto" w:fill="FFFFFF"/>
                <w:vertAlign w:val="superscript"/>
              </w:rPr>
              <w:t>9</w:t>
            </w:r>
          </w:p>
        </w:tc>
        <w:tc>
          <w:tcPr>
            <w:tcW w:w="812" w:type="dxa"/>
          </w:tcPr>
          <w:p w14:paraId="4F660034"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7.9</w:t>
            </w:r>
          </w:p>
        </w:tc>
        <w:tc>
          <w:tcPr>
            <w:tcW w:w="708" w:type="dxa"/>
          </w:tcPr>
          <w:p w14:paraId="1722B91D"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2.76</w:t>
            </w:r>
          </w:p>
        </w:tc>
        <w:tc>
          <w:tcPr>
            <w:tcW w:w="993" w:type="dxa"/>
          </w:tcPr>
          <w:p w14:paraId="2A24486E"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0.19</w:t>
            </w:r>
          </w:p>
        </w:tc>
        <w:tc>
          <w:tcPr>
            <w:tcW w:w="841" w:type="dxa"/>
          </w:tcPr>
          <w:p w14:paraId="4CFB74F5"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1.3</w:t>
            </w:r>
          </w:p>
        </w:tc>
        <w:tc>
          <w:tcPr>
            <w:tcW w:w="850" w:type="dxa"/>
          </w:tcPr>
          <w:p w14:paraId="65C2C267"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0.66</w:t>
            </w:r>
          </w:p>
        </w:tc>
        <w:tc>
          <w:tcPr>
            <w:tcW w:w="718" w:type="dxa"/>
          </w:tcPr>
          <w:p w14:paraId="7BA8DCBB"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0.33</w:t>
            </w:r>
          </w:p>
        </w:tc>
        <w:tc>
          <w:tcPr>
            <w:tcW w:w="749" w:type="dxa"/>
          </w:tcPr>
          <w:p w14:paraId="1828E0AE"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w:t>
            </w:r>
          </w:p>
        </w:tc>
        <w:tc>
          <w:tcPr>
            <w:tcW w:w="811" w:type="dxa"/>
          </w:tcPr>
          <w:p w14:paraId="734038AB"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w:t>
            </w:r>
          </w:p>
        </w:tc>
        <w:tc>
          <w:tcPr>
            <w:tcW w:w="1417" w:type="dxa"/>
          </w:tcPr>
          <w:p w14:paraId="01CAE093" w14:textId="77777777" w:rsidR="008A379A" w:rsidRPr="008520E2" w:rsidRDefault="008A379A" w:rsidP="008520E2">
            <w:pPr>
              <w:spacing w:line="360" w:lineRule="auto"/>
              <w:jc w:val="both"/>
              <w:rPr>
                <w:color w:val="333333"/>
                <w:sz w:val="20"/>
                <w:szCs w:val="20"/>
                <w:shd w:val="clear" w:color="auto" w:fill="FFFFFF"/>
              </w:rPr>
            </w:pPr>
            <w:r w:rsidRPr="008520E2">
              <w:rPr>
                <w:color w:val="333333"/>
                <w:sz w:val="20"/>
                <w:szCs w:val="20"/>
                <w:shd w:val="clear" w:color="auto" w:fill="FFFFFF"/>
              </w:rPr>
              <w:t>-</w:t>
            </w:r>
          </w:p>
        </w:tc>
      </w:tr>
      <w:tr w:rsidR="00A6209C" w:rsidRPr="008520E2" w14:paraId="30E34C1F" w14:textId="77777777" w:rsidTr="00ED0AA6">
        <w:tc>
          <w:tcPr>
            <w:tcW w:w="1310" w:type="dxa"/>
          </w:tcPr>
          <w:p w14:paraId="188D11DD" w14:textId="239E5392" w:rsidR="00A6209C" w:rsidRPr="008520E2" w:rsidRDefault="00A6209C" w:rsidP="008520E2">
            <w:pPr>
              <w:spacing w:line="360" w:lineRule="auto"/>
              <w:jc w:val="both"/>
              <w:rPr>
                <w:color w:val="333333"/>
                <w:sz w:val="20"/>
                <w:szCs w:val="20"/>
                <w:shd w:val="clear" w:color="auto" w:fill="FFFFFF"/>
              </w:rPr>
            </w:pPr>
            <w:r w:rsidRPr="008520E2">
              <w:rPr>
                <w:color w:val="333333"/>
                <w:sz w:val="20"/>
                <w:szCs w:val="20"/>
                <w:shd w:val="clear" w:color="auto" w:fill="FFFFFF"/>
              </w:rPr>
              <w:t xml:space="preserve">Present study </w:t>
            </w:r>
          </w:p>
        </w:tc>
        <w:tc>
          <w:tcPr>
            <w:tcW w:w="812" w:type="dxa"/>
          </w:tcPr>
          <w:p w14:paraId="76F2FD42" w14:textId="0B9E1A51" w:rsidR="00A6209C" w:rsidRPr="008520E2" w:rsidRDefault="007E5C3A" w:rsidP="008520E2">
            <w:pPr>
              <w:spacing w:line="360" w:lineRule="auto"/>
              <w:jc w:val="both"/>
              <w:rPr>
                <w:color w:val="333333"/>
                <w:sz w:val="20"/>
                <w:szCs w:val="20"/>
                <w:shd w:val="clear" w:color="auto" w:fill="FFFFFF"/>
              </w:rPr>
            </w:pPr>
            <w:r w:rsidRPr="008520E2">
              <w:rPr>
                <w:color w:val="333333"/>
                <w:sz w:val="20"/>
                <w:szCs w:val="20"/>
                <w:shd w:val="clear" w:color="auto" w:fill="FFFFFF"/>
              </w:rPr>
              <w:t>2.</w:t>
            </w:r>
            <w:r w:rsidR="001051C8" w:rsidRPr="008520E2">
              <w:rPr>
                <w:color w:val="333333"/>
                <w:sz w:val="20"/>
                <w:szCs w:val="20"/>
                <w:shd w:val="clear" w:color="auto" w:fill="FFFFFF"/>
              </w:rPr>
              <w:t>4</w:t>
            </w:r>
          </w:p>
        </w:tc>
        <w:tc>
          <w:tcPr>
            <w:tcW w:w="708" w:type="dxa"/>
          </w:tcPr>
          <w:p w14:paraId="62EAD319" w14:textId="490704E5" w:rsidR="00A6209C" w:rsidRPr="008520E2" w:rsidRDefault="00A6209C" w:rsidP="008520E2">
            <w:pPr>
              <w:spacing w:line="360" w:lineRule="auto"/>
              <w:jc w:val="both"/>
              <w:rPr>
                <w:color w:val="333333"/>
                <w:sz w:val="20"/>
                <w:szCs w:val="20"/>
                <w:shd w:val="clear" w:color="auto" w:fill="FFFFFF"/>
              </w:rPr>
            </w:pPr>
            <w:r w:rsidRPr="008520E2">
              <w:rPr>
                <w:color w:val="333333"/>
                <w:sz w:val="20"/>
                <w:szCs w:val="20"/>
                <w:shd w:val="clear" w:color="auto" w:fill="FFFFFF"/>
              </w:rPr>
              <w:t>0.</w:t>
            </w:r>
            <w:r w:rsidR="001051C8" w:rsidRPr="008520E2">
              <w:rPr>
                <w:color w:val="333333"/>
                <w:sz w:val="20"/>
                <w:szCs w:val="20"/>
                <w:shd w:val="clear" w:color="auto" w:fill="FFFFFF"/>
              </w:rPr>
              <w:t>9</w:t>
            </w:r>
          </w:p>
        </w:tc>
        <w:tc>
          <w:tcPr>
            <w:tcW w:w="993" w:type="dxa"/>
          </w:tcPr>
          <w:p w14:paraId="65B14550" w14:textId="77777777" w:rsidR="00A6209C" w:rsidRPr="008520E2" w:rsidRDefault="00A6209C" w:rsidP="008520E2">
            <w:pPr>
              <w:spacing w:line="360" w:lineRule="auto"/>
              <w:jc w:val="both"/>
              <w:rPr>
                <w:color w:val="333333"/>
                <w:sz w:val="20"/>
                <w:szCs w:val="20"/>
                <w:shd w:val="clear" w:color="auto" w:fill="FFFFFF"/>
              </w:rPr>
            </w:pPr>
            <w:r w:rsidRPr="008520E2">
              <w:rPr>
                <w:color w:val="333333"/>
                <w:sz w:val="20"/>
                <w:szCs w:val="20"/>
                <w:shd w:val="clear" w:color="auto" w:fill="FFFFFF"/>
              </w:rPr>
              <w:t>0.5</w:t>
            </w:r>
          </w:p>
        </w:tc>
        <w:tc>
          <w:tcPr>
            <w:tcW w:w="841" w:type="dxa"/>
          </w:tcPr>
          <w:p w14:paraId="5CBD0918" w14:textId="77777777" w:rsidR="00A6209C" w:rsidRPr="008520E2" w:rsidRDefault="00A6209C" w:rsidP="008520E2">
            <w:pPr>
              <w:spacing w:line="360" w:lineRule="auto"/>
              <w:jc w:val="both"/>
              <w:rPr>
                <w:color w:val="333333"/>
                <w:sz w:val="20"/>
                <w:szCs w:val="20"/>
                <w:shd w:val="clear" w:color="auto" w:fill="FFFFFF"/>
              </w:rPr>
            </w:pPr>
            <w:r w:rsidRPr="008520E2">
              <w:rPr>
                <w:color w:val="333333"/>
                <w:sz w:val="20"/>
                <w:szCs w:val="20"/>
                <w:shd w:val="clear" w:color="auto" w:fill="FFFFFF"/>
              </w:rPr>
              <w:t>0.25</w:t>
            </w:r>
          </w:p>
        </w:tc>
        <w:tc>
          <w:tcPr>
            <w:tcW w:w="850" w:type="dxa"/>
          </w:tcPr>
          <w:p w14:paraId="5B12C14C" w14:textId="77777777" w:rsidR="00A6209C" w:rsidRPr="008520E2" w:rsidRDefault="00A6209C" w:rsidP="008520E2">
            <w:pPr>
              <w:spacing w:line="360" w:lineRule="auto"/>
              <w:jc w:val="both"/>
              <w:rPr>
                <w:color w:val="333333"/>
                <w:sz w:val="20"/>
                <w:szCs w:val="20"/>
                <w:shd w:val="clear" w:color="auto" w:fill="FFFFFF"/>
              </w:rPr>
            </w:pPr>
            <w:r w:rsidRPr="008520E2">
              <w:rPr>
                <w:color w:val="333333"/>
                <w:sz w:val="20"/>
                <w:szCs w:val="20"/>
                <w:shd w:val="clear" w:color="auto" w:fill="FFFFFF"/>
              </w:rPr>
              <w:t>0.5</w:t>
            </w:r>
          </w:p>
        </w:tc>
        <w:tc>
          <w:tcPr>
            <w:tcW w:w="718" w:type="dxa"/>
          </w:tcPr>
          <w:p w14:paraId="798E69CE" w14:textId="77777777" w:rsidR="00A6209C" w:rsidRPr="008520E2" w:rsidRDefault="00A6209C" w:rsidP="008520E2">
            <w:pPr>
              <w:spacing w:line="360" w:lineRule="auto"/>
              <w:jc w:val="both"/>
              <w:rPr>
                <w:color w:val="333333"/>
                <w:sz w:val="20"/>
                <w:szCs w:val="20"/>
                <w:shd w:val="clear" w:color="auto" w:fill="FFFFFF"/>
              </w:rPr>
            </w:pPr>
            <w:r w:rsidRPr="008520E2">
              <w:rPr>
                <w:color w:val="333333"/>
                <w:sz w:val="20"/>
                <w:szCs w:val="20"/>
                <w:shd w:val="clear" w:color="auto" w:fill="FFFFFF"/>
              </w:rPr>
              <w:t>-</w:t>
            </w:r>
          </w:p>
        </w:tc>
        <w:tc>
          <w:tcPr>
            <w:tcW w:w="749" w:type="dxa"/>
          </w:tcPr>
          <w:p w14:paraId="677E04EF" w14:textId="0269BD9D" w:rsidR="00A6209C" w:rsidRPr="008520E2" w:rsidRDefault="008727F0" w:rsidP="008520E2">
            <w:pPr>
              <w:spacing w:line="360" w:lineRule="auto"/>
              <w:jc w:val="both"/>
              <w:rPr>
                <w:color w:val="333333"/>
                <w:sz w:val="20"/>
                <w:szCs w:val="20"/>
                <w:shd w:val="clear" w:color="auto" w:fill="FFFFFF"/>
              </w:rPr>
            </w:pPr>
            <w:r w:rsidRPr="008520E2">
              <w:rPr>
                <w:color w:val="333333"/>
                <w:sz w:val="20"/>
                <w:szCs w:val="20"/>
                <w:shd w:val="clear" w:color="auto" w:fill="FFFFFF"/>
              </w:rPr>
              <w:t>0.25</w:t>
            </w:r>
          </w:p>
        </w:tc>
        <w:tc>
          <w:tcPr>
            <w:tcW w:w="811" w:type="dxa"/>
          </w:tcPr>
          <w:p w14:paraId="689043D3" w14:textId="77777777" w:rsidR="00A6209C" w:rsidRPr="008520E2" w:rsidRDefault="00A6209C" w:rsidP="008520E2">
            <w:pPr>
              <w:spacing w:line="360" w:lineRule="auto"/>
              <w:jc w:val="both"/>
              <w:rPr>
                <w:color w:val="333333"/>
                <w:sz w:val="20"/>
                <w:szCs w:val="20"/>
                <w:shd w:val="clear" w:color="auto" w:fill="FFFFFF"/>
              </w:rPr>
            </w:pPr>
            <w:r w:rsidRPr="008520E2">
              <w:rPr>
                <w:color w:val="333333"/>
                <w:sz w:val="20"/>
                <w:szCs w:val="20"/>
                <w:shd w:val="clear" w:color="auto" w:fill="FFFFFF"/>
              </w:rPr>
              <w:t>-</w:t>
            </w:r>
          </w:p>
        </w:tc>
        <w:tc>
          <w:tcPr>
            <w:tcW w:w="1417" w:type="dxa"/>
          </w:tcPr>
          <w:p w14:paraId="0186F14A" w14:textId="77777777" w:rsidR="00A6209C" w:rsidRPr="008520E2" w:rsidRDefault="00A6209C" w:rsidP="008520E2">
            <w:pPr>
              <w:spacing w:line="360" w:lineRule="auto"/>
              <w:jc w:val="both"/>
              <w:rPr>
                <w:color w:val="333333"/>
                <w:sz w:val="20"/>
                <w:szCs w:val="20"/>
                <w:shd w:val="clear" w:color="auto" w:fill="FFFFFF"/>
              </w:rPr>
            </w:pPr>
            <w:r w:rsidRPr="008520E2">
              <w:rPr>
                <w:color w:val="333333"/>
                <w:sz w:val="20"/>
                <w:szCs w:val="20"/>
                <w:shd w:val="clear" w:color="auto" w:fill="FFFFFF"/>
              </w:rPr>
              <w:t>-</w:t>
            </w:r>
          </w:p>
        </w:tc>
      </w:tr>
    </w:tbl>
    <w:p w14:paraId="7F135031" w14:textId="77777777" w:rsidR="008520E2" w:rsidRDefault="008A379A" w:rsidP="008520E2">
      <w:pPr>
        <w:spacing w:line="360" w:lineRule="auto"/>
        <w:jc w:val="both"/>
        <w:rPr>
          <w:sz w:val="20"/>
          <w:szCs w:val="20"/>
          <w:vertAlign w:val="superscript"/>
        </w:rPr>
      </w:pPr>
      <w:r w:rsidRPr="008520E2">
        <w:rPr>
          <w:sz w:val="20"/>
          <w:szCs w:val="20"/>
          <w:vertAlign w:val="superscript"/>
        </w:rPr>
        <w:t xml:space="preserve">    </w:t>
      </w:r>
    </w:p>
    <w:p w14:paraId="7B200082" w14:textId="77777777" w:rsidR="00D809AC" w:rsidRDefault="00D809AC" w:rsidP="008520E2">
      <w:pPr>
        <w:spacing w:line="360" w:lineRule="auto"/>
        <w:jc w:val="both"/>
        <w:rPr>
          <w:sz w:val="20"/>
          <w:szCs w:val="20"/>
        </w:rPr>
      </w:pPr>
    </w:p>
    <w:p w14:paraId="15C062EE" w14:textId="77777777" w:rsidR="00D809AC" w:rsidRDefault="00D809AC" w:rsidP="008520E2">
      <w:pPr>
        <w:spacing w:line="360" w:lineRule="auto"/>
        <w:jc w:val="both"/>
        <w:rPr>
          <w:sz w:val="20"/>
          <w:szCs w:val="20"/>
        </w:rPr>
      </w:pPr>
    </w:p>
    <w:p w14:paraId="10A006ED" w14:textId="77777777" w:rsidR="00D809AC" w:rsidRDefault="00D809AC" w:rsidP="008520E2">
      <w:pPr>
        <w:spacing w:line="360" w:lineRule="auto"/>
        <w:jc w:val="both"/>
        <w:rPr>
          <w:sz w:val="20"/>
          <w:szCs w:val="20"/>
        </w:rPr>
      </w:pPr>
    </w:p>
    <w:p w14:paraId="663669FE" w14:textId="77777777" w:rsidR="00D809AC" w:rsidRDefault="00D809AC" w:rsidP="008520E2">
      <w:pPr>
        <w:spacing w:line="360" w:lineRule="auto"/>
        <w:jc w:val="both"/>
        <w:rPr>
          <w:sz w:val="20"/>
          <w:szCs w:val="20"/>
        </w:rPr>
      </w:pPr>
    </w:p>
    <w:p w14:paraId="73B979B6" w14:textId="22F85B0B" w:rsidR="008A379A" w:rsidRPr="008520E2" w:rsidRDefault="008A379A" w:rsidP="008520E2">
      <w:pPr>
        <w:spacing w:line="360" w:lineRule="auto"/>
        <w:jc w:val="both"/>
        <w:rPr>
          <w:sz w:val="20"/>
          <w:szCs w:val="20"/>
          <w:vertAlign w:val="superscript"/>
        </w:rPr>
      </w:pPr>
      <w:r w:rsidRPr="008520E2">
        <w:rPr>
          <w:sz w:val="20"/>
          <w:szCs w:val="20"/>
        </w:rPr>
        <w:t xml:space="preserve">COMPARISON BETWEEN DISTRIBUTION OF INFLAMMATORY SMEARS WITH A SIMILAR STUDY </w:t>
      </w:r>
    </w:p>
    <w:p w14:paraId="2D7F26F1" w14:textId="508D2271" w:rsidR="008A379A" w:rsidRPr="008520E2" w:rsidRDefault="008A379A" w:rsidP="008520E2">
      <w:pPr>
        <w:spacing w:line="360" w:lineRule="auto"/>
        <w:jc w:val="both"/>
        <w:rPr>
          <w:sz w:val="20"/>
          <w:szCs w:val="20"/>
          <w:vertAlign w:val="superscript"/>
        </w:rPr>
      </w:pPr>
    </w:p>
    <w:tbl>
      <w:tblPr>
        <w:tblStyle w:val="TableGrid"/>
        <w:tblW w:w="9896" w:type="dxa"/>
        <w:tblLook w:val="04A0" w:firstRow="1" w:lastRow="0" w:firstColumn="1" w:lastColumn="0" w:noHBand="0" w:noVBand="1"/>
      </w:tblPr>
      <w:tblGrid>
        <w:gridCol w:w="950"/>
        <w:gridCol w:w="956"/>
        <w:gridCol w:w="1536"/>
        <w:gridCol w:w="1536"/>
        <w:gridCol w:w="1123"/>
        <w:gridCol w:w="1336"/>
        <w:gridCol w:w="1483"/>
        <w:gridCol w:w="976"/>
      </w:tblGrid>
      <w:tr w:rsidR="008A379A" w:rsidRPr="008520E2" w14:paraId="0DF2DC7B" w14:textId="77777777" w:rsidTr="00ED0AA6">
        <w:tc>
          <w:tcPr>
            <w:tcW w:w="950" w:type="dxa"/>
          </w:tcPr>
          <w:p w14:paraId="0205ADB7" w14:textId="77777777" w:rsidR="008A379A" w:rsidRPr="008520E2" w:rsidRDefault="008A379A" w:rsidP="008520E2">
            <w:pPr>
              <w:spacing w:line="360" w:lineRule="auto"/>
              <w:jc w:val="both"/>
              <w:rPr>
                <w:sz w:val="20"/>
                <w:szCs w:val="20"/>
                <w:vertAlign w:val="superscript"/>
              </w:rPr>
            </w:pPr>
          </w:p>
        </w:tc>
        <w:tc>
          <w:tcPr>
            <w:tcW w:w="956" w:type="dxa"/>
          </w:tcPr>
          <w:p w14:paraId="2EE607DE" w14:textId="77777777" w:rsidR="008A379A" w:rsidRPr="008520E2" w:rsidRDefault="008A379A" w:rsidP="008520E2">
            <w:pPr>
              <w:spacing w:line="360" w:lineRule="auto"/>
              <w:jc w:val="both"/>
              <w:rPr>
                <w:sz w:val="20"/>
                <w:szCs w:val="20"/>
              </w:rPr>
            </w:pPr>
            <w:r w:rsidRPr="008520E2">
              <w:rPr>
                <w:sz w:val="20"/>
                <w:szCs w:val="20"/>
                <w:vertAlign w:val="superscript"/>
              </w:rPr>
              <w:t xml:space="preserve">  </w:t>
            </w:r>
            <w:r w:rsidRPr="008520E2">
              <w:rPr>
                <w:sz w:val="20"/>
                <w:szCs w:val="20"/>
              </w:rPr>
              <w:t>NILM</w:t>
            </w:r>
          </w:p>
        </w:tc>
        <w:tc>
          <w:tcPr>
            <w:tcW w:w="1536" w:type="dxa"/>
          </w:tcPr>
          <w:p w14:paraId="49C8A6F1" w14:textId="77777777" w:rsidR="008A379A" w:rsidRPr="008520E2" w:rsidRDefault="008A379A" w:rsidP="008520E2">
            <w:pPr>
              <w:spacing w:line="360" w:lineRule="auto"/>
              <w:jc w:val="both"/>
              <w:rPr>
                <w:sz w:val="20"/>
                <w:szCs w:val="20"/>
              </w:rPr>
            </w:pPr>
            <w:r w:rsidRPr="008520E2">
              <w:rPr>
                <w:sz w:val="20"/>
                <w:szCs w:val="20"/>
              </w:rPr>
              <w:t>Inflammatory smears (NILM)</w:t>
            </w:r>
          </w:p>
        </w:tc>
        <w:tc>
          <w:tcPr>
            <w:tcW w:w="1536" w:type="dxa"/>
          </w:tcPr>
          <w:p w14:paraId="31B94D7C" w14:textId="77777777" w:rsidR="008A379A" w:rsidRPr="008520E2" w:rsidRDefault="008A379A" w:rsidP="008520E2">
            <w:pPr>
              <w:spacing w:line="360" w:lineRule="auto"/>
              <w:jc w:val="both"/>
              <w:rPr>
                <w:sz w:val="20"/>
                <w:szCs w:val="20"/>
              </w:rPr>
            </w:pPr>
            <w:r w:rsidRPr="008520E2">
              <w:rPr>
                <w:sz w:val="20"/>
                <w:szCs w:val="20"/>
              </w:rPr>
              <w:t>Inflammatory smears associated with infection</w:t>
            </w:r>
          </w:p>
        </w:tc>
        <w:tc>
          <w:tcPr>
            <w:tcW w:w="1123" w:type="dxa"/>
          </w:tcPr>
          <w:p w14:paraId="2CDE5109" w14:textId="77777777" w:rsidR="008A379A" w:rsidRPr="008520E2" w:rsidRDefault="008A379A" w:rsidP="008520E2">
            <w:pPr>
              <w:spacing w:line="360" w:lineRule="auto"/>
              <w:jc w:val="both"/>
              <w:rPr>
                <w:sz w:val="20"/>
                <w:szCs w:val="20"/>
              </w:rPr>
            </w:pPr>
            <w:r w:rsidRPr="008520E2">
              <w:rPr>
                <w:sz w:val="20"/>
                <w:szCs w:val="20"/>
              </w:rPr>
              <w:t>Bacterial vaginosis</w:t>
            </w:r>
          </w:p>
        </w:tc>
        <w:tc>
          <w:tcPr>
            <w:tcW w:w="1336" w:type="dxa"/>
          </w:tcPr>
          <w:p w14:paraId="67D78894" w14:textId="77777777" w:rsidR="008A379A" w:rsidRPr="008520E2" w:rsidRDefault="008A379A" w:rsidP="008520E2">
            <w:pPr>
              <w:spacing w:line="360" w:lineRule="auto"/>
              <w:jc w:val="both"/>
              <w:rPr>
                <w:sz w:val="20"/>
                <w:szCs w:val="20"/>
              </w:rPr>
            </w:pPr>
            <w:r w:rsidRPr="008520E2">
              <w:rPr>
                <w:sz w:val="20"/>
                <w:szCs w:val="20"/>
              </w:rPr>
              <w:t>Candidiasis</w:t>
            </w:r>
          </w:p>
        </w:tc>
        <w:tc>
          <w:tcPr>
            <w:tcW w:w="1483" w:type="dxa"/>
          </w:tcPr>
          <w:p w14:paraId="529F8C74" w14:textId="77777777" w:rsidR="008A379A" w:rsidRPr="008520E2" w:rsidRDefault="008A379A" w:rsidP="008520E2">
            <w:pPr>
              <w:spacing w:line="360" w:lineRule="auto"/>
              <w:jc w:val="both"/>
              <w:rPr>
                <w:sz w:val="20"/>
                <w:szCs w:val="20"/>
              </w:rPr>
            </w:pPr>
            <w:r w:rsidRPr="008520E2">
              <w:rPr>
                <w:sz w:val="20"/>
                <w:szCs w:val="20"/>
              </w:rPr>
              <w:t>Trichomonas vaginalis</w:t>
            </w:r>
          </w:p>
        </w:tc>
        <w:tc>
          <w:tcPr>
            <w:tcW w:w="976" w:type="dxa"/>
          </w:tcPr>
          <w:p w14:paraId="4DDC0D31" w14:textId="77777777" w:rsidR="008A379A" w:rsidRPr="008520E2" w:rsidRDefault="008A379A" w:rsidP="008520E2">
            <w:pPr>
              <w:spacing w:line="360" w:lineRule="auto"/>
              <w:jc w:val="both"/>
              <w:rPr>
                <w:sz w:val="20"/>
                <w:szCs w:val="20"/>
              </w:rPr>
            </w:pPr>
            <w:r w:rsidRPr="008520E2">
              <w:rPr>
                <w:sz w:val="20"/>
                <w:szCs w:val="20"/>
              </w:rPr>
              <w:t>Herpes simplex</w:t>
            </w:r>
          </w:p>
        </w:tc>
      </w:tr>
      <w:tr w:rsidR="008A379A" w:rsidRPr="008520E2" w14:paraId="1C3893CF" w14:textId="77777777" w:rsidTr="00ED0AA6">
        <w:tc>
          <w:tcPr>
            <w:tcW w:w="950" w:type="dxa"/>
          </w:tcPr>
          <w:p w14:paraId="39011FB1" w14:textId="3E01EFF3" w:rsidR="008A379A" w:rsidRPr="008520E2" w:rsidRDefault="008A379A" w:rsidP="008520E2">
            <w:pPr>
              <w:spacing w:line="360" w:lineRule="auto"/>
              <w:jc w:val="both"/>
              <w:rPr>
                <w:sz w:val="20"/>
                <w:szCs w:val="20"/>
                <w:vertAlign w:val="superscript"/>
              </w:rPr>
            </w:pPr>
            <w:r w:rsidRPr="008520E2">
              <w:rPr>
                <w:sz w:val="20"/>
                <w:szCs w:val="20"/>
              </w:rPr>
              <w:t>Kumari  M et al.</w:t>
            </w:r>
            <w:r w:rsidR="00441C52" w:rsidRPr="008520E2">
              <w:rPr>
                <w:sz w:val="20"/>
                <w:szCs w:val="20"/>
                <w:vertAlign w:val="superscript"/>
              </w:rPr>
              <w:t>8</w:t>
            </w:r>
          </w:p>
        </w:tc>
        <w:tc>
          <w:tcPr>
            <w:tcW w:w="956" w:type="dxa"/>
          </w:tcPr>
          <w:p w14:paraId="7B29AE4D" w14:textId="77777777" w:rsidR="008A379A" w:rsidRPr="008520E2" w:rsidRDefault="008A379A" w:rsidP="008520E2">
            <w:pPr>
              <w:spacing w:line="360" w:lineRule="auto"/>
              <w:jc w:val="both"/>
              <w:rPr>
                <w:sz w:val="20"/>
                <w:szCs w:val="20"/>
              </w:rPr>
            </w:pPr>
            <w:r w:rsidRPr="008520E2">
              <w:rPr>
                <w:sz w:val="20"/>
                <w:szCs w:val="20"/>
              </w:rPr>
              <w:t>92.68%</w:t>
            </w:r>
          </w:p>
        </w:tc>
        <w:tc>
          <w:tcPr>
            <w:tcW w:w="1536" w:type="dxa"/>
          </w:tcPr>
          <w:p w14:paraId="0910BA7C" w14:textId="77777777" w:rsidR="008A379A" w:rsidRPr="008520E2" w:rsidRDefault="008A379A" w:rsidP="008520E2">
            <w:pPr>
              <w:spacing w:line="360" w:lineRule="auto"/>
              <w:jc w:val="both"/>
              <w:rPr>
                <w:sz w:val="20"/>
                <w:szCs w:val="20"/>
                <w:vertAlign w:val="superscript"/>
              </w:rPr>
            </w:pPr>
            <w:r w:rsidRPr="008520E2">
              <w:rPr>
                <w:sz w:val="20"/>
                <w:szCs w:val="20"/>
              </w:rPr>
              <w:t>21.6%</w:t>
            </w:r>
          </w:p>
        </w:tc>
        <w:tc>
          <w:tcPr>
            <w:tcW w:w="1536" w:type="dxa"/>
          </w:tcPr>
          <w:p w14:paraId="61CED9EC" w14:textId="77777777" w:rsidR="008A379A" w:rsidRPr="008520E2" w:rsidRDefault="008A379A" w:rsidP="008520E2">
            <w:pPr>
              <w:spacing w:line="360" w:lineRule="auto"/>
              <w:jc w:val="both"/>
              <w:rPr>
                <w:sz w:val="20"/>
                <w:szCs w:val="20"/>
              </w:rPr>
            </w:pPr>
            <w:r w:rsidRPr="008520E2">
              <w:rPr>
                <w:sz w:val="20"/>
                <w:szCs w:val="20"/>
              </w:rPr>
              <w:t>13.8%</w:t>
            </w:r>
          </w:p>
        </w:tc>
        <w:tc>
          <w:tcPr>
            <w:tcW w:w="1123" w:type="dxa"/>
          </w:tcPr>
          <w:p w14:paraId="578B1963" w14:textId="77777777" w:rsidR="008A379A" w:rsidRPr="008520E2" w:rsidRDefault="008A379A" w:rsidP="008520E2">
            <w:pPr>
              <w:spacing w:line="360" w:lineRule="auto"/>
              <w:jc w:val="both"/>
              <w:rPr>
                <w:sz w:val="20"/>
                <w:szCs w:val="20"/>
              </w:rPr>
            </w:pPr>
            <w:r w:rsidRPr="008520E2">
              <w:rPr>
                <w:sz w:val="20"/>
                <w:szCs w:val="20"/>
              </w:rPr>
              <w:t>9.6%</w:t>
            </w:r>
          </w:p>
        </w:tc>
        <w:tc>
          <w:tcPr>
            <w:tcW w:w="1336" w:type="dxa"/>
          </w:tcPr>
          <w:p w14:paraId="0E59BEF6" w14:textId="77777777" w:rsidR="008A379A" w:rsidRPr="008520E2" w:rsidRDefault="008A379A" w:rsidP="008520E2">
            <w:pPr>
              <w:spacing w:line="360" w:lineRule="auto"/>
              <w:jc w:val="both"/>
              <w:rPr>
                <w:sz w:val="20"/>
                <w:szCs w:val="20"/>
              </w:rPr>
            </w:pPr>
            <w:r w:rsidRPr="008520E2">
              <w:rPr>
                <w:sz w:val="20"/>
                <w:szCs w:val="20"/>
              </w:rPr>
              <w:t>2.4%</w:t>
            </w:r>
          </w:p>
        </w:tc>
        <w:tc>
          <w:tcPr>
            <w:tcW w:w="1483" w:type="dxa"/>
          </w:tcPr>
          <w:p w14:paraId="23FFAE99" w14:textId="77777777" w:rsidR="008A379A" w:rsidRPr="008520E2" w:rsidRDefault="008A379A" w:rsidP="008520E2">
            <w:pPr>
              <w:spacing w:line="360" w:lineRule="auto"/>
              <w:jc w:val="both"/>
              <w:rPr>
                <w:sz w:val="20"/>
                <w:szCs w:val="20"/>
              </w:rPr>
            </w:pPr>
            <w:r w:rsidRPr="008520E2">
              <w:rPr>
                <w:sz w:val="20"/>
                <w:szCs w:val="20"/>
              </w:rPr>
              <w:t xml:space="preserve"> 1.5%</w:t>
            </w:r>
          </w:p>
        </w:tc>
        <w:tc>
          <w:tcPr>
            <w:tcW w:w="976" w:type="dxa"/>
          </w:tcPr>
          <w:p w14:paraId="22D9E525" w14:textId="77777777" w:rsidR="008A379A" w:rsidRPr="008520E2" w:rsidRDefault="008A379A" w:rsidP="008520E2">
            <w:pPr>
              <w:spacing w:line="360" w:lineRule="auto"/>
              <w:jc w:val="both"/>
              <w:rPr>
                <w:sz w:val="20"/>
                <w:szCs w:val="20"/>
              </w:rPr>
            </w:pPr>
            <w:r w:rsidRPr="008520E2">
              <w:rPr>
                <w:sz w:val="20"/>
                <w:szCs w:val="20"/>
              </w:rPr>
              <w:t>0.16%</w:t>
            </w:r>
          </w:p>
        </w:tc>
      </w:tr>
      <w:tr w:rsidR="008A379A" w:rsidRPr="008520E2" w14:paraId="22BFFA04" w14:textId="77777777" w:rsidTr="00ED0AA6">
        <w:tc>
          <w:tcPr>
            <w:tcW w:w="950" w:type="dxa"/>
          </w:tcPr>
          <w:p w14:paraId="418B3E19" w14:textId="01561C4C" w:rsidR="008A379A" w:rsidRPr="008520E2" w:rsidRDefault="008A379A" w:rsidP="008520E2">
            <w:pPr>
              <w:spacing w:line="360" w:lineRule="auto"/>
              <w:jc w:val="both"/>
              <w:rPr>
                <w:sz w:val="20"/>
                <w:szCs w:val="20"/>
              </w:rPr>
            </w:pPr>
            <w:r w:rsidRPr="008520E2">
              <w:rPr>
                <w:sz w:val="20"/>
                <w:szCs w:val="20"/>
              </w:rPr>
              <w:t xml:space="preserve">Present study </w:t>
            </w:r>
          </w:p>
        </w:tc>
        <w:tc>
          <w:tcPr>
            <w:tcW w:w="956" w:type="dxa"/>
          </w:tcPr>
          <w:p w14:paraId="15DA0D04" w14:textId="586A19AE" w:rsidR="008A379A" w:rsidRPr="008520E2" w:rsidRDefault="008A379A" w:rsidP="008520E2">
            <w:pPr>
              <w:spacing w:line="360" w:lineRule="auto"/>
              <w:jc w:val="both"/>
              <w:rPr>
                <w:sz w:val="20"/>
                <w:szCs w:val="20"/>
              </w:rPr>
            </w:pPr>
            <w:r w:rsidRPr="008520E2">
              <w:rPr>
                <w:sz w:val="20"/>
                <w:szCs w:val="20"/>
              </w:rPr>
              <w:t>89</w:t>
            </w:r>
            <w:r w:rsidR="000E348F" w:rsidRPr="008520E2">
              <w:rPr>
                <w:sz w:val="20"/>
                <w:szCs w:val="20"/>
              </w:rPr>
              <w:t xml:space="preserve">.2 </w:t>
            </w:r>
            <w:r w:rsidRPr="008520E2">
              <w:rPr>
                <w:sz w:val="20"/>
                <w:szCs w:val="20"/>
              </w:rPr>
              <w:t>%</w:t>
            </w:r>
          </w:p>
        </w:tc>
        <w:tc>
          <w:tcPr>
            <w:tcW w:w="1536" w:type="dxa"/>
          </w:tcPr>
          <w:p w14:paraId="69321450" w14:textId="77777777" w:rsidR="008A379A" w:rsidRPr="008520E2" w:rsidRDefault="008A379A" w:rsidP="008520E2">
            <w:pPr>
              <w:spacing w:line="360" w:lineRule="auto"/>
              <w:jc w:val="both"/>
              <w:rPr>
                <w:sz w:val="20"/>
                <w:szCs w:val="20"/>
              </w:rPr>
            </w:pPr>
            <w:r w:rsidRPr="008520E2">
              <w:rPr>
                <w:sz w:val="20"/>
                <w:szCs w:val="20"/>
              </w:rPr>
              <w:t>40%</w:t>
            </w:r>
          </w:p>
        </w:tc>
        <w:tc>
          <w:tcPr>
            <w:tcW w:w="1536" w:type="dxa"/>
          </w:tcPr>
          <w:p w14:paraId="4142344D" w14:textId="77777777" w:rsidR="008A379A" w:rsidRPr="008520E2" w:rsidRDefault="008A379A" w:rsidP="008520E2">
            <w:pPr>
              <w:spacing w:line="360" w:lineRule="auto"/>
              <w:jc w:val="both"/>
              <w:rPr>
                <w:sz w:val="20"/>
                <w:szCs w:val="20"/>
              </w:rPr>
            </w:pPr>
            <w:r w:rsidRPr="008520E2">
              <w:rPr>
                <w:sz w:val="20"/>
                <w:szCs w:val="20"/>
              </w:rPr>
              <w:t>19.2%</w:t>
            </w:r>
          </w:p>
        </w:tc>
        <w:tc>
          <w:tcPr>
            <w:tcW w:w="1123" w:type="dxa"/>
          </w:tcPr>
          <w:p w14:paraId="23DD55C0" w14:textId="77777777" w:rsidR="008A379A" w:rsidRPr="008520E2" w:rsidRDefault="008A379A" w:rsidP="008520E2">
            <w:pPr>
              <w:spacing w:line="360" w:lineRule="auto"/>
              <w:jc w:val="both"/>
              <w:rPr>
                <w:sz w:val="20"/>
                <w:szCs w:val="20"/>
              </w:rPr>
            </w:pPr>
            <w:r w:rsidRPr="008520E2">
              <w:rPr>
                <w:sz w:val="20"/>
                <w:szCs w:val="20"/>
              </w:rPr>
              <w:t>12.6%</w:t>
            </w:r>
          </w:p>
        </w:tc>
        <w:tc>
          <w:tcPr>
            <w:tcW w:w="1336" w:type="dxa"/>
          </w:tcPr>
          <w:p w14:paraId="7D2F702D" w14:textId="77777777" w:rsidR="008A379A" w:rsidRPr="008520E2" w:rsidRDefault="008A379A" w:rsidP="008520E2">
            <w:pPr>
              <w:spacing w:line="360" w:lineRule="auto"/>
              <w:jc w:val="both"/>
              <w:rPr>
                <w:sz w:val="20"/>
                <w:szCs w:val="20"/>
              </w:rPr>
            </w:pPr>
            <w:r w:rsidRPr="008520E2">
              <w:rPr>
                <w:sz w:val="20"/>
                <w:szCs w:val="20"/>
              </w:rPr>
              <w:t>4.5%</w:t>
            </w:r>
          </w:p>
        </w:tc>
        <w:tc>
          <w:tcPr>
            <w:tcW w:w="1483" w:type="dxa"/>
          </w:tcPr>
          <w:p w14:paraId="1FEF6EDA" w14:textId="77777777" w:rsidR="008A379A" w:rsidRPr="008520E2" w:rsidRDefault="008A379A" w:rsidP="008520E2">
            <w:pPr>
              <w:spacing w:line="360" w:lineRule="auto"/>
              <w:jc w:val="both"/>
              <w:rPr>
                <w:sz w:val="20"/>
                <w:szCs w:val="20"/>
              </w:rPr>
            </w:pPr>
            <w:r w:rsidRPr="008520E2">
              <w:rPr>
                <w:sz w:val="20"/>
                <w:szCs w:val="20"/>
              </w:rPr>
              <w:t>1.4%</w:t>
            </w:r>
          </w:p>
        </w:tc>
        <w:tc>
          <w:tcPr>
            <w:tcW w:w="976" w:type="dxa"/>
          </w:tcPr>
          <w:p w14:paraId="3F7C6874" w14:textId="77777777" w:rsidR="008A379A" w:rsidRPr="008520E2" w:rsidRDefault="008A379A" w:rsidP="008520E2">
            <w:pPr>
              <w:spacing w:line="360" w:lineRule="auto"/>
              <w:jc w:val="both"/>
              <w:rPr>
                <w:sz w:val="20"/>
                <w:szCs w:val="20"/>
              </w:rPr>
            </w:pPr>
            <w:r w:rsidRPr="008520E2">
              <w:rPr>
                <w:sz w:val="20"/>
                <w:szCs w:val="20"/>
              </w:rPr>
              <w:t>0.7%</w:t>
            </w:r>
          </w:p>
        </w:tc>
      </w:tr>
    </w:tbl>
    <w:p w14:paraId="516F3BD7" w14:textId="77777777" w:rsidR="00D809AC" w:rsidRDefault="00D809AC" w:rsidP="008520E2">
      <w:pPr>
        <w:spacing w:line="360" w:lineRule="auto"/>
        <w:jc w:val="both"/>
        <w:rPr>
          <w:b/>
          <w:bCs/>
          <w:sz w:val="20"/>
          <w:szCs w:val="20"/>
        </w:rPr>
      </w:pPr>
    </w:p>
    <w:p w14:paraId="7DB0767B" w14:textId="1B1C83ED" w:rsidR="003B2F00" w:rsidRPr="008520E2" w:rsidRDefault="003B2F00" w:rsidP="008520E2">
      <w:pPr>
        <w:spacing w:line="360" w:lineRule="auto"/>
        <w:jc w:val="both"/>
        <w:rPr>
          <w:b/>
          <w:bCs/>
          <w:sz w:val="20"/>
          <w:szCs w:val="20"/>
        </w:rPr>
      </w:pPr>
      <w:r w:rsidRPr="008520E2">
        <w:rPr>
          <w:b/>
          <w:bCs/>
          <w:sz w:val="20"/>
          <w:szCs w:val="20"/>
        </w:rPr>
        <w:t>COMPARISON OF ASC/SIL RATIO WITH OTHER STUDIES</w:t>
      </w:r>
    </w:p>
    <w:tbl>
      <w:tblPr>
        <w:tblStyle w:val="TableGrid"/>
        <w:tblW w:w="0" w:type="auto"/>
        <w:tblLook w:val="04A0" w:firstRow="1" w:lastRow="0" w:firstColumn="1" w:lastColumn="0" w:noHBand="0" w:noVBand="1"/>
      </w:tblPr>
      <w:tblGrid>
        <w:gridCol w:w="4508"/>
        <w:gridCol w:w="4508"/>
      </w:tblGrid>
      <w:tr w:rsidR="00260F58" w:rsidRPr="008520E2" w14:paraId="1ABD22F2" w14:textId="77777777" w:rsidTr="00260F58">
        <w:tc>
          <w:tcPr>
            <w:tcW w:w="4508" w:type="dxa"/>
          </w:tcPr>
          <w:p w14:paraId="1246AA13" w14:textId="32E00A54" w:rsidR="00260F58" w:rsidRPr="008520E2" w:rsidRDefault="00260F58" w:rsidP="008520E2">
            <w:pPr>
              <w:spacing w:line="360" w:lineRule="auto"/>
              <w:jc w:val="both"/>
              <w:rPr>
                <w:sz w:val="20"/>
                <w:szCs w:val="20"/>
              </w:rPr>
            </w:pPr>
            <w:r w:rsidRPr="008520E2">
              <w:rPr>
                <w:sz w:val="20"/>
                <w:szCs w:val="20"/>
              </w:rPr>
              <w:t>Study</w:t>
            </w:r>
          </w:p>
        </w:tc>
        <w:tc>
          <w:tcPr>
            <w:tcW w:w="4508" w:type="dxa"/>
          </w:tcPr>
          <w:p w14:paraId="3BF75679" w14:textId="6CFCFA98" w:rsidR="00260F58" w:rsidRPr="008520E2" w:rsidRDefault="00260F58" w:rsidP="008520E2">
            <w:pPr>
              <w:spacing w:line="360" w:lineRule="auto"/>
              <w:jc w:val="both"/>
              <w:rPr>
                <w:sz w:val="20"/>
                <w:szCs w:val="20"/>
              </w:rPr>
            </w:pPr>
            <w:r w:rsidRPr="008520E2">
              <w:rPr>
                <w:sz w:val="20"/>
                <w:szCs w:val="20"/>
              </w:rPr>
              <w:t>ASC/SIL RATIO</w:t>
            </w:r>
          </w:p>
        </w:tc>
      </w:tr>
      <w:tr w:rsidR="00260F58" w:rsidRPr="008520E2" w14:paraId="763F2EBD" w14:textId="77777777" w:rsidTr="00260F58">
        <w:tc>
          <w:tcPr>
            <w:tcW w:w="4508" w:type="dxa"/>
          </w:tcPr>
          <w:p w14:paraId="64F26039" w14:textId="7CDB27B8" w:rsidR="00260F58" w:rsidRPr="008520E2" w:rsidRDefault="008003C0" w:rsidP="008520E2">
            <w:pPr>
              <w:spacing w:line="360" w:lineRule="auto"/>
              <w:jc w:val="both"/>
              <w:rPr>
                <w:sz w:val="20"/>
                <w:szCs w:val="20"/>
                <w:vertAlign w:val="superscript"/>
              </w:rPr>
            </w:pPr>
            <w:r w:rsidRPr="008520E2">
              <w:rPr>
                <w:sz w:val="20"/>
                <w:szCs w:val="20"/>
              </w:rPr>
              <w:t>Renshaw AA et al</w:t>
            </w:r>
            <w:r w:rsidR="00C7007E" w:rsidRPr="008520E2">
              <w:rPr>
                <w:sz w:val="20"/>
                <w:szCs w:val="20"/>
                <w:vertAlign w:val="superscript"/>
              </w:rPr>
              <w:t>10</w:t>
            </w:r>
          </w:p>
        </w:tc>
        <w:tc>
          <w:tcPr>
            <w:tcW w:w="4508" w:type="dxa"/>
          </w:tcPr>
          <w:p w14:paraId="41626165" w14:textId="6D68DDBD" w:rsidR="00260F58" w:rsidRPr="008520E2" w:rsidRDefault="008003C0" w:rsidP="008520E2">
            <w:pPr>
              <w:spacing w:line="360" w:lineRule="auto"/>
              <w:jc w:val="both"/>
              <w:rPr>
                <w:sz w:val="20"/>
                <w:szCs w:val="20"/>
              </w:rPr>
            </w:pPr>
            <w:r w:rsidRPr="008520E2">
              <w:rPr>
                <w:sz w:val="20"/>
                <w:szCs w:val="20"/>
              </w:rPr>
              <w:t>3.2</w:t>
            </w:r>
          </w:p>
        </w:tc>
      </w:tr>
      <w:tr w:rsidR="00260F58" w:rsidRPr="008520E2" w14:paraId="7A8C3DDF" w14:textId="77777777" w:rsidTr="00260F58">
        <w:tc>
          <w:tcPr>
            <w:tcW w:w="4508" w:type="dxa"/>
          </w:tcPr>
          <w:p w14:paraId="70F0FAB3" w14:textId="72774DB0" w:rsidR="00260F58" w:rsidRPr="008520E2" w:rsidRDefault="00260F58" w:rsidP="008520E2">
            <w:pPr>
              <w:spacing w:line="360" w:lineRule="auto"/>
              <w:jc w:val="both"/>
              <w:rPr>
                <w:sz w:val="20"/>
                <w:szCs w:val="20"/>
                <w:vertAlign w:val="superscript"/>
              </w:rPr>
            </w:pPr>
            <w:r w:rsidRPr="008520E2">
              <w:rPr>
                <w:sz w:val="20"/>
                <w:szCs w:val="20"/>
              </w:rPr>
              <w:t>Renshaw A A et al</w:t>
            </w:r>
            <w:r w:rsidR="007575FE" w:rsidRPr="008520E2">
              <w:rPr>
                <w:sz w:val="20"/>
                <w:szCs w:val="20"/>
                <w:vertAlign w:val="superscript"/>
              </w:rPr>
              <w:t>4</w:t>
            </w:r>
          </w:p>
        </w:tc>
        <w:tc>
          <w:tcPr>
            <w:tcW w:w="4508" w:type="dxa"/>
          </w:tcPr>
          <w:p w14:paraId="67CE908C" w14:textId="17EAE1B1" w:rsidR="00260F58" w:rsidRPr="008520E2" w:rsidRDefault="00260F58" w:rsidP="008520E2">
            <w:pPr>
              <w:spacing w:line="360" w:lineRule="auto"/>
              <w:jc w:val="both"/>
              <w:rPr>
                <w:sz w:val="20"/>
                <w:szCs w:val="20"/>
              </w:rPr>
            </w:pPr>
            <w:r w:rsidRPr="008520E2">
              <w:rPr>
                <w:sz w:val="20"/>
                <w:szCs w:val="20"/>
              </w:rPr>
              <w:t>2</w:t>
            </w:r>
            <w:r w:rsidR="008003C0" w:rsidRPr="008520E2">
              <w:rPr>
                <w:sz w:val="20"/>
                <w:szCs w:val="20"/>
              </w:rPr>
              <w:t>.</w:t>
            </w:r>
            <w:r w:rsidRPr="008520E2">
              <w:rPr>
                <w:sz w:val="20"/>
                <w:szCs w:val="20"/>
              </w:rPr>
              <w:t>5</w:t>
            </w:r>
          </w:p>
        </w:tc>
      </w:tr>
      <w:tr w:rsidR="00260F58" w:rsidRPr="008520E2" w14:paraId="2F4DCF0B" w14:textId="77777777" w:rsidTr="00260F58">
        <w:tc>
          <w:tcPr>
            <w:tcW w:w="4508" w:type="dxa"/>
          </w:tcPr>
          <w:p w14:paraId="712E8D3E" w14:textId="1A6D1B57" w:rsidR="00260F58" w:rsidRPr="008520E2" w:rsidRDefault="008204FA" w:rsidP="008520E2">
            <w:pPr>
              <w:spacing w:line="360" w:lineRule="auto"/>
              <w:jc w:val="both"/>
              <w:rPr>
                <w:sz w:val="20"/>
                <w:szCs w:val="20"/>
                <w:vertAlign w:val="superscript"/>
              </w:rPr>
            </w:pPr>
            <w:bookmarkStart w:id="4" w:name="_Hlk133926895"/>
            <w:r w:rsidRPr="008520E2">
              <w:rPr>
                <w:sz w:val="20"/>
                <w:szCs w:val="20"/>
              </w:rPr>
              <w:t>Davey D D et a</w:t>
            </w:r>
            <w:bookmarkEnd w:id="4"/>
            <w:r w:rsidRPr="008520E2">
              <w:rPr>
                <w:sz w:val="20"/>
                <w:szCs w:val="20"/>
              </w:rPr>
              <w:t>l</w:t>
            </w:r>
            <w:r w:rsidR="007575FE" w:rsidRPr="008520E2">
              <w:rPr>
                <w:sz w:val="20"/>
                <w:szCs w:val="20"/>
                <w:vertAlign w:val="superscript"/>
              </w:rPr>
              <w:t>11</w:t>
            </w:r>
          </w:p>
        </w:tc>
        <w:tc>
          <w:tcPr>
            <w:tcW w:w="4508" w:type="dxa"/>
          </w:tcPr>
          <w:p w14:paraId="21ED7FD5" w14:textId="554B1BCC" w:rsidR="00260F58" w:rsidRPr="008520E2" w:rsidRDefault="008204FA" w:rsidP="008520E2">
            <w:pPr>
              <w:spacing w:line="360" w:lineRule="auto"/>
              <w:jc w:val="both"/>
              <w:rPr>
                <w:sz w:val="20"/>
                <w:szCs w:val="20"/>
              </w:rPr>
            </w:pPr>
            <w:r w:rsidRPr="008520E2">
              <w:rPr>
                <w:sz w:val="20"/>
                <w:szCs w:val="20"/>
              </w:rPr>
              <w:t>2</w:t>
            </w:r>
          </w:p>
        </w:tc>
      </w:tr>
      <w:tr w:rsidR="00260F58" w:rsidRPr="008520E2" w14:paraId="521D4090" w14:textId="77777777" w:rsidTr="00260F58">
        <w:tc>
          <w:tcPr>
            <w:tcW w:w="4508" w:type="dxa"/>
          </w:tcPr>
          <w:p w14:paraId="570CA978" w14:textId="63FAC7EB" w:rsidR="00260F58" w:rsidRPr="008520E2" w:rsidRDefault="00260F58" w:rsidP="008520E2">
            <w:pPr>
              <w:spacing w:line="360" w:lineRule="auto"/>
              <w:jc w:val="both"/>
              <w:rPr>
                <w:sz w:val="20"/>
                <w:szCs w:val="20"/>
                <w:vertAlign w:val="superscript"/>
              </w:rPr>
            </w:pPr>
            <w:r w:rsidRPr="008520E2">
              <w:rPr>
                <w:sz w:val="20"/>
                <w:szCs w:val="20"/>
              </w:rPr>
              <w:t>Davey D D et al</w:t>
            </w:r>
            <w:r w:rsidR="007575FE" w:rsidRPr="008520E2">
              <w:rPr>
                <w:sz w:val="20"/>
                <w:szCs w:val="20"/>
                <w:vertAlign w:val="superscript"/>
              </w:rPr>
              <w:t>12</w:t>
            </w:r>
          </w:p>
        </w:tc>
        <w:tc>
          <w:tcPr>
            <w:tcW w:w="4508" w:type="dxa"/>
          </w:tcPr>
          <w:p w14:paraId="1BCE3D95" w14:textId="596C03AC" w:rsidR="00260F58" w:rsidRPr="008520E2" w:rsidRDefault="00260F58" w:rsidP="008520E2">
            <w:pPr>
              <w:spacing w:line="360" w:lineRule="auto"/>
              <w:jc w:val="both"/>
              <w:rPr>
                <w:sz w:val="20"/>
                <w:szCs w:val="20"/>
              </w:rPr>
            </w:pPr>
            <w:r w:rsidRPr="008520E2">
              <w:rPr>
                <w:sz w:val="20"/>
                <w:szCs w:val="20"/>
              </w:rPr>
              <w:t>1.3</w:t>
            </w:r>
          </w:p>
        </w:tc>
      </w:tr>
      <w:tr w:rsidR="00260F58" w:rsidRPr="008520E2" w14:paraId="50F801D1" w14:textId="77777777" w:rsidTr="00260F58">
        <w:tc>
          <w:tcPr>
            <w:tcW w:w="4508" w:type="dxa"/>
          </w:tcPr>
          <w:p w14:paraId="4742C06F" w14:textId="26D4801A" w:rsidR="00260F58" w:rsidRPr="008520E2" w:rsidRDefault="008204FA" w:rsidP="008520E2">
            <w:pPr>
              <w:spacing w:line="360" w:lineRule="auto"/>
              <w:jc w:val="both"/>
              <w:rPr>
                <w:sz w:val="20"/>
                <w:szCs w:val="20"/>
                <w:vertAlign w:val="superscript"/>
              </w:rPr>
            </w:pPr>
            <w:bookmarkStart w:id="5" w:name="_Hlk133926830"/>
            <w:r w:rsidRPr="008520E2">
              <w:rPr>
                <w:sz w:val="20"/>
                <w:szCs w:val="20"/>
              </w:rPr>
              <w:t>Nascimento A F et a</w:t>
            </w:r>
            <w:bookmarkEnd w:id="5"/>
            <w:r w:rsidRPr="008520E2">
              <w:rPr>
                <w:sz w:val="20"/>
                <w:szCs w:val="20"/>
              </w:rPr>
              <w:t>l</w:t>
            </w:r>
            <w:r w:rsidR="007575FE" w:rsidRPr="008520E2">
              <w:rPr>
                <w:sz w:val="20"/>
                <w:szCs w:val="20"/>
                <w:vertAlign w:val="superscript"/>
              </w:rPr>
              <w:t>5</w:t>
            </w:r>
          </w:p>
        </w:tc>
        <w:tc>
          <w:tcPr>
            <w:tcW w:w="4508" w:type="dxa"/>
          </w:tcPr>
          <w:p w14:paraId="66DD4048" w14:textId="3D7654F3" w:rsidR="00260F58" w:rsidRPr="008520E2" w:rsidRDefault="008204FA" w:rsidP="008520E2">
            <w:pPr>
              <w:spacing w:line="360" w:lineRule="auto"/>
              <w:jc w:val="both"/>
              <w:rPr>
                <w:sz w:val="20"/>
                <w:szCs w:val="20"/>
              </w:rPr>
            </w:pPr>
            <w:r w:rsidRPr="008520E2">
              <w:rPr>
                <w:sz w:val="20"/>
                <w:szCs w:val="20"/>
              </w:rPr>
              <w:t>1.9</w:t>
            </w:r>
          </w:p>
        </w:tc>
      </w:tr>
      <w:tr w:rsidR="00260F58" w:rsidRPr="008520E2" w14:paraId="14F59849" w14:textId="77777777" w:rsidTr="00260F58">
        <w:tc>
          <w:tcPr>
            <w:tcW w:w="4508" w:type="dxa"/>
          </w:tcPr>
          <w:p w14:paraId="556A8BD6" w14:textId="6DA2FD41" w:rsidR="00260F58" w:rsidRPr="008520E2" w:rsidRDefault="00623659" w:rsidP="008520E2">
            <w:pPr>
              <w:spacing w:line="360" w:lineRule="auto"/>
              <w:jc w:val="both"/>
              <w:rPr>
                <w:sz w:val="20"/>
                <w:szCs w:val="20"/>
                <w:vertAlign w:val="superscript"/>
              </w:rPr>
            </w:pPr>
            <w:r w:rsidRPr="008520E2">
              <w:rPr>
                <w:sz w:val="20"/>
                <w:szCs w:val="20"/>
              </w:rPr>
              <w:t xml:space="preserve"> J</w:t>
            </w:r>
            <w:r w:rsidR="00B1520A" w:rsidRPr="008520E2">
              <w:rPr>
                <w:sz w:val="20"/>
                <w:szCs w:val="20"/>
              </w:rPr>
              <w:t xml:space="preserve"> H</w:t>
            </w:r>
            <w:r w:rsidRPr="008520E2">
              <w:rPr>
                <w:sz w:val="20"/>
                <w:szCs w:val="20"/>
              </w:rPr>
              <w:t xml:space="preserve"> et al</w:t>
            </w:r>
            <w:r w:rsidR="00FD77A4" w:rsidRPr="008520E2">
              <w:rPr>
                <w:sz w:val="20"/>
                <w:szCs w:val="20"/>
                <w:vertAlign w:val="superscript"/>
              </w:rPr>
              <w:t>13</w:t>
            </w:r>
          </w:p>
        </w:tc>
        <w:tc>
          <w:tcPr>
            <w:tcW w:w="4508" w:type="dxa"/>
          </w:tcPr>
          <w:p w14:paraId="73837392" w14:textId="3EF34437" w:rsidR="00260F58" w:rsidRPr="008520E2" w:rsidRDefault="00260F58" w:rsidP="008520E2">
            <w:pPr>
              <w:spacing w:line="360" w:lineRule="auto"/>
              <w:jc w:val="both"/>
              <w:rPr>
                <w:sz w:val="20"/>
                <w:szCs w:val="20"/>
              </w:rPr>
            </w:pPr>
            <w:r w:rsidRPr="008520E2">
              <w:rPr>
                <w:sz w:val="20"/>
                <w:szCs w:val="20"/>
              </w:rPr>
              <w:t>1.1</w:t>
            </w:r>
          </w:p>
        </w:tc>
      </w:tr>
      <w:tr w:rsidR="00260F58" w:rsidRPr="008520E2" w14:paraId="5B920D67" w14:textId="77777777" w:rsidTr="00260F58">
        <w:tc>
          <w:tcPr>
            <w:tcW w:w="4508" w:type="dxa"/>
          </w:tcPr>
          <w:p w14:paraId="2CDFDFE5" w14:textId="5F8DFE70" w:rsidR="00260F58" w:rsidRPr="008520E2" w:rsidRDefault="00260F58" w:rsidP="008520E2">
            <w:pPr>
              <w:spacing w:line="360" w:lineRule="auto"/>
              <w:jc w:val="both"/>
              <w:rPr>
                <w:sz w:val="20"/>
                <w:szCs w:val="20"/>
              </w:rPr>
            </w:pPr>
            <w:r w:rsidRPr="008520E2">
              <w:rPr>
                <w:sz w:val="20"/>
                <w:szCs w:val="20"/>
              </w:rPr>
              <w:t xml:space="preserve">Present study </w:t>
            </w:r>
          </w:p>
        </w:tc>
        <w:tc>
          <w:tcPr>
            <w:tcW w:w="4508" w:type="dxa"/>
          </w:tcPr>
          <w:p w14:paraId="239D1096" w14:textId="6BAB4A41" w:rsidR="00260F58" w:rsidRPr="008520E2" w:rsidRDefault="00260F58" w:rsidP="008520E2">
            <w:pPr>
              <w:spacing w:line="360" w:lineRule="auto"/>
              <w:jc w:val="both"/>
              <w:rPr>
                <w:sz w:val="20"/>
                <w:szCs w:val="20"/>
              </w:rPr>
            </w:pPr>
            <w:r w:rsidRPr="008520E2">
              <w:rPr>
                <w:sz w:val="20"/>
                <w:szCs w:val="20"/>
              </w:rPr>
              <w:t>1.</w:t>
            </w:r>
            <w:r w:rsidR="00BD03B0" w:rsidRPr="008520E2">
              <w:rPr>
                <w:sz w:val="20"/>
                <w:szCs w:val="20"/>
              </w:rPr>
              <w:t>5</w:t>
            </w:r>
          </w:p>
        </w:tc>
      </w:tr>
    </w:tbl>
    <w:p w14:paraId="427367B2" w14:textId="77777777" w:rsidR="00260F58" w:rsidRPr="008520E2" w:rsidRDefault="00260F58" w:rsidP="008520E2">
      <w:pPr>
        <w:spacing w:line="360" w:lineRule="auto"/>
        <w:jc w:val="both"/>
        <w:rPr>
          <w:sz w:val="20"/>
          <w:szCs w:val="20"/>
        </w:rPr>
      </w:pPr>
    </w:p>
    <w:p w14:paraId="376F9BD2" w14:textId="6C677955" w:rsidR="002C4120" w:rsidRPr="008520E2" w:rsidRDefault="003E582E" w:rsidP="008520E2">
      <w:pPr>
        <w:spacing w:line="360" w:lineRule="auto"/>
        <w:jc w:val="both"/>
        <w:rPr>
          <w:sz w:val="20"/>
          <w:szCs w:val="20"/>
        </w:rPr>
      </w:pPr>
      <w:bookmarkStart w:id="6" w:name="_Hlk133927302"/>
      <w:r w:rsidRPr="008520E2">
        <w:rPr>
          <w:sz w:val="20"/>
          <w:szCs w:val="20"/>
        </w:rPr>
        <w:t xml:space="preserve">Calculation of ASC/SIL ratio is a simplest measure for assessing the quality of reports by pathologists and as well as laboratory. </w:t>
      </w:r>
      <w:r w:rsidR="00881D9F" w:rsidRPr="008520E2">
        <w:rPr>
          <w:sz w:val="20"/>
          <w:szCs w:val="20"/>
        </w:rPr>
        <w:t xml:space="preserve">The findings of our study were consistent with those of </w:t>
      </w:r>
      <w:r w:rsidR="00B13309" w:rsidRPr="008520E2">
        <w:rPr>
          <w:sz w:val="20"/>
          <w:szCs w:val="20"/>
        </w:rPr>
        <w:t>Nscimento</w:t>
      </w:r>
      <w:r w:rsidR="00881D9F" w:rsidRPr="008520E2">
        <w:rPr>
          <w:sz w:val="20"/>
          <w:szCs w:val="20"/>
        </w:rPr>
        <w:t>. et al.</w:t>
      </w:r>
      <w:r w:rsidR="008E5E2A" w:rsidRPr="008520E2">
        <w:rPr>
          <w:sz w:val="20"/>
          <w:szCs w:val="20"/>
          <w:vertAlign w:val="superscript"/>
        </w:rPr>
        <w:t>5</w:t>
      </w:r>
      <w:r w:rsidR="00881D9F" w:rsidRPr="008520E2">
        <w:rPr>
          <w:sz w:val="20"/>
          <w:szCs w:val="20"/>
        </w:rPr>
        <w:t xml:space="preserve"> who found a ratio of 1.</w:t>
      </w:r>
      <w:r w:rsidR="00B13309" w:rsidRPr="008520E2">
        <w:rPr>
          <w:sz w:val="20"/>
          <w:szCs w:val="20"/>
        </w:rPr>
        <w:t>9</w:t>
      </w:r>
      <w:r w:rsidR="00881D9F" w:rsidRPr="008520E2">
        <w:rPr>
          <w:sz w:val="20"/>
          <w:szCs w:val="20"/>
        </w:rPr>
        <w:t>. To prevent term misuse, the prevalence of ASCUS interpretation in the general community shouldn't be higher than 5%. Since the ASC/SIL ratio is less influenced by the patient population, it rises as the number of high-risk patients in a laboratory increases. Although the ASC/SIL ratio measures a cytopathologist's uncertainty, it is unquestionably not a gauge of how accurately they can diagnose a patients. It's a good idea to keep an eye on the ASC/SIL ratio because it gives CPs the chance to compare their ratio to the laboratory as a whole and to the 3:1 standard. According to the Bethesda method, the ratio should be less than 3, and smaller ratios are preferable as they reduce laboratory uncertainty and perhaps lessen the proportion of women who receive negative biopsy results.</w:t>
      </w:r>
      <w:bookmarkEnd w:id="6"/>
      <w:r w:rsidR="00881D9F" w:rsidRPr="008520E2">
        <w:rPr>
          <w:sz w:val="20"/>
          <w:szCs w:val="20"/>
        </w:rPr>
        <w:t xml:space="preserve"> A laboratory depends on both its cytopathologists and its cytotechnologists to maintain proper specificity and sensitivity.</w:t>
      </w:r>
      <w:r w:rsidR="00D70E2B" w:rsidRPr="008520E2">
        <w:rPr>
          <w:sz w:val="20"/>
          <w:szCs w:val="20"/>
        </w:rPr>
        <w:t xml:space="preserve"> </w:t>
      </w:r>
    </w:p>
    <w:p w14:paraId="1E1F8F68" w14:textId="7D375A7C" w:rsidR="002C4120" w:rsidRPr="008520E2" w:rsidRDefault="002C4120" w:rsidP="008520E2">
      <w:pPr>
        <w:spacing w:line="360" w:lineRule="auto"/>
        <w:jc w:val="both"/>
        <w:rPr>
          <w:b/>
          <w:sz w:val="20"/>
          <w:szCs w:val="20"/>
        </w:rPr>
      </w:pPr>
      <w:r w:rsidRPr="008520E2">
        <w:rPr>
          <w:b/>
          <w:sz w:val="20"/>
          <w:szCs w:val="20"/>
        </w:rPr>
        <w:t>CONCLUSION</w:t>
      </w:r>
    </w:p>
    <w:p w14:paraId="77D7A7F7" w14:textId="13FFE122" w:rsidR="002C4120" w:rsidRPr="008520E2" w:rsidRDefault="002E46D9" w:rsidP="008520E2">
      <w:pPr>
        <w:spacing w:line="360" w:lineRule="auto"/>
        <w:jc w:val="both"/>
        <w:rPr>
          <w:sz w:val="20"/>
          <w:szCs w:val="20"/>
        </w:rPr>
      </w:pPr>
      <w:r w:rsidRPr="008520E2">
        <w:rPr>
          <w:sz w:val="20"/>
          <w:szCs w:val="20"/>
        </w:rPr>
        <w:t>An effective marker for assessing cytopathologists' sensitivity is the ASC/SIL ratio. If an individual cytopathologist's ASC/SIL ratio is higher than the upper standard, confidential comments can assist them lower it. It serves as a motivating factor for cytopathologists whose ratio complies with the defined benchmark and aids in the maintenance of a steady ratio.</w:t>
      </w:r>
    </w:p>
    <w:p w14:paraId="2CC9768F" w14:textId="77777777" w:rsidR="008520E2" w:rsidRDefault="008520E2" w:rsidP="008520E2">
      <w:pPr>
        <w:spacing w:line="360" w:lineRule="auto"/>
        <w:jc w:val="both"/>
        <w:rPr>
          <w:b/>
          <w:sz w:val="20"/>
          <w:szCs w:val="20"/>
        </w:rPr>
      </w:pPr>
    </w:p>
    <w:p w14:paraId="47D62351" w14:textId="77777777" w:rsidR="008520E2" w:rsidRDefault="008520E2" w:rsidP="008520E2">
      <w:pPr>
        <w:spacing w:line="360" w:lineRule="auto"/>
        <w:jc w:val="both"/>
        <w:rPr>
          <w:b/>
          <w:sz w:val="20"/>
          <w:szCs w:val="20"/>
        </w:rPr>
      </w:pPr>
    </w:p>
    <w:p w14:paraId="33578B70" w14:textId="77777777" w:rsidR="00D809AC" w:rsidRDefault="00D809AC" w:rsidP="008520E2">
      <w:pPr>
        <w:spacing w:line="360" w:lineRule="auto"/>
        <w:jc w:val="both"/>
        <w:rPr>
          <w:b/>
          <w:sz w:val="20"/>
          <w:szCs w:val="20"/>
        </w:rPr>
      </w:pPr>
    </w:p>
    <w:p w14:paraId="0F54B112" w14:textId="1CF73922" w:rsidR="00455F0E" w:rsidRPr="008520E2" w:rsidRDefault="00B94052" w:rsidP="008520E2">
      <w:pPr>
        <w:spacing w:line="360" w:lineRule="auto"/>
        <w:jc w:val="both"/>
        <w:rPr>
          <w:b/>
          <w:sz w:val="20"/>
          <w:szCs w:val="20"/>
        </w:rPr>
      </w:pPr>
      <w:r w:rsidRPr="008520E2">
        <w:rPr>
          <w:b/>
          <w:sz w:val="20"/>
          <w:szCs w:val="20"/>
        </w:rPr>
        <w:t>REFERENCES</w:t>
      </w:r>
    </w:p>
    <w:p w14:paraId="0656F2B0" w14:textId="77777777" w:rsidR="00B94052" w:rsidRPr="008520E2" w:rsidRDefault="00B94052" w:rsidP="008520E2">
      <w:pPr>
        <w:spacing w:line="360" w:lineRule="auto"/>
        <w:jc w:val="both"/>
        <w:rPr>
          <w:sz w:val="18"/>
          <w:szCs w:val="18"/>
        </w:rPr>
      </w:pPr>
      <w:r w:rsidRPr="008520E2">
        <w:rPr>
          <w:sz w:val="18"/>
          <w:szCs w:val="18"/>
        </w:rPr>
        <w:t>1)Sachan PL, Singh M, Patel ML, Sachan R. A Study on Cervical Cancer Screening Using Pap Smear Test and Clinical Correlation. Asia Pac J Oncol Nurs. 2018;5:337-41.</w:t>
      </w:r>
    </w:p>
    <w:p w14:paraId="030A5107" w14:textId="4725E31C" w:rsidR="00B94052" w:rsidRPr="008520E2" w:rsidRDefault="00B94052" w:rsidP="008520E2">
      <w:pPr>
        <w:spacing w:line="360" w:lineRule="auto"/>
        <w:jc w:val="both"/>
        <w:rPr>
          <w:sz w:val="18"/>
          <w:szCs w:val="18"/>
        </w:rPr>
      </w:pPr>
      <w:r w:rsidRPr="008520E2">
        <w:rPr>
          <w:sz w:val="18"/>
          <w:szCs w:val="18"/>
        </w:rPr>
        <w:t>2)Tobias AHG, Vitalino AC, Rezende MT, Oliveira RRR, Coura-Vital W, Amaral RG, et al. Performance of rapid prescreening and 100% rapid review as internal quality control methods for cervical cytopathology. Cytopathology. 2018;29:428-35.</w:t>
      </w:r>
    </w:p>
    <w:p w14:paraId="3F9EADE1" w14:textId="03DCBB9B" w:rsidR="00FC05C2" w:rsidRPr="008520E2" w:rsidRDefault="00FC05C2" w:rsidP="008520E2">
      <w:pPr>
        <w:pStyle w:val="FirstParagraph"/>
        <w:spacing w:before="0" w:after="0" w:line="360" w:lineRule="auto"/>
        <w:jc w:val="both"/>
        <w:rPr>
          <w:rFonts w:cs="Times New Roman"/>
          <w:sz w:val="18"/>
          <w:szCs w:val="18"/>
        </w:rPr>
      </w:pPr>
      <w:r w:rsidRPr="008520E2">
        <w:rPr>
          <w:rFonts w:cs="Times New Roman"/>
          <w:sz w:val="18"/>
          <w:szCs w:val="18"/>
          <w:shd w:val="clear" w:color="auto" w:fill="FFFFFF"/>
        </w:rPr>
        <w:t>3) Nascimento AF, Cibas ES. The ASC/SIL ratio for cytopathologists as a quality control measure: a follow-up study. Am J Clin Pathol. 2007 ;128:653-6</w:t>
      </w:r>
      <w:r w:rsidRPr="008520E2">
        <w:rPr>
          <w:rFonts w:cs="Times New Roman"/>
          <w:sz w:val="18"/>
          <w:szCs w:val="18"/>
        </w:rPr>
        <w:t xml:space="preserve"> </w:t>
      </w:r>
    </w:p>
    <w:p w14:paraId="45815BE4" w14:textId="2447A0AC" w:rsidR="00FC05C2" w:rsidRPr="008520E2" w:rsidRDefault="00FC05C2" w:rsidP="008520E2">
      <w:pPr>
        <w:pStyle w:val="FirstParagraph"/>
        <w:spacing w:before="0" w:after="0" w:line="360" w:lineRule="auto"/>
        <w:jc w:val="both"/>
        <w:rPr>
          <w:rFonts w:cs="Times New Roman"/>
          <w:color w:val="2A2A2A"/>
          <w:sz w:val="18"/>
          <w:szCs w:val="18"/>
          <w:shd w:val="clear" w:color="auto" w:fill="FFFFFF"/>
        </w:rPr>
      </w:pPr>
      <w:r w:rsidRPr="008520E2">
        <w:rPr>
          <w:rFonts w:cs="Times New Roman"/>
          <w:sz w:val="18"/>
          <w:szCs w:val="18"/>
        </w:rPr>
        <w:t xml:space="preserve">4) </w:t>
      </w:r>
      <w:r w:rsidRPr="008520E2">
        <w:rPr>
          <w:rFonts w:cs="Times New Roman"/>
          <w:color w:val="2A2A2A"/>
          <w:sz w:val="18"/>
          <w:szCs w:val="18"/>
          <w:shd w:val="clear" w:color="auto" w:fill="FFFFFF"/>
        </w:rPr>
        <w:t>Andrew A. Renshaw, MD, Majorie Deschênes, MD, Manon Auger, MD, ASC/SIL Ratio for Cytotechnologists: A Surrogate Marker of Screening Sensitivity, </w:t>
      </w:r>
      <w:r w:rsidRPr="008520E2">
        <w:rPr>
          <w:rStyle w:val="Emphasis"/>
          <w:rFonts w:cs="Times New Roman"/>
          <w:color w:val="2A2A2A"/>
          <w:sz w:val="18"/>
          <w:szCs w:val="18"/>
          <w:bdr w:val="none" w:sz="0" w:space="0" w:color="auto" w:frame="1"/>
          <w:shd w:val="clear" w:color="auto" w:fill="FFFFFF"/>
        </w:rPr>
        <w:t>American Journal of Clinical Pathology</w:t>
      </w:r>
      <w:r w:rsidRPr="008520E2">
        <w:rPr>
          <w:rFonts w:cs="Times New Roman"/>
          <w:color w:val="2A2A2A"/>
          <w:sz w:val="18"/>
          <w:szCs w:val="18"/>
          <w:shd w:val="clear" w:color="auto" w:fill="FFFFFF"/>
        </w:rPr>
        <w:t>,2009;131: 776–81.</w:t>
      </w:r>
    </w:p>
    <w:p w14:paraId="734BF1D5" w14:textId="6404BBF6" w:rsidR="00646D9A" w:rsidRPr="008520E2" w:rsidRDefault="00646D9A" w:rsidP="008520E2">
      <w:pPr>
        <w:spacing w:line="360" w:lineRule="auto"/>
        <w:jc w:val="both"/>
        <w:rPr>
          <w:color w:val="212121"/>
          <w:sz w:val="18"/>
          <w:szCs w:val="18"/>
          <w:shd w:val="clear" w:color="auto" w:fill="FFFFFF"/>
        </w:rPr>
      </w:pPr>
      <w:r w:rsidRPr="008520E2">
        <w:rPr>
          <w:color w:val="212121"/>
          <w:sz w:val="18"/>
          <w:szCs w:val="18"/>
          <w:shd w:val="clear" w:color="auto" w:fill="FFFFFF"/>
        </w:rPr>
        <w:t>5) Nascimento AF, Cibas ES. The ASC/SIL ratio for cytopathologists as a quality control measure: a follow-up study. Am J Clin Pathol. 2007 ;128:653-6.</w:t>
      </w:r>
    </w:p>
    <w:p w14:paraId="05315776" w14:textId="13D95073" w:rsidR="00292328" w:rsidRPr="008520E2" w:rsidRDefault="00292328" w:rsidP="008520E2">
      <w:pPr>
        <w:pStyle w:val="NoSpacing"/>
        <w:spacing w:line="360" w:lineRule="auto"/>
        <w:jc w:val="both"/>
        <w:rPr>
          <w:rFonts w:ascii="Times New Roman" w:hAnsi="Times New Roman" w:cs="Times New Roman"/>
          <w:sz w:val="18"/>
          <w:szCs w:val="18"/>
          <w:shd w:val="clear" w:color="auto" w:fill="FFFFFF"/>
        </w:rPr>
      </w:pPr>
      <w:r w:rsidRPr="008520E2">
        <w:rPr>
          <w:rFonts w:ascii="Times New Roman" w:hAnsi="Times New Roman" w:cs="Times New Roman"/>
          <w:sz w:val="18"/>
          <w:szCs w:val="18"/>
          <w:shd w:val="clear" w:color="auto" w:fill="FFFFFF"/>
        </w:rPr>
        <w:t xml:space="preserve">6) Bal MS, Goyal R, Suri AK, Mohi MK. Detection of abnormal cervical cytology in Papanicolaou smears. J Cytol. 2012 ;29:45-7. </w:t>
      </w:r>
    </w:p>
    <w:p w14:paraId="602BF579" w14:textId="4F32905D" w:rsidR="00241B87" w:rsidRPr="008520E2" w:rsidRDefault="00241B87" w:rsidP="008520E2">
      <w:pPr>
        <w:pStyle w:val="FirstParagraph"/>
        <w:spacing w:before="0" w:after="0" w:line="360" w:lineRule="auto"/>
        <w:jc w:val="both"/>
        <w:rPr>
          <w:rFonts w:cs="Times New Roman"/>
          <w:sz w:val="18"/>
          <w:szCs w:val="18"/>
          <w:shd w:val="clear" w:color="auto" w:fill="FFFFFF"/>
        </w:rPr>
      </w:pPr>
      <w:r w:rsidRPr="008520E2">
        <w:rPr>
          <w:rFonts w:cs="Times New Roman"/>
          <w:sz w:val="18"/>
          <w:szCs w:val="18"/>
          <w:shd w:val="clear" w:color="auto" w:fill="FFFFFF"/>
        </w:rPr>
        <w:t>7) Kapila K, George SS, Al-Shaheen A, Al-Ottibi MS, Pathan SK, Sheikh ZA, Haji BE, Mallik MK, Das DK, Francis IM. Changing spectrum of squamous cell abnormalities observed on papanicolaou smears in Mubarak Al-Kabeer Hospital, Kuwait, over a 13-year period. Med Princ Pract. 2006;15:253-9.</w:t>
      </w:r>
    </w:p>
    <w:p w14:paraId="4902D459" w14:textId="5557A75D" w:rsidR="00A6209C" w:rsidRPr="008520E2" w:rsidRDefault="00A6209C" w:rsidP="008520E2">
      <w:pPr>
        <w:widowControl/>
        <w:autoSpaceDE/>
        <w:autoSpaceDN/>
        <w:spacing w:line="360" w:lineRule="auto"/>
        <w:jc w:val="both"/>
        <w:rPr>
          <w:sz w:val="18"/>
          <w:szCs w:val="18"/>
          <w:lang w:val="en-IN" w:eastAsia="en-IN"/>
        </w:rPr>
      </w:pPr>
      <w:r w:rsidRPr="008520E2">
        <w:rPr>
          <w:sz w:val="18"/>
          <w:szCs w:val="18"/>
        </w:rPr>
        <w:t xml:space="preserve">8) </w:t>
      </w:r>
      <w:bookmarkStart w:id="7" w:name="cite"/>
      <w:r w:rsidRPr="008520E2">
        <w:rPr>
          <w:sz w:val="18"/>
          <w:szCs w:val="18"/>
          <w:lang w:val="en-IN" w:eastAsia="en-IN"/>
        </w:rPr>
        <w:t xml:space="preserve"> Kumari M, Kolte S. Experience of cervical Pap smear screening in tertiary care hospital. Int J Med Sci Public Health. 2020;9: 68-71.</w:t>
      </w:r>
    </w:p>
    <w:p w14:paraId="784197D7" w14:textId="6921D112" w:rsidR="00B6435B" w:rsidRPr="008520E2" w:rsidRDefault="00B6435B" w:rsidP="008520E2">
      <w:pPr>
        <w:widowControl/>
        <w:autoSpaceDE/>
        <w:autoSpaceDN/>
        <w:spacing w:line="360" w:lineRule="auto"/>
        <w:jc w:val="both"/>
        <w:rPr>
          <w:sz w:val="18"/>
          <w:szCs w:val="18"/>
          <w:shd w:val="clear" w:color="auto" w:fill="FFFFFF"/>
        </w:rPr>
      </w:pPr>
      <w:r w:rsidRPr="008520E2">
        <w:rPr>
          <w:sz w:val="18"/>
          <w:szCs w:val="18"/>
          <w:shd w:val="clear" w:color="auto" w:fill="FFFFFF"/>
        </w:rPr>
        <w:t>9) Elhakeem HA, Al-Ghamdi AS, Al-Maghrabi JA. Cytopathological pattern of cervical Pap smear according to the Bethesda system in Southwestern Saudi Arabia. Saudi Med J. 2005 ;26:588-92</w:t>
      </w:r>
    </w:p>
    <w:p w14:paraId="137D626A" w14:textId="0AA1FF6E" w:rsidR="00C7007E" w:rsidRPr="008520E2" w:rsidRDefault="00C7007E" w:rsidP="008520E2">
      <w:pPr>
        <w:widowControl/>
        <w:autoSpaceDE/>
        <w:autoSpaceDN/>
        <w:spacing w:line="360" w:lineRule="auto"/>
        <w:jc w:val="both"/>
        <w:rPr>
          <w:sz w:val="18"/>
          <w:szCs w:val="18"/>
        </w:rPr>
      </w:pPr>
      <w:r w:rsidRPr="008520E2">
        <w:rPr>
          <w:sz w:val="18"/>
          <w:szCs w:val="18"/>
        </w:rPr>
        <w:t>10) Renshaw AA, Genest DR, Cibas ES. Should Atypical Squamous Cells of Undetermined Significance (ASCUS) Be Subcategorized?: Accuracy Analysis of Papanicolaou Smears Using Receiver Operating Characteristic Curves and Implications for the ASCUS/Squamous Intraepithelial Lesion Ratio. Am J ClinPathol. 2001;116:692-95.(3.2)</w:t>
      </w:r>
    </w:p>
    <w:p w14:paraId="6A0E3093" w14:textId="54413EA4" w:rsidR="007575FE" w:rsidRPr="008520E2" w:rsidRDefault="007575FE" w:rsidP="008520E2">
      <w:pPr>
        <w:widowControl/>
        <w:autoSpaceDE/>
        <w:autoSpaceDN/>
        <w:spacing w:line="360" w:lineRule="auto"/>
        <w:jc w:val="both"/>
        <w:rPr>
          <w:sz w:val="18"/>
          <w:szCs w:val="18"/>
        </w:rPr>
      </w:pPr>
      <w:r w:rsidRPr="008520E2">
        <w:rPr>
          <w:sz w:val="18"/>
          <w:szCs w:val="18"/>
        </w:rPr>
        <w:t>11) Davey DD, Woodhouse S, Styer P, et al. Atypical epithelial cells and specimen adequacy: current laboratory practices of participants in the College of American Pathologists Interlaboratory Comparison Program in Cervicovaginal Cytology. Arch Pathol Lab Med. 2000;124:203-11 (2)</w:t>
      </w:r>
    </w:p>
    <w:p w14:paraId="7758C51B" w14:textId="612A6304" w:rsidR="007575FE" w:rsidRPr="008520E2" w:rsidRDefault="007575FE" w:rsidP="008520E2">
      <w:pPr>
        <w:widowControl/>
        <w:autoSpaceDE/>
        <w:autoSpaceDN/>
        <w:spacing w:line="360" w:lineRule="auto"/>
        <w:jc w:val="both"/>
        <w:rPr>
          <w:sz w:val="18"/>
          <w:szCs w:val="18"/>
        </w:rPr>
      </w:pPr>
      <w:r w:rsidRPr="008520E2">
        <w:rPr>
          <w:sz w:val="18"/>
          <w:szCs w:val="18"/>
        </w:rPr>
        <w:t>12)Davey DD, Nielsen ML, Naryshkin S, et al. Atypical squamous cells of undetermined significance: current laboratory practices of participants in the College of American Pathologists Interlaboratory Comparison Program in Cervicovaginal Cytology. Arch Pathol Lab Med. 1996;120:440-44.(15)</w:t>
      </w:r>
    </w:p>
    <w:p w14:paraId="3B8971DB" w14:textId="77777777" w:rsidR="008520E2" w:rsidRDefault="00FD77A4" w:rsidP="008520E2">
      <w:pPr>
        <w:pStyle w:val="NormalWeb"/>
        <w:spacing w:before="0" w:beforeAutospacing="0" w:after="0" w:afterAutospacing="0" w:line="360" w:lineRule="auto"/>
        <w:ind w:left="567" w:hanging="567"/>
        <w:jc w:val="both"/>
        <w:rPr>
          <w:sz w:val="20"/>
          <w:szCs w:val="20"/>
        </w:rPr>
      </w:pPr>
      <w:r w:rsidRPr="008520E2">
        <w:rPr>
          <w:sz w:val="18"/>
          <w:szCs w:val="18"/>
        </w:rPr>
        <w:t>13) J H, B DK, V SM, BR V. An analysis of quality control in PAP cytology in</w:t>
      </w:r>
      <w:r w:rsidRPr="008520E2">
        <w:rPr>
          <w:sz w:val="20"/>
          <w:szCs w:val="20"/>
        </w:rPr>
        <w:t xml:space="preserve"> a tertiary care</w:t>
      </w:r>
      <w:r w:rsidR="008153F3" w:rsidRPr="008520E2">
        <w:rPr>
          <w:sz w:val="20"/>
          <w:szCs w:val="20"/>
        </w:rPr>
        <w:t xml:space="preserve"> </w:t>
      </w:r>
      <w:r w:rsidR="008520E2">
        <w:rPr>
          <w:sz w:val="20"/>
          <w:szCs w:val="20"/>
        </w:rPr>
        <w:t>centre by using</w:t>
      </w:r>
    </w:p>
    <w:p w14:paraId="6381D435" w14:textId="22E1AB70" w:rsidR="00FD77A4" w:rsidRPr="008520E2" w:rsidRDefault="00FD77A4" w:rsidP="008520E2">
      <w:pPr>
        <w:pStyle w:val="NormalWeb"/>
        <w:spacing w:before="0" w:beforeAutospacing="0" w:after="0" w:afterAutospacing="0" w:line="360" w:lineRule="auto"/>
        <w:ind w:left="567" w:hanging="567"/>
        <w:jc w:val="both"/>
        <w:rPr>
          <w:sz w:val="20"/>
          <w:szCs w:val="20"/>
        </w:rPr>
      </w:pPr>
      <w:r w:rsidRPr="008520E2">
        <w:rPr>
          <w:sz w:val="20"/>
          <w:szCs w:val="20"/>
        </w:rPr>
        <w:t xml:space="preserve">ASC to Sil Ratio. Annals of Pathology and Laboratory Medicine. 2017;4. </w:t>
      </w:r>
    </w:p>
    <w:p w14:paraId="7D5FB020" w14:textId="77777777" w:rsidR="00FD77A4" w:rsidRPr="008520E2" w:rsidRDefault="00FD77A4" w:rsidP="008520E2">
      <w:pPr>
        <w:widowControl/>
        <w:autoSpaceDE/>
        <w:autoSpaceDN/>
        <w:spacing w:line="360" w:lineRule="auto"/>
        <w:jc w:val="both"/>
        <w:rPr>
          <w:sz w:val="20"/>
          <w:szCs w:val="20"/>
        </w:rPr>
      </w:pPr>
    </w:p>
    <w:p w14:paraId="238E967F" w14:textId="77777777" w:rsidR="007575FE" w:rsidRPr="008520E2" w:rsidRDefault="007575FE" w:rsidP="008520E2">
      <w:pPr>
        <w:widowControl/>
        <w:autoSpaceDE/>
        <w:autoSpaceDN/>
        <w:spacing w:line="360" w:lineRule="auto"/>
        <w:jc w:val="both"/>
        <w:rPr>
          <w:sz w:val="20"/>
          <w:szCs w:val="20"/>
        </w:rPr>
      </w:pPr>
      <w:r w:rsidRPr="008520E2">
        <w:rPr>
          <w:sz w:val="20"/>
          <w:szCs w:val="20"/>
        </w:rPr>
        <w:t xml:space="preserve">. </w:t>
      </w:r>
    </w:p>
    <w:p w14:paraId="0B026E93" w14:textId="77777777" w:rsidR="007575FE" w:rsidRPr="008520E2" w:rsidRDefault="007575FE" w:rsidP="008520E2">
      <w:pPr>
        <w:widowControl/>
        <w:autoSpaceDE/>
        <w:autoSpaceDN/>
        <w:spacing w:line="360" w:lineRule="auto"/>
        <w:jc w:val="both"/>
        <w:rPr>
          <w:sz w:val="20"/>
          <w:szCs w:val="20"/>
        </w:rPr>
      </w:pPr>
    </w:p>
    <w:p w14:paraId="7E3C4ACA" w14:textId="77777777" w:rsidR="007575FE" w:rsidRPr="008520E2" w:rsidRDefault="007575FE" w:rsidP="008520E2">
      <w:pPr>
        <w:widowControl/>
        <w:autoSpaceDE/>
        <w:autoSpaceDN/>
        <w:spacing w:line="360" w:lineRule="auto"/>
        <w:jc w:val="both"/>
        <w:rPr>
          <w:sz w:val="20"/>
          <w:szCs w:val="20"/>
        </w:rPr>
      </w:pPr>
    </w:p>
    <w:p w14:paraId="17D2F7E9" w14:textId="77777777" w:rsidR="00C7007E" w:rsidRPr="008520E2" w:rsidRDefault="00C7007E" w:rsidP="008520E2">
      <w:pPr>
        <w:widowControl/>
        <w:autoSpaceDE/>
        <w:autoSpaceDN/>
        <w:spacing w:line="360" w:lineRule="auto"/>
        <w:jc w:val="both"/>
        <w:rPr>
          <w:sz w:val="20"/>
          <w:szCs w:val="20"/>
          <w:shd w:val="clear" w:color="auto" w:fill="FFFFFF"/>
        </w:rPr>
      </w:pPr>
    </w:p>
    <w:bookmarkEnd w:id="7"/>
    <w:p w14:paraId="0A7216B5" w14:textId="77777777" w:rsidR="00455F0E" w:rsidRPr="008520E2" w:rsidRDefault="00455F0E" w:rsidP="008520E2">
      <w:pPr>
        <w:spacing w:line="360" w:lineRule="auto"/>
        <w:jc w:val="both"/>
        <w:rPr>
          <w:sz w:val="20"/>
          <w:szCs w:val="20"/>
        </w:rPr>
      </w:pPr>
    </w:p>
    <w:p w14:paraId="55DDE53C" w14:textId="77777777" w:rsidR="00455F0E" w:rsidRPr="008520E2" w:rsidRDefault="00455F0E" w:rsidP="008520E2">
      <w:pPr>
        <w:spacing w:line="360" w:lineRule="auto"/>
        <w:jc w:val="both"/>
        <w:rPr>
          <w:sz w:val="20"/>
          <w:szCs w:val="20"/>
        </w:rPr>
      </w:pPr>
    </w:p>
    <w:p w14:paraId="3CB01393" w14:textId="77777777" w:rsidR="00455F0E" w:rsidRPr="008520E2" w:rsidRDefault="00455F0E" w:rsidP="008520E2">
      <w:pPr>
        <w:spacing w:line="360" w:lineRule="auto"/>
        <w:jc w:val="both"/>
        <w:rPr>
          <w:sz w:val="20"/>
          <w:szCs w:val="20"/>
        </w:rPr>
      </w:pPr>
    </w:p>
    <w:p w14:paraId="06C235FA" w14:textId="77777777" w:rsidR="00416ED5" w:rsidRPr="008520E2" w:rsidRDefault="00416ED5" w:rsidP="008520E2">
      <w:pPr>
        <w:spacing w:line="360" w:lineRule="auto"/>
        <w:ind w:right="-13"/>
        <w:jc w:val="both"/>
        <w:rPr>
          <w:sz w:val="20"/>
          <w:szCs w:val="20"/>
        </w:rPr>
      </w:pPr>
      <w:bookmarkStart w:id="8" w:name="_GoBack"/>
      <w:bookmarkEnd w:id="8"/>
    </w:p>
    <w:sectPr w:rsidR="00416ED5" w:rsidRPr="008520E2" w:rsidSect="00D809AC">
      <w:headerReference w:type="default" r:id="rId12"/>
      <w:footerReference w:type="default" r:id="rId13"/>
      <w:pgSz w:w="11906" w:h="16838"/>
      <w:pgMar w:top="1440" w:right="1440" w:bottom="1440" w:left="1440" w:header="708" w:footer="708" w:gutter="0"/>
      <w:pgNumType w:start="2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2C03C" w14:textId="77777777" w:rsidR="00460860" w:rsidRDefault="00460860" w:rsidP="00D809AC">
      <w:r>
        <w:separator/>
      </w:r>
    </w:p>
  </w:endnote>
  <w:endnote w:type="continuationSeparator" w:id="0">
    <w:p w14:paraId="7313F572" w14:textId="77777777" w:rsidR="00460860" w:rsidRDefault="00460860" w:rsidP="00D8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121397"/>
      <w:docPartObj>
        <w:docPartGallery w:val="Page Numbers (Bottom of Page)"/>
        <w:docPartUnique/>
      </w:docPartObj>
    </w:sdtPr>
    <w:sdtEndPr>
      <w:rPr>
        <w:noProof/>
      </w:rPr>
    </w:sdtEndPr>
    <w:sdtContent>
      <w:p w14:paraId="7206DA53" w14:textId="77777777" w:rsidR="00D809AC" w:rsidRPr="0096681E" w:rsidRDefault="00D809AC" w:rsidP="00D809AC">
        <w:pPr>
          <w:tabs>
            <w:tab w:val="center" w:pos="4513"/>
            <w:tab w:val="right" w:pos="9026"/>
          </w:tabs>
          <w:rPr>
            <w:rFonts w:ascii="Calibri" w:eastAsia="Calibri" w:hAnsi="Calibri" w:cs="Mangal"/>
          </w:rPr>
        </w:pPr>
        <w:r w:rsidRPr="0096681E">
          <w:rPr>
            <w:rFonts w:ascii="Calibri" w:eastAsia="Calibri" w:hAnsi="Calibri" w:cs="Mangal"/>
          </w:rPr>
          <w:t>www.ijbamr.com   P ISSN: 2250-284X, E ISSN: 2250-2858</w:t>
        </w:r>
      </w:p>
      <w:p w14:paraId="62E2DDBC" w14:textId="14F1DA35" w:rsidR="00D809AC" w:rsidRDefault="00D809AC">
        <w:pPr>
          <w:pStyle w:val="Footer"/>
          <w:jc w:val="right"/>
        </w:pPr>
        <w:r>
          <w:fldChar w:fldCharType="begin"/>
        </w:r>
        <w:r>
          <w:instrText xml:space="preserve"> PAGE   \* MERGEFORMAT </w:instrText>
        </w:r>
        <w:r>
          <w:fldChar w:fldCharType="separate"/>
        </w:r>
        <w:r w:rsidR="00460860">
          <w:rPr>
            <w:noProof/>
          </w:rPr>
          <w:t>269</w:t>
        </w:r>
        <w:r>
          <w:rPr>
            <w:noProof/>
          </w:rPr>
          <w:fldChar w:fldCharType="end"/>
        </w:r>
      </w:p>
    </w:sdtContent>
  </w:sdt>
  <w:p w14:paraId="170FECAE" w14:textId="77777777" w:rsidR="00D809AC" w:rsidRDefault="00D809AC" w:rsidP="00D809AC">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6988A" w14:textId="77777777" w:rsidR="00460860" w:rsidRDefault="00460860" w:rsidP="00D809AC">
      <w:r>
        <w:separator/>
      </w:r>
    </w:p>
  </w:footnote>
  <w:footnote w:type="continuationSeparator" w:id="0">
    <w:p w14:paraId="6689833F" w14:textId="77777777" w:rsidR="00460860" w:rsidRDefault="00460860" w:rsidP="00D80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81C93" w14:textId="213D7BEC" w:rsidR="00D809AC" w:rsidRPr="00D6417D" w:rsidRDefault="00D809AC" w:rsidP="00D809AC">
    <w:pPr>
      <w:tabs>
        <w:tab w:val="center" w:pos="4513"/>
        <w:tab w:val="right" w:pos="9026"/>
      </w:tabs>
      <w:ind w:left="-113"/>
      <w:rPr>
        <w:rFonts w:ascii="Cambria" w:eastAsia="Calibri" w:hAnsi="Cambria"/>
      </w:rPr>
    </w:pPr>
    <w:r w:rsidRPr="00D6417D">
      <w:rPr>
        <w:rFonts w:ascii="Cambria" w:eastAsia="Calibri" w:hAnsi="Cambria"/>
      </w:rPr>
      <w:t xml:space="preserve">Indian Journal of Basic and Applied Medical Research; March 2023: Vol.-12, Issue- 2 , P. </w:t>
    </w:r>
    <w:r>
      <w:rPr>
        <w:rFonts w:ascii="Cambria" w:eastAsia="Calibri" w:hAnsi="Cambria"/>
      </w:rPr>
      <w:t>269 - 275</w:t>
    </w:r>
  </w:p>
  <w:p w14:paraId="155D2A17" w14:textId="1A295E63" w:rsidR="00D809AC" w:rsidRDefault="00D809AC" w:rsidP="00D809AC">
    <w:pPr>
      <w:tabs>
        <w:tab w:val="center" w:pos="4513"/>
        <w:tab w:val="right" w:pos="9026"/>
      </w:tabs>
      <w:ind w:left="-113"/>
      <w:rPr>
        <w:rFonts w:ascii="Cambria" w:eastAsia="Calibri" w:hAnsi="Cambria"/>
        <w:bCs/>
      </w:rPr>
    </w:pPr>
    <w:r w:rsidRPr="00D6417D">
      <w:rPr>
        <w:rFonts w:ascii="Cambria" w:eastAsia="Calibri" w:hAnsi="Cambria"/>
        <w:bCs/>
      </w:rPr>
      <w:t>DOI:</w:t>
    </w:r>
    <w:r>
      <w:rPr>
        <w:rFonts w:ascii="Cambria" w:eastAsia="Calibri" w:hAnsi="Cambria"/>
        <w:bCs/>
      </w:rPr>
      <w:t xml:space="preserve"> 10.36855/IJBAMR/2022/98215.5710</w:t>
    </w:r>
  </w:p>
  <w:p w14:paraId="1AD07086" w14:textId="77777777" w:rsidR="00D809AC" w:rsidRDefault="00D80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3272C"/>
    <w:multiLevelType w:val="hybridMultilevel"/>
    <w:tmpl w:val="DB68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80377"/>
    <w:multiLevelType w:val="hybridMultilevel"/>
    <w:tmpl w:val="F3C2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54"/>
    <w:rsid w:val="00024006"/>
    <w:rsid w:val="000612C9"/>
    <w:rsid w:val="00063F47"/>
    <w:rsid w:val="00087E96"/>
    <w:rsid w:val="000A2DE4"/>
    <w:rsid w:val="000E348F"/>
    <w:rsid w:val="000E4FD1"/>
    <w:rsid w:val="001051C8"/>
    <w:rsid w:val="00127F0D"/>
    <w:rsid w:val="00171EE3"/>
    <w:rsid w:val="001C6C69"/>
    <w:rsid w:val="001F1283"/>
    <w:rsid w:val="00225C44"/>
    <w:rsid w:val="002316A4"/>
    <w:rsid w:val="00241B87"/>
    <w:rsid w:val="002601E2"/>
    <w:rsid w:val="00260F58"/>
    <w:rsid w:val="0026268C"/>
    <w:rsid w:val="00280F77"/>
    <w:rsid w:val="00292328"/>
    <w:rsid w:val="002C4120"/>
    <w:rsid w:val="002D5664"/>
    <w:rsid w:val="002E46D9"/>
    <w:rsid w:val="002E744E"/>
    <w:rsid w:val="0030683D"/>
    <w:rsid w:val="00323F77"/>
    <w:rsid w:val="003658DF"/>
    <w:rsid w:val="003A17B0"/>
    <w:rsid w:val="003A6DF3"/>
    <w:rsid w:val="003B2F00"/>
    <w:rsid w:val="003E582E"/>
    <w:rsid w:val="003E78AF"/>
    <w:rsid w:val="00416ED5"/>
    <w:rsid w:val="00436344"/>
    <w:rsid w:val="00441C52"/>
    <w:rsid w:val="00443D97"/>
    <w:rsid w:val="00451545"/>
    <w:rsid w:val="00455F0E"/>
    <w:rsid w:val="0045702D"/>
    <w:rsid w:val="00460860"/>
    <w:rsid w:val="0048524B"/>
    <w:rsid w:val="004A7AA6"/>
    <w:rsid w:val="004B3543"/>
    <w:rsid w:val="004D29CC"/>
    <w:rsid w:val="004E55A2"/>
    <w:rsid w:val="00506185"/>
    <w:rsid w:val="00537083"/>
    <w:rsid w:val="00560281"/>
    <w:rsid w:val="005744CF"/>
    <w:rsid w:val="00577F36"/>
    <w:rsid w:val="005A150A"/>
    <w:rsid w:val="005E3211"/>
    <w:rsid w:val="0060551F"/>
    <w:rsid w:val="00616540"/>
    <w:rsid w:val="00623659"/>
    <w:rsid w:val="0063511A"/>
    <w:rsid w:val="00646D9A"/>
    <w:rsid w:val="006922A0"/>
    <w:rsid w:val="00697F03"/>
    <w:rsid w:val="006C40D0"/>
    <w:rsid w:val="006F1131"/>
    <w:rsid w:val="006F12B6"/>
    <w:rsid w:val="007575FE"/>
    <w:rsid w:val="007B1F02"/>
    <w:rsid w:val="007C680C"/>
    <w:rsid w:val="007E5C3A"/>
    <w:rsid w:val="007F6565"/>
    <w:rsid w:val="008003C0"/>
    <w:rsid w:val="008153F3"/>
    <w:rsid w:val="008204FA"/>
    <w:rsid w:val="00820A0C"/>
    <w:rsid w:val="008251A5"/>
    <w:rsid w:val="00831B0C"/>
    <w:rsid w:val="008520E2"/>
    <w:rsid w:val="008727F0"/>
    <w:rsid w:val="00881D9F"/>
    <w:rsid w:val="008920B5"/>
    <w:rsid w:val="00893658"/>
    <w:rsid w:val="008A379A"/>
    <w:rsid w:val="008E30F4"/>
    <w:rsid w:val="008E5E2A"/>
    <w:rsid w:val="00950177"/>
    <w:rsid w:val="009636D2"/>
    <w:rsid w:val="009807BE"/>
    <w:rsid w:val="00A16819"/>
    <w:rsid w:val="00A3746A"/>
    <w:rsid w:val="00A6209C"/>
    <w:rsid w:val="00AD38D9"/>
    <w:rsid w:val="00AF5143"/>
    <w:rsid w:val="00B13309"/>
    <w:rsid w:val="00B1520A"/>
    <w:rsid w:val="00B6435B"/>
    <w:rsid w:val="00B65095"/>
    <w:rsid w:val="00B82629"/>
    <w:rsid w:val="00B94052"/>
    <w:rsid w:val="00BA6724"/>
    <w:rsid w:val="00BC4EF8"/>
    <w:rsid w:val="00BD03B0"/>
    <w:rsid w:val="00BD6CCE"/>
    <w:rsid w:val="00C04D35"/>
    <w:rsid w:val="00C35217"/>
    <w:rsid w:val="00C7007E"/>
    <w:rsid w:val="00C71828"/>
    <w:rsid w:val="00C75BDF"/>
    <w:rsid w:val="00C82AA1"/>
    <w:rsid w:val="00CC3CA5"/>
    <w:rsid w:val="00D42891"/>
    <w:rsid w:val="00D70CB8"/>
    <w:rsid w:val="00D70E2B"/>
    <w:rsid w:val="00D809AC"/>
    <w:rsid w:val="00DB5048"/>
    <w:rsid w:val="00DC4C73"/>
    <w:rsid w:val="00DF3085"/>
    <w:rsid w:val="00E26D54"/>
    <w:rsid w:val="00F55B61"/>
    <w:rsid w:val="00F705A9"/>
    <w:rsid w:val="00F93EAA"/>
    <w:rsid w:val="00FB02F6"/>
    <w:rsid w:val="00FC05C2"/>
    <w:rsid w:val="00FD77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DF"/>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416ED5"/>
    <w:pPr>
      <w:widowControl/>
      <w:autoSpaceDE/>
      <w:autoSpaceDN/>
      <w:spacing w:after="160"/>
    </w:pPr>
    <w:rPr>
      <w:rFonts w:asciiTheme="minorHAnsi" w:eastAsiaTheme="minorEastAsia" w:hAnsiTheme="minorHAnsi" w:cstheme="minorBidi"/>
      <w:b/>
      <w:bCs/>
      <w:smallCaps/>
      <w:color w:val="44546A" w:themeColor="text2"/>
      <w:lang w:val="en-IN"/>
    </w:rPr>
  </w:style>
  <w:style w:type="paragraph" w:customStyle="1" w:styleId="FirstParagraph">
    <w:name w:val="First Paragraph"/>
    <w:basedOn w:val="BodyText"/>
    <w:next w:val="BodyText"/>
    <w:qFormat/>
    <w:rsid w:val="00416ED5"/>
    <w:pPr>
      <w:widowControl/>
      <w:autoSpaceDE/>
      <w:autoSpaceDN/>
      <w:spacing w:before="180" w:after="180"/>
    </w:pPr>
    <w:rPr>
      <w:rFonts w:eastAsiaTheme="minorHAnsi" w:cstheme="minorBidi"/>
      <w:sz w:val="24"/>
      <w:szCs w:val="24"/>
    </w:rPr>
  </w:style>
  <w:style w:type="character" w:customStyle="1" w:styleId="CaptionChar">
    <w:name w:val="Caption Char"/>
    <w:basedOn w:val="DefaultParagraphFont"/>
    <w:link w:val="Caption"/>
    <w:rsid w:val="00416ED5"/>
    <w:rPr>
      <w:rFonts w:eastAsiaTheme="minorEastAsia"/>
      <w:b/>
      <w:bCs/>
      <w:smallCaps/>
      <w:color w:val="44546A" w:themeColor="text2"/>
      <w:kern w:val="0"/>
      <w14:ligatures w14:val="none"/>
    </w:rPr>
  </w:style>
  <w:style w:type="paragraph" w:styleId="BodyText">
    <w:name w:val="Body Text"/>
    <w:basedOn w:val="Normal"/>
    <w:link w:val="BodyTextChar"/>
    <w:uiPriority w:val="99"/>
    <w:semiHidden/>
    <w:unhideWhenUsed/>
    <w:rsid w:val="00416ED5"/>
    <w:pPr>
      <w:spacing w:after="120"/>
    </w:pPr>
  </w:style>
  <w:style w:type="character" w:customStyle="1" w:styleId="BodyTextChar">
    <w:name w:val="Body Text Char"/>
    <w:basedOn w:val="DefaultParagraphFont"/>
    <w:link w:val="BodyText"/>
    <w:uiPriority w:val="99"/>
    <w:semiHidden/>
    <w:rsid w:val="00416ED5"/>
    <w:rPr>
      <w:rFonts w:ascii="Times New Roman" w:eastAsia="Times New Roman" w:hAnsi="Times New Roman" w:cs="Times New Roman"/>
      <w:kern w:val="0"/>
      <w:lang w:val="en-US"/>
      <w14:ligatures w14:val="none"/>
    </w:rPr>
  </w:style>
  <w:style w:type="paragraph" w:styleId="ListParagraph">
    <w:name w:val="List Paragraph"/>
    <w:basedOn w:val="Normal"/>
    <w:uiPriority w:val="34"/>
    <w:qFormat/>
    <w:rsid w:val="005E3211"/>
    <w:pPr>
      <w:widowControl/>
      <w:autoSpaceDE/>
      <w:autoSpaceDN/>
      <w:spacing w:after="200" w:line="276" w:lineRule="auto"/>
      <w:ind w:left="720"/>
    </w:pPr>
    <w:rPr>
      <w:rFonts w:ascii="Calibri" w:eastAsia="Calibri" w:hAnsi="Calibri" w:cs="Calibri"/>
      <w:lang w:val="en-IN"/>
    </w:rPr>
  </w:style>
  <w:style w:type="table" w:styleId="TableGrid">
    <w:name w:val="Table Grid"/>
    <w:basedOn w:val="TableNormal"/>
    <w:uiPriority w:val="39"/>
    <w:rsid w:val="006C4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C05C2"/>
    <w:rPr>
      <w:i/>
      <w:iCs/>
    </w:rPr>
  </w:style>
  <w:style w:type="paragraph" w:styleId="NoSpacing">
    <w:name w:val="No Spacing"/>
    <w:uiPriority w:val="1"/>
    <w:qFormat/>
    <w:rsid w:val="00292328"/>
    <w:pPr>
      <w:spacing w:after="0" w:line="240" w:lineRule="auto"/>
    </w:pPr>
    <w:rPr>
      <w:rFonts w:eastAsiaTheme="minorEastAsia"/>
      <w:kern w:val="0"/>
      <w14:ligatures w14:val="none"/>
    </w:rPr>
  </w:style>
  <w:style w:type="paragraph" w:styleId="NormalWeb">
    <w:name w:val="Normal (Web)"/>
    <w:basedOn w:val="Normal"/>
    <w:uiPriority w:val="99"/>
    <w:semiHidden/>
    <w:unhideWhenUsed/>
    <w:rsid w:val="00FD77A4"/>
    <w:pPr>
      <w:widowControl/>
      <w:autoSpaceDE/>
      <w:autoSpaceDN/>
      <w:spacing w:before="100" w:beforeAutospacing="1" w:after="100" w:afterAutospacing="1"/>
    </w:pPr>
    <w:rPr>
      <w:sz w:val="24"/>
      <w:szCs w:val="24"/>
      <w:lang w:val="en-IN" w:eastAsia="en-IN"/>
    </w:rPr>
  </w:style>
  <w:style w:type="paragraph" w:styleId="BalloonText">
    <w:name w:val="Balloon Text"/>
    <w:basedOn w:val="Normal"/>
    <w:link w:val="BalloonTextChar"/>
    <w:uiPriority w:val="99"/>
    <w:semiHidden/>
    <w:unhideWhenUsed/>
    <w:rsid w:val="008520E2"/>
    <w:rPr>
      <w:rFonts w:ascii="Tahoma" w:hAnsi="Tahoma" w:cs="Tahoma"/>
      <w:sz w:val="16"/>
      <w:szCs w:val="16"/>
    </w:rPr>
  </w:style>
  <w:style w:type="character" w:customStyle="1" w:styleId="BalloonTextChar">
    <w:name w:val="Balloon Text Char"/>
    <w:basedOn w:val="DefaultParagraphFont"/>
    <w:link w:val="BalloonText"/>
    <w:uiPriority w:val="99"/>
    <w:semiHidden/>
    <w:rsid w:val="008520E2"/>
    <w:rPr>
      <w:rFonts w:ascii="Tahoma" w:eastAsia="Times New Roman" w:hAnsi="Tahoma" w:cs="Tahoma"/>
      <w:kern w:val="0"/>
      <w:sz w:val="16"/>
      <w:szCs w:val="16"/>
      <w:lang w:val="en-US"/>
      <w14:ligatures w14:val="none"/>
    </w:rPr>
  </w:style>
  <w:style w:type="paragraph" w:styleId="Header">
    <w:name w:val="header"/>
    <w:basedOn w:val="Normal"/>
    <w:link w:val="HeaderChar"/>
    <w:uiPriority w:val="99"/>
    <w:unhideWhenUsed/>
    <w:rsid w:val="00D809AC"/>
    <w:pPr>
      <w:tabs>
        <w:tab w:val="center" w:pos="4513"/>
        <w:tab w:val="right" w:pos="9026"/>
      </w:tabs>
    </w:pPr>
  </w:style>
  <w:style w:type="character" w:customStyle="1" w:styleId="HeaderChar">
    <w:name w:val="Header Char"/>
    <w:basedOn w:val="DefaultParagraphFont"/>
    <w:link w:val="Header"/>
    <w:uiPriority w:val="99"/>
    <w:rsid w:val="00D809AC"/>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D809AC"/>
    <w:pPr>
      <w:tabs>
        <w:tab w:val="center" w:pos="4513"/>
        <w:tab w:val="right" w:pos="9026"/>
      </w:tabs>
    </w:pPr>
  </w:style>
  <w:style w:type="character" w:customStyle="1" w:styleId="FooterChar">
    <w:name w:val="Footer Char"/>
    <w:basedOn w:val="DefaultParagraphFont"/>
    <w:link w:val="Footer"/>
    <w:uiPriority w:val="99"/>
    <w:rsid w:val="00D809AC"/>
    <w:rPr>
      <w:rFonts w:ascii="Times New Roman" w:eastAsia="Times New Roman" w:hAnsi="Times New Roman" w:cs="Times New Roman"/>
      <w:kern w:val="0"/>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DF"/>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416ED5"/>
    <w:pPr>
      <w:widowControl/>
      <w:autoSpaceDE/>
      <w:autoSpaceDN/>
      <w:spacing w:after="160"/>
    </w:pPr>
    <w:rPr>
      <w:rFonts w:asciiTheme="minorHAnsi" w:eastAsiaTheme="minorEastAsia" w:hAnsiTheme="minorHAnsi" w:cstheme="minorBidi"/>
      <w:b/>
      <w:bCs/>
      <w:smallCaps/>
      <w:color w:val="44546A" w:themeColor="text2"/>
      <w:lang w:val="en-IN"/>
    </w:rPr>
  </w:style>
  <w:style w:type="paragraph" w:customStyle="1" w:styleId="FirstParagraph">
    <w:name w:val="First Paragraph"/>
    <w:basedOn w:val="BodyText"/>
    <w:next w:val="BodyText"/>
    <w:qFormat/>
    <w:rsid w:val="00416ED5"/>
    <w:pPr>
      <w:widowControl/>
      <w:autoSpaceDE/>
      <w:autoSpaceDN/>
      <w:spacing w:before="180" w:after="180"/>
    </w:pPr>
    <w:rPr>
      <w:rFonts w:eastAsiaTheme="minorHAnsi" w:cstheme="minorBidi"/>
      <w:sz w:val="24"/>
      <w:szCs w:val="24"/>
    </w:rPr>
  </w:style>
  <w:style w:type="character" w:customStyle="1" w:styleId="CaptionChar">
    <w:name w:val="Caption Char"/>
    <w:basedOn w:val="DefaultParagraphFont"/>
    <w:link w:val="Caption"/>
    <w:rsid w:val="00416ED5"/>
    <w:rPr>
      <w:rFonts w:eastAsiaTheme="minorEastAsia"/>
      <w:b/>
      <w:bCs/>
      <w:smallCaps/>
      <w:color w:val="44546A" w:themeColor="text2"/>
      <w:kern w:val="0"/>
      <w14:ligatures w14:val="none"/>
    </w:rPr>
  </w:style>
  <w:style w:type="paragraph" w:styleId="BodyText">
    <w:name w:val="Body Text"/>
    <w:basedOn w:val="Normal"/>
    <w:link w:val="BodyTextChar"/>
    <w:uiPriority w:val="99"/>
    <w:semiHidden/>
    <w:unhideWhenUsed/>
    <w:rsid w:val="00416ED5"/>
    <w:pPr>
      <w:spacing w:after="120"/>
    </w:pPr>
  </w:style>
  <w:style w:type="character" w:customStyle="1" w:styleId="BodyTextChar">
    <w:name w:val="Body Text Char"/>
    <w:basedOn w:val="DefaultParagraphFont"/>
    <w:link w:val="BodyText"/>
    <w:uiPriority w:val="99"/>
    <w:semiHidden/>
    <w:rsid w:val="00416ED5"/>
    <w:rPr>
      <w:rFonts w:ascii="Times New Roman" w:eastAsia="Times New Roman" w:hAnsi="Times New Roman" w:cs="Times New Roman"/>
      <w:kern w:val="0"/>
      <w:lang w:val="en-US"/>
      <w14:ligatures w14:val="none"/>
    </w:rPr>
  </w:style>
  <w:style w:type="paragraph" w:styleId="ListParagraph">
    <w:name w:val="List Paragraph"/>
    <w:basedOn w:val="Normal"/>
    <w:uiPriority w:val="34"/>
    <w:qFormat/>
    <w:rsid w:val="005E3211"/>
    <w:pPr>
      <w:widowControl/>
      <w:autoSpaceDE/>
      <w:autoSpaceDN/>
      <w:spacing w:after="200" w:line="276" w:lineRule="auto"/>
      <w:ind w:left="720"/>
    </w:pPr>
    <w:rPr>
      <w:rFonts w:ascii="Calibri" w:eastAsia="Calibri" w:hAnsi="Calibri" w:cs="Calibri"/>
      <w:lang w:val="en-IN"/>
    </w:rPr>
  </w:style>
  <w:style w:type="table" w:styleId="TableGrid">
    <w:name w:val="Table Grid"/>
    <w:basedOn w:val="TableNormal"/>
    <w:uiPriority w:val="39"/>
    <w:rsid w:val="006C4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C05C2"/>
    <w:rPr>
      <w:i/>
      <w:iCs/>
    </w:rPr>
  </w:style>
  <w:style w:type="paragraph" w:styleId="NoSpacing">
    <w:name w:val="No Spacing"/>
    <w:uiPriority w:val="1"/>
    <w:qFormat/>
    <w:rsid w:val="00292328"/>
    <w:pPr>
      <w:spacing w:after="0" w:line="240" w:lineRule="auto"/>
    </w:pPr>
    <w:rPr>
      <w:rFonts w:eastAsiaTheme="minorEastAsia"/>
      <w:kern w:val="0"/>
      <w14:ligatures w14:val="none"/>
    </w:rPr>
  </w:style>
  <w:style w:type="paragraph" w:styleId="NormalWeb">
    <w:name w:val="Normal (Web)"/>
    <w:basedOn w:val="Normal"/>
    <w:uiPriority w:val="99"/>
    <w:semiHidden/>
    <w:unhideWhenUsed/>
    <w:rsid w:val="00FD77A4"/>
    <w:pPr>
      <w:widowControl/>
      <w:autoSpaceDE/>
      <w:autoSpaceDN/>
      <w:spacing w:before="100" w:beforeAutospacing="1" w:after="100" w:afterAutospacing="1"/>
    </w:pPr>
    <w:rPr>
      <w:sz w:val="24"/>
      <w:szCs w:val="24"/>
      <w:lang w:val="en-IN" w:eastAsia="en-IN"/>
    </w:rPr>
  </w:style>
  <w:style w:type="paragraph" w:styleId="BalloonText">
    <w:name w:val="Balloon Text"/>
    <w:basedOn w:val="Normal"/>
    <w:link w:val="BalloonTextChar"/>
    <w:uiPriority w:val="99"/>
    <w:semiHidden/>
    <w:unhideWhenUsed/>
    <w:rsid w:val="008520E2"/>
    <w:rPr>
      <w:rFonts w:ascii="Tahoma" w:hAnsi="Tahoma" w:cs="Tahoma"/>
      <w:sz w:val="16"/>
      <w:szCs w:val="16"/>
    </w:rPr>
  </w:style>
  <w:style w:type="character" w:customStyle="1" w:styleId="BalloonTextChar">
    <w:name w:val="Balloon Text Char"/>
    <w:basedOn w:val="DefaultParagraphFont"/>
    <w:link w:val="BalloonText"/>
    <w:uiPriority w:val="99"/>
    <w:semiHidden/>
    <w:rsid w:val="008520E2"/>
    <w:rPr>
      <w:rFonts w:ascii="Tahoma" w:eastAsia="Times New Roman" w:hAnsi="Tahoma" w:cs="Tahoma"/>
      <w:kern w:val="0"/>
      <w:sz w:val="16"/>
      <w:szCs w:val="16"/>
      <w:lang w:val="en-US"/>
      <w14:ligatures w14:val="none"/>
    </w:rPr>
  </w:style>
  <w:style w:type="paragraph" w:styleId="Header">
    <w:name w:val="header"/>
    <w:basedOn w:val="Normal"/>
    <w:link w:val="HeaderChar"/>
    <w:uiPriority w:val="99"/>
    <w:unhideWhenUsed/>
    <w:rsid w:val="00D809AC"/>
    <w:pPr>
      <w:tabs>
        <w:tab w:val="center" w:pos="4513"/>
        <w:tab w:val="right" w:pos="9026"/>
      </w:tabs>
    </w:pPr>
  </w:style>
  <w:style w:type="character" w:customStyle="1" w:styleId="HeaderChar">
    <w:name w:val="Header Char"/>
    <w:basedOn w:val="DefaultParagraphFont"/>
    <w:link w:val="Header"/>
    <w:uiPriority w:val="99"/>
    <w:rsid w:val="00D809AC"/>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D809AC"/>
    <w:pPr>
      <w:tabs>
        <w:tab w:val="center" w:pos="4513"/>
        <w:tab w:val="right" w:pos="9026"/>
      </w:tabs>
    </w:pPr>
  </w:style>
  <w:style w:type="character" w:customStyle="1" w:styleId="FooterChar">
    <w:name w:val="Footer Char"/>
    <w:basedOn w:val="DefaultParagraphFont"/>
    <w:link w:val="Footer"/>
    <w:uiPriority w:val="99"/>
    <w:rsid w:val="00D809AC"/>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88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jeevatmathew@outlook.com</dc:creator>
  <cp:lastModifiedBy>RDRL</cp:lastModifiedBy>
  <cp:revision>6</cp:revision>
  <cp:lastPrinted>2023-05-11T11:32:00Z</cp:lastPrinted>
  <dcterms:created xsi:type="dcterms:W3CDTF">2023-05-03T04:07:00Z</dcterms:created>
  <dcterms:modified xsi:type="dcterms:W3CDTF">2023-05-11T11:32:00Z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85fa2a5529cf284778fdeb67fce6e9c302aad1e40727c0f5e435444f8b2cfa05</vt:lpwstr>
  </property>
</Properties>
</file>