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C1" w:rsidRPr="002076C1" w:rsidRDefault="002076C1" w:rsidP="002076C1">
      <w:pPr>
        <w:tabs>
          <w:tab w:val="left" w:pos="810"/>
          <w:tab w:val="right" w:pos="10080"/>
        </w:tabs>
        <w:spacing w:after="0" w:line="360" w:lineRule="auto"/>
        <w:ind w:right="-270"/>
        <w:rPr>
          <w:rFonts w:asciiTheme="majorHAnsi" w:hAnsiTheme="majorHAnsi" w:cs="Times New Roman"/>
          <w:b/>
          <w:sz w:val="24"/>
          <w:szCs w:val="24"/>
        </w:rPr>
      </w:pPr>
      <w:r w:rsidRPr="002076C1">
        <w:rPr>
          <w:rFonts w:asciiTheme="majorHAnsi" w:hAnsiTheme="majorHAnsi" w:cs="Times New Roman"/>
          <w:b/>
          <w:sz w:val="24"/>
          <w:szCs w:val="24"/>
          <w:highlight w:val="lightGray"/>
        </w:rPr>
        <w:t>Original article:</w:t>
      </w:r>
    </w:p>
    <w:p w:rsidR="002076C1" w:rsidRPr="00521A32" w:rsidRDefault="00EB6374" w:rsidP="002076C1">
      <w:pPr>
        <w:tabs>
          <w:tab w:val="left" w:pos="810"/>
          <w:tab w:val="right" w:pos="10080"/>
        </w:tabs>
        <w:spacing w:after="0" w:line="360" w:lineRule="auto"/>
        <w:ind w:right="-270"/>
        <w:rPr>
          <w:rFonts w:asciiTheme="majorHAnsi" w:hAnsiTheme="majorHAnsi"/>
          <w:b/>
        </w:rPr>
      </w:pPr>
      <w:r w:rsidRPr="00521A32">
        <w:rPr>
          <w:rFonts w:asciiTheme="majorHAnsi" w:hAnsiTheme="majorHAnsi" w:cs="Times New Roman"/>
          <w:b/>
          <w:color w:val="0070C0"/>
          <w:sz w:val="28"/>
          <w:szCs w:val="28"/>
        </w:rPr>
        <w:t>L</w:t>
      </w:r>
      <w:r w:rsidR="00C43475" w:rsidRPr="00521A32">
        <w:rPr>
          <w:rFonts w:asciiTheme="majorHAnsi" w:hAnsiTheme="majorHAnsi" w:cs="Times New Roman"/>
          <w:b/>
          <w:color w:val="0070C0"/>
          <w:sz w:val="28"/>
          <w:szCs w:val="28"/>
        </w:rPr>
        <w:t xml:space="preserve">ipid profile and gender difference among some secondary school teachers in </w:t>
      </w:r>
      <w:r w:rsidR="002076C1" w:rsidRPr="00521A32">
        <w:rPr>
          <w:rFonts w:asciiTheme="majorHAnsi" w:hAnsiTheme="majorHAnsi" w:cs="Times New Roman"/>
          <w:b/>
          <w:color w:val="0070C0"/>
          <w:sz w:val="28"/>
          <w:szCs w:val="28"/>
        </w:rPr>
        <w:t>SAGAMU</w:t>
      </w:r>
      <w:r w:rsidRPr="00521A32">
        <w:rPr>
          <w:rFonts w:asciiTheme="majorHAnsi" w:hAnsiTheme="majorHAnsi" w:cs="Times New Roman"/>
          <w:b/>
          <w:color w:val="0070C0"/>
          <w:sz w:val="28"/>
          <w:szCs w:val="28"/>
        </w:rPr>
        <w:t xml:space="preserve">             </w:t>
      </w:r>
      <w:r w:rsidRPr="00521A32">
        <w:rPr>
          <w:rFonts w:asciiTheme="majorHAnsi" w:hAnsiTheme="majorHAnsi"/>
          <w:b/>
        </w:rPr>
        <w:t xml:space="preserve">                             </w:t>
      </w:r>
      <w:r w:rsidR="002076C1" w:rsidRPr="00521A32">
        <w:rPr>
          <w:rFonts w:asciiTheme="majorHAnsi" w:hAnsiTheme="majorHAnsi"/>
          <w:b/>
        </w:rPr>
        <w:t xml:space="preserve">                      </w:t>
      </w:r>
    </w:p>
    <w:p w:rsidR="002076C1" w:rsidRPr="002076C1" w:rsidRDefault="002076C1" w:rsidP="002076C1">
      <w:pPr>
        <w:tabs>
          <w:tab w:val="left" w:pos="810"/>
          <w:tab w:val="right" w:pos="10080"/>
        </w:tabs>
        <w:spacing w:after="0" w:line="360" w:lineRule="auto"/>
        <w:ind w:right="-270"/>
        <w:rPr>
          <w:rFonts w:asciiTheme="majorHAnsi" w:hAnsiTheme="majorHAnsi" w:cs="Times New Roman"/>
          <w:b/>
          <w:sz w:val="28"/>
          <w:szCs w:val="28"/>
        </w:rPr>
      </w:pPr>
      <w:proofErr w:type="spellStart"/>
      <w:r w:rsidRPr="002076C1">
        <w:rPr>
          <w:rFonts w:asciiTheme="majorHAnsi" w:hAnsiTheme="majorHAnsi"/>
          <w:b/>
        </w:rPr>
        <w:t>Taiwo</w:t>
      </w:r>
      <w:proofErr w:type="spellEnd"/>
      <w:r w:rsidRPr="002076C1">
        <w:rPr>
          <w:rFonts w:asciiTheme="majorHAnsi" w:hAnsiTheme="majorHAnsi"/>
          <w:b/>
        </w:rPr>
        <w:t xml:space="preserve"> </w:t>
      </w:r>
      <w:proofErr w:type="gramStart"/>
      <w:r w:rsidRPr="002076C1">
        <w:rPr>
          <w:rFonts w:asciiTheme="majorHAnsi" w:hAnsiTheme="majorHAnsi"/>
          <w:b/>
        </w:rPr>
        <w:t>E.O.</w:t>
      </w:r>
      <w:r w:rsidRPr="002076C1">
        <w:rPr>
          <w:rFonts w:asciiTheme="majorHAnsi" w:hAnsiTheme="majorHAnsi"/>
          <w:b/>
          <w:vertAlign w:val="superscript"/>
        </w:rPr>
        <w:t xml:space="preserve">1 </w:t>
      </w:r>
      <w:r w:rsidRPr="002076C1">
        <w:rPr>
          <w:rFonts w:asciiTheme="majorHAnsi" w:hAnsiTheme="majorHAnsi"/>
          <w:b/>
        </w:rPr>
        <w:t>;</w:t>
      </w:r>
      <w:proofErr w:type="gramEnd"/>
      <w:r w:rsidRPr="002076C1">
        <w:rPr>
          <w:rFonts w:asciiTheme="majorHAnsi" w:hAnsiTheme="majorHAnsi"/>
          <w:b/>
        </w:rPr>
        <w:t xml:space="preserve"> </w:t>
      </w:r>
      <w:proofErr w:type="spellStart"/>
      <w:r w:rsidRPr="002076C1">
        <w:rPr>
          <w:rFonts w:asciiTheme="majorHAnsi" w:hAnsiTheme="majorHAnsi"/>
          <w:b/>
        </w:rPr>
        <w:t>Thanni</w:t>
      </w:r>
      <w:proofErr w:type="spellEnd"/>
      <w:r w:rsidRPr="002076C1">
        <w:rPr>
          <w:rFonts w:asciiTheme="majorHAnsi" w:hAnsiTheme="majorHAnsi"/>
          <w:b/>
        </w:rPr>
        <w:t xml:space="preserve"> L.O.A</w:t>
      </w:r>
      <w:r w:rsidRPr="002076C1">
        <w:rPr>
          <w:rFonts w:asciiTheme="majorHAnsi" w:hAnsiTheme="majorHAnsi"/>
          <w:b/>
          <w:vertAlign w:val="superscript"/>
        </w:rPr>
        <w:t>2</w:t>
      </w:r>
      <w:r w:rsidRPr="002076C1">
        <w:rPr>
          <w:rFonts w:asciiTheme="majorHAnsi" w:hAnsiTheme="majorHAnsi"/>
          <w:b/>
        </w:rPr>
        <w:t xml:space="preserve"> ,</w:t>
      </w:r>
      <w:proofErr w:type="spellStart"/>
      <w:r w:rsidRPr="002076C1">
        <w:rPr>
          <w:rFonts w:asciiTheme="majorHAnsi" w:hAnsiTheme="majorHAnsi"/>
          <w:b/>
        </w:rPr>
        <w:t>Tomoye</w:t>
      </w:r>
      <w:proofErr w:type="spellEnd"/>
      <w:r w:rsidRPr="002076C1">
        <w:rPr>
          <w:rFonts w:asciiTheme="majorHAnsi" w:hAnsiTheme="majorHAnsi"/>
          <w:b/>
        </w:rPr>
        <w:t xml:space="preserve"> E.E</w:t>
      </w:r>
      <w:r w:rsidRPr="002076C1">
        <w:rPr>
          <w:rFonts w:asciiTheme="majorHAnsi" w:hAnsiTheme="majorHAnsi"/>
          <w:b/>
          <w:vertAlign w:val="superscript"/>
        </w:rPr>
        <w:t xml:space="preserve">1 </w:t>
      </w:r>
    </w:p>
    <w:p w:rsidR="002076C1" w:rsidRDefault="002076C1" w:rsidP="002076C1">
      <w:pPr>
        <w:tabs>
          <w:tab w:val="left" w:pos="810"/>
          <w:tab w:val="right" w:pos="10080"/>
        </w:tabs>
        <w:spacing w:after="0" w:line="360" w:lineRule="auto"/>
        <w:ind w:right="-270"/>
        <w:jc w:val="both"/>
        <w:rPr>
          <w:rFonts w:asciiTheme="majorHAnsi" w:hAnsiTheme="majorHAnsi"/>
          <w:b/>
          <w:vertAlign w:val="superscript"/>
        </w:rPr>
      </w:pPr>
    </w:p>
    <w:p w:rsidR="00521A32" w:rsidRDefault="002076C1" w:rsidP="002076C1">
      <w:pPr>
        <w:tabs>
          <w:tab w:val="left" w:pos="810"/>
          <w:tab w:val="right" w:pos="10080"/>
        </w:tabs>
        <w:spacing w:after="0" w:line="360" w:lineRule="auto"/>
        <w:ind w:right="-270"/>
        <w:jc w:val="both"/>
        <w:rPr>
          <w:rFonts w:asciiTheme="majorHAnsi" w:hAnsiTheme="majorHAnsi"/>
          <w:sz w:val="18"/>
          <w:szCs w:val="18"/>
        </w:rPr>
      </w:pPr>
      <w:r w:rsidRPr="002076C1">
        <w:rPr>
          <w:rFonts w:asciiTheme="majorHAnsi" w:hAnsiTheme="majorHAnsi"/>
          <w:sz w:val="18"/>
          <w:szCs w:val="18"/>
          <w:vertAlign w:val="superscript"/>
        </w:rPr>
        <w:t>1</w:t>
      </w:r>
      <w:r w:rsidRPr="002076C1">
        <w:rPr>
          <w:rFonts w:asciiTheme="majorHAnsi" w:hAnsiTheme="majorHAnsi"/>
          <w:sz w:val="18"/>
          <w:szCs w:val="18"/>
        </w:rPr>
        <w:t xml:space="preserve">Department of Physiology, OACHS, </w:t>
      </w:r>
      <w:proofErr w:type="spellStart"/>
      <w:r w:rsidRPr="002076C1">
        <w:rPr>
          <w:rFonts w:asciiTheme="majorHAnsi" w:hAnsiTheme="majorHAnsi"/>
          <w:sz w:val="18"/>
          <w:szCs w:val="18"/>
        </w:rPr>
        <w:t>Olabisi</w:t>
      </w:r>
      <w:proofErr w:type="spellEnd"/>
      <w:r w:rsidRPr="002076C1">
        <w:rPr>
          <w:rFonts w:asciiTheme="majorHAnsi" w:hAnsiTheme="majorHAnsi"/>
          <w:sz w:val="18"/>
          <w:szCs w:val="18"/>
        </w:rPr>
        <w:t xml:space="preserve"> </w:t>
      </w:r>
      <w:proofErr w:type="spellStart"/>
      <w:r w:rsidRPr="002076C1">
        <w:rPr>
          <w:rFonts w:asciiTheme="majorHAnsi" w:hAnsiTheme="majorHAnsi"/>
          <w:sz w:val="18"/>
          <w:szCs w:val="18"/>
        </w:rPr>
        <w:t>Onabanjo</w:t>
      </w:r>
      <w:proofErr w:type="spellEnd"/>
      <w:r w:rsidRPr="002076C1">
        <w:rPr>
          <w:rFonts w:asciiTheme="majorHAnsi" w:hAnsiTheme="majorHAnsi"/>
          <w:sz w:val="18"/>
          <w:szCs w:val="18"/>
        </w:rPr>
        <w:t xml:space="preserve"> University, Ago-</w:t>
      </w:r>
      <w:proofErr w:type="spellStart"/>
      <w:r w:rsidRPr="002076C1">
        <w:rPr>
          <w:rFonts w:asciiTheme="majorHAnsi" w:hAnsiTheme="majorHAnsi"/>
          <w:sz w:val="18"/>
          <w:szCs w:val="18"/>
        </w:rPr>
        <w:t>Iwoye</w:t>
      </w:r>
      <w:proofErr w:type="spellEnd"/>
      <w:r w:rsidRPr="002076C1">
        <w:rPr>
          <w:rFonts w:asciiTheme="majorHAnsi" w:hAnsiTheme="majorHAnsi"/>
          <w:sz w:val="18"/>
          <w:szCs w:val="18"/>
        </w:rPr>
        <w:t xml:space="preserve">, </w:t>
      </w:r>
      <w:proofErr w:type="spellStart"/>
      <w:r w:rsidRPr="002076C1">
        <w:rPr>
          <w:rFonts w:asciiTheme="majorHAnsi" w:hAnsiTheme="majorHAnsi"/>
          <w:sz w:val="18"/>
          <w:szCs w:val="18"/>
        </w:rPr>
        <w:t>Ogun</w:t>
      </w:r>
      <w:proofErr w:type="spellEnd"/>
      <w:r w:rsidRPr="002076C1">
        <w:rPr>
          <w:rFonts w:asciiTheme="majorHAnsi" w:hAnsiTheme="majorHAnsi"/>
          <w:sz w:val="18"/>
          <w:szCs w:val="18"/>
        </w:rPr>
        <w:t xml:space="preserve"> State, Nigeria. </w:t>
      </w:r>
    </w:p>
    <w:p w:rsidR="002076C1" w:rsidRDefault="002076C1" w:rsidP="002076C1">
      <w:pPr>
        <w:tabs>
          <w:tab w:val="left" w:pos="810"/>
          <w:tab w:val="right" w:pos="10080"/>
        </w:tabs>
        <w:spacing w:after="0" w:line="360" w:lineRule="auto"/>
        <w:ind w:right="-270"/>
        <w:jc w:val="both"/>
        <w:rPr>
          <w:rFonts w:asciiTheme="majorHAnsi" w:hAnsiTheme="majorHAnsi"/>
          <w:sz w:val="18"/>
          <w:szCs w:val="18"/>
        </w:rPr>
      </w:pPr>
      <w:r w:rsidRPr="002076C1">
        <w:rPr>
          <w:rFonts w:asciiTheme="majorHAnsi" w:hAnsiTheme="majorHAnsi"/>
          <w:sz w:val="18"/>
          <w:szCs w:val="18"/>
          <w:vertAlign w:val="superscript"/>
        </w:rPr>
        <w:t>2</w:t>
      </w:r>
      <w:r w:rsidRPr="002076C1">
        <w:rPr>
          <w:rFonts w:asciiTheme="majorHAnsi" w:hAnsiTheme="majorHAnsi"/>
          <w:sz w:val="18"/>
          <w:szCs w:val="18"/>
        </w:rPr>
        <w:t xml:space="preserve">Department of Surgery, OACHS, </w:t>
      </w:r>
      <w:proofErr w:type="spellStart"/>
      <w:r w:rsidRPr="002076C1">
        <w:rPr>
          <w:rFonts w:asciiTheme="majorHAnsi" w:hAnsiTheme="majorHAnsi"/>
          <w:sz w:val="18"/>
          <w:szCs w:val="18"/>
        </w:rPr>
        <w:t>Olabisi</w:t>
      </w:r>
      <w:proofErr w:type="spellEnd"/>
      <w:r w:rsidRPr="002076C1">
        <w:rPr>
          <w:rFonts w:asciiTheme="majorHAnsi" w:hAnsiTheme="majorHAnsi"/>
          <w:sz w:val="18"/>
          <w:szCs w:val="18"/>
        </w:rPr>
        <w:t xml:space="preserve"> </w:t>
      </w:r>
      <w:proofErr w:type="spellStart"/>
      <w:r w:rsidRPr="002076C1">
        <w:rPr>
          <w:rFonts w:asciiTheme="majorHAnsi" w:hAnsiTheme="majorHAnsi"/>
          <w:sz w:val="18"/>
          <w:szCs w:val="18"/>
        </w:rPr>
        <w:t>Onabanjo</w:t>
      </w:r>
      <w:proofErr w:type="spellEnd"/>
      <w:r w:rsidRPr="002076C1">
        <w:rPr>
          <w:rFonts w:asciiTheme="majorHAnsi" w:hAnsiTheme="majorHAnsi"/>
          <w:sz w:val="18"/>
          <w:szCs w:val="18"/>
        </w:rPr>
        <w:t xml:space="preserve"> University,</w:t>
      </w:r>
      <w:bookmarkStart w:id="0" w:name="_GoBack"/>
      <w:bookmarkEnd w:id="0"/>
      <w:r w:rsidRPr="002076C1">
        <w:rPr>
          <w:rFonts w:asciiTheme="majorHAnsi" w:hAnsiTheme="majorHAnsi"/>
          <w:sz w:val="18"/>
          <w:szCs w:val="18"/>
        </w:rPr>
        <w:t xml:space="preserve"> Ago-</w:t>
      </w:r>
      <w:proofErr w:type="spellStart"/>
      <w:r w:rsidRPr="002076C1">
        <w:rPr>
          <w:rFonts w:asciiTheme="majorHAnsi" w:hAnsiTheme="majorHAnsi"/>
          <w:sz w:val="18"/>
          <w:szCs w:val="18"/>
        </w:rPr>
        <w:t>Iwoye</w:t>
      </w:r>
      <w:proofErr w:type="spellEnd"/>
      <w:r w:rsidRPr="002076C1">
        <w:rPr>
          <w:rFonts w:asciiTheme="majorHAnsi" w:hAnsiTheme="majorHAnsi"/>
          <w:sz w:val="18"/>
          <w:szCs w:val="18"/>
        </w:rPr>
        <w:t xml:space="preserve">, </w:t>
      </w:r>
      <w:proofErr w:type="spellStart"/>
      <w:r w:rsidRPr="002076C1">
        <w:rPr>
          <w:rFonts w:asciiTheme="majorHAnsi" w:hAnsiTheme="majorHAnsi"/>
          <w:sz w:val="18"/>
          <w:szCs w:val="18"/>
        </w:rPr>
        <w:t>Ogun</w:t>
      </w:r>
      <w:proofErr w:type="spellEnd"/>
      <w:r w:rsidRPr="002076C1">
        <w:rPr>
          <w:rFonts w:asciiTheme="majorHAnsi" w:hAnsiTheme="majorHAnsi"/>
          <w:sz w:val="18"/>
          <w:szCs w:val="18"/>
        </w:rPr>
        <w:t xml:space="preserve"> State, Nigeria.</w:t>
      </w:r>
    </w:p>
    <w:p w:rsidR="002076C1" w:rsidRPr="002076C1" w:rsidRDefault="002076C1" w:rsidP="002076C1">
      <w:pPr>
        <w:tabs>
          <w:tab w:val="left" w:pos="810"/>
          <w:tab w:val="right" w:pos="10080"/>
        </w:tabs>
        <w:spacing w:after="0" w:line="360" w:lineRule="auto"/>
        <w:ind w:right="-270"/>
        <w:jc w:val="both"/>
        <w:rPr>
          <w:rFonts w:asciiTheme="majorHAnsi" w:hAnsiTheme="majorHAnsi"/>
          <w:sz w:val="18"/>
          <w:szCs w:val="18"/>
        </w:rPr>
      </w:pPr>
      <w:r>
        <w:rPr>
          <w:rFonts w:asciiTheme="majorHAnsi" w:hAnsiTheme="majorHAnsi"/>
          <w:sz w:val="18"/>
          <w:szCs w:val="18"/>
        </w:rPr>
        <w:t>Corresponding author*</w:t>
      </w:r>
    </w:p>
    <w:p w:rsidR="002076C1" w:rsidRDefault="002076C1" w:rsidP="002076C1">
      <w:pPr>
        <w:tabs>
          <w:tab w:val="left" w:pos="810"/>
          <w:tab w:val="right" w:pos="10080"/>
        </w:tabs>
        <w:spacing w:after="0" w:line="360" w:lineRule="auto"/>
        <w:ind w:right="-270"/>
        <w:jc w:val="both"/>
        <w:rPr>
          <w:rFonts w:ascii="Times New Roman" w:hAnsi="Times New Roman" w:cs="Times New Roman"/>
          <w:b/>
          <w:sz w:val="20"/>
          <w:szCs w:val="20"/>
        </w:rPr>
      </w:pPr>
    </w:p>
    <w:p w:rsidR="00EB6374" w:rsidRPr="002076C1" w:rsidRDefault="00521A32" w:rsidP="002076C1">
      <w:pPr>
        <w:tabs>
          <w:tab w:val="left" w:pos="810"/>
          <w:tab w:val="right" w:pos="10080"/>
        </w:tabs>
        <w:spacing w:after="0" w:line="360" w:lineRule="auto"/>
        <w:ind w:right="-270"/>
        <w:jc w:val="both"/>
        <w:rPr>
          <w:rFonts w:ascii="Times New Roman" w:hAnsi="Times New Roman" w:cs="Times New Roman"/>
          <w:b/>
          <w:sz w:val="20"/>
          <w:szCs w:val="20"/>
        </w:rPr>
      </w:pPr>
      <w:r w:rsidRPr="002076C1">
        <w:rPr>
          <w:rFonts w:ascii="Times New Roman" w:hAnsi="Times New Roman" w:cs="Times New Roman"/>
          <w:b/>
          <w:sz w:val="20"/>
          <w:szCs w:val="20"/>
        </w:rPr>
        <w:t>Abstracts</w:t>
      </w:r>
      <w:r>
        <w:rPr>
          <w:rFonts w:ascii="Times New Roman" w:hAnsi="Times New Roman" w:cs="Times New Roman"/>
          <w:b/>
          <w:sz w:val="20"/>
          <w:szCs w:val="20"/>
        </w:rPr>
        <w:t xml:space="preserve">: </w:t>
      </w:r>
    </w:p>
    <w:p w:rsidR="00EB6374" w:rsidRPr="002076C1" w:rsidRDefault="00521A32" w:rsidP="002076C1">
      <w:pPr>
        <w:tabs>
          <w:tab w:val="left" w:pos="810"/>
        </w:tabs>
        <w:spacing w:after="0" w:line="360" w:lineRule="auto"/>
        <w:jc w:val="both"/>
        <w:rPr>
          <w:rFonts w:ascii="Times New Roman" w:hAnsi="Times New Roman" w:cs="Times New Roman"/>
          <w:b/>
          <w:sz w:val="18"/>
          <w:szCs w:val="18"/>
        </w:rPr>
      </w:pPr>
      <w:r>
        <w:rPr>
          <w:rFonts w:ascii="Times New Roman" w:hAnsi="Times New Roman" w:cs="Times New Roman"/>
          <w:b/>
          <w:sz w:val="18"/>
          <w:szCs w:val="18"/>
        </w:rPr>
        <w:t xml:space="preserve">Objectives: </w:t>
      </w:r>
      <w:r w:rsidR="00385FF0" w:rsidRPr="002076C1">
        <w:rPr>
          <w:rFonts w:ascii="Times New Roman" w:hAnsi="Times New Roman" w:cs="Times New Roman"/>
          <w:sz w:val="18"/>
          <w:szCs w:val="18"/>
        </w:rPr>
        <w:t>T</w:t>
      </w:r>
      <w:r w:rsidR="00EB6374" w:rsidRPr="002076C1">
        <w:rPr>
          <w:rFonts w:ascii="Times New Roman" w:hAnsi="Times New Roman" w:cs="Times New Roman"/>
          <w:sz w:val="18"/>
          <w:szCs w:val="18"/>
        </w:rPr>
        <w:t xml:space="preserve">he levels of cholesterol are affected by the educational status and gender difference of individuals in an environment. Therefore this study was designed to assess the lipid profile and gender difference among secondary school teachers in </w:t>
      </w:r>
      <w:proofErr w:type="spellStart"/>
      <w:r w:rsidR="00EB6374" w:rsidRPr="002076C1">
        <w:rPr>
          <w:rFonts w:ascii="Times New Roman" w:hAnsi="Times New Roman" w:cs="Times New Roman"/>
          <w:sz w:val="18"/>
          <w:szCs w:val="18"/>
        </w:rPr>
        <w:t>Sagamu</w:t>
      </w:r>
      <w:proofErr w:type="spellEnd"/>
      <w:r w:rsidR="00EB6374" w:rsidRPr="002076C1">
        <w:rPr>
          <w:rFonts w:ascii="Times New Roman" w:hAnsi="Times New Roman" w:cs="Times New Roman"/>
          <w:sz w:val="18"/>
          <w:szCs w:val="18"/>
        </w:rPr>
        <w:t>.</w:t>
      </w:r>
    </w:p>
    <w:p w:rsidR="00EB6374" w:rsidRPr="002076C1" w:rsidRDefault="00EB6374" w:rsidP="002076C1">
      <w:pPr>
        <w:spacing w:after="0" w:line="360" w:lineRule="auto"/>
        <w:jc w:val="both"/>
        <w:rPr>
          <w:rFonts w:ascii="Times New Roman" w:hAnsi="Times New Roman" w:cs="Times New Roman"/>
          <w:sz w:val="18"/>
          <w:szCs w:val="18"/>
        </w:rPr>
      </w:pPr>
      <w:r w:rsidRPr="002076C1">
        <w:rPr>
          <w:rFonts w:ascii="Times New Roman" w:hAnsi="Times New Roman" w:cs="Times New Roman"/>
          <w:b/>
          <w:spacing w:val="4"/>
          <w:kern w:val="16"/>
          <w:position w:val="4"/>
          <w:sz w:val="18"/>
          <w:szCs w:val="18"/>
        </w:rPr>
        <w:t xml:space="preserve">Design: </w:t>
      </w:r>
      <w:r w:rsidRPr="002076C1">
        <w:rPr>
          <w:rFonts w:ascii="Times New Roman" w:hAnsi="Times New Roman" w:cs="Times New Roman"/>
          <w:spacing w:val="4"/>
          <w:kern w:val="16"/>
          <w:position w:val="4"/>
          <w:sz w:val="18"/>
          <w:szCs w:val="18"/>
        </w:rPr>
        <w:t>For</w:t>
      </w:r>
      <w:r w:rsidRPr="002076C1">
        <w:rPr>
          <w:rFonts w:ascii="Times New Roman" w:hAnsi="Times New Roman" w:cs="Times New Roman"/>
          <w:b/>
          <w:spacing w:val="4"/>
          <w:kern w:val="16"/>
          <w:position w:val="4"/>
          <w:sz w:val="18"/>
          <w:szCs w:val="18"/>
        </w:rPr>
        <w:t xml:space="preserve"> </w:t>
      </w:r>
      <w:r w:rsidRPr="002076C1">
        <w:rPr>
          <w:rFonts w:ascii="Times New Roman" w:hAnsi="Times New Roman" w:cs="Times New Roman"/>
          <w:spacing w:val="4"/>
          <w:kern w:val="16"/>
          <w:position w:val="4"/>
          <w:sz w:val="18"/>
          <w:szCs w:val="18"/>
        </w:rPr>
        <w:t xml:space="preserve">this study, secondary school teachers in </w:t>
      </w:r>
      <w:proofErr w:type="spellStart"/>
      <w:r w:rsidRPr="002076C1">
        <w:rPr>
          <w:rFonts w:ascii="Times New Roman" w:hAnsi="Times New Roman" w:cs="Times New Roman"/>
          <w:spacing w:val="4"/>
          <w:kern w:val="16"/>
          <w:position w:val="4"/>
          <w:sz w:val="18"/>
          <w:szCs w:val="18"/>
        </w:rPr>
        <w:t>Sagamu</w:t>
      </w:r>
      <w:proofErr w:type="spellEnd"/>
      <w:r w:rsidRPr="002076C1">
        <w:rPr>
          <w:rFonts w:ascii="Times New Roman" w:hAnsi="Times New Roman" w:cs="Times New Roman"/>
          <w:spacing w:val="4"/>
          <w:kern w:val="16"/>
          <w:position w:val="4"/>
          <w:sz w:val="18"/>
          <w:szCs w:val="18"/>
        </w:rPr>
        <w:t xml:space="preserve">, aged 20 to 60 years, were selected using convenience sampling method. </w:t>
      </w:r>
      <w:r w:rsidRPr="002076C1">
        <w:rPr>
          <w:rFonts w:ascii="Times New Roman" w:hAnsi="Times New Roman" w:cs="Times New Roman"/>
          <w:sz w:val="18"/>
          <w:szCs w:val="18"/>
        </w:rPr>
        <w:t xml:space="preserve">Students were exempted. The weight in kg and height in meters of each subjects were measured. </w:t>
      </w:r>
      <w:r w:rsidRPr="002076C1">
        <w:rPr>
          <w:rFonts w:ascii="Times New Roman" w:hAnsi="Times New Roman" w:cs="Times New Roman"/>
          <w:color w:val="000000" w:themeColor="text1"/>
          <w:sz w:val="18"/>
          <w:szCs w:val="18"/>
        </w:rPr>
        <w:t>Their</w:t>
      </w:r>
      <w:r w:rsidRPr="002076C1">
        <w:rPr>
          <w:rFonts w:ascii="Times New Roman" w:hAnsi="Times New Roman" w:cs="Times New Roman"/>
          <w:sz w:val="18"/>
          <w:szCs w:val="18"/>
        </w:rPr>
        <w:t xml:space="preserve"> body mass index (kg/m</w:t>
      </w:r>
      <w:r w:rsidRPr="002076C1">
        <w:rPr>
          <w:rFonts w:ascii="Times New Roman" w:hAnsi="Times New Roman" w:cs="Times New Roman"/>
          <w:sz w:val="18"/>
          <w:szCs w:val="18"/>
          <w:vertAlign w:val="superscript"/>
        </w:rPr>
        <w:t>2</w:t>
      </w:r>
      <w:r w:rsidRPr="002076C1">
        <w:rPr>
          <w:rFonts w:ascii="Times New Roman" w:hAnsi="Times New Roman" w:cs="Times New Roman"/>
          <w:sz w:val="18"/>
          <w:szCs w:val="18"/>
        </w:rPr>
        <w:t>) (B.M.I) was calculated.</w:t>
      </w:r>
      <w:r w:rsidRPr="002076C1">
        <w:rPr>
          <w:rFonts w:ascii="Times New Roman" w:hAnsi="Times New Roman" w:cs="Times New Roman"/>
          <w:color w:val="000000" w:themeColor="text1"/>
          <w:sz w:val="18"/>
          <w:szCs w:val="18"/>
        </w:rPr>
        <w:t xml:space="preserve"> Fasting</w:t>
      </w:r>
      <w:r w:rsidRPr="002076C1">
        <w:rPr>
          <w:rFonts w:ascii="Times New Roman" w:hAnsi="Times New Roman" w:cs="Times New Roman"/>
          <w:sz w:val="18"/>
          <w:szCs w:val="18"/>
        </w:rPr>
        <w:t xml:space="preserve"> lipid profile was also measured using Cholesterol kit. </w:t>
      </w:r>
      <w:r w:rsidRPr="002076C1">
        <w:rPr>
          <w:rFonts w:ascii="Times New Roman" w:hAnsi="Times New Roman" w:cs="Times New Roman"/>
          <w:spacing w:val="4"/>
          <w:kern w:val="16"/>
          <w:position w:val="4"/>
          <w:sz w:val="18"/>
          <w:szCs w:val="18"/>
        </w:rPr>
        <w:t>Data were analyzed using descriptive statistic</w:t>
      </w:r>
      <w:r w:rsidRPr="002076C1">
        <w:rPr>
          <w:rFonts w:ascii="Times New Roman" w:hAnsi="Times New Roman" w:cs="Times New Roman"/>
          <w:spacing w:val="4"/>
          <w:kern w:val="16"/>
          <w:position w:val="4"/>
          <w:sz w:val="18"/>
          <w:szCs w:val="18"/>
          <w:vertAlign w:val="subscript"/>
        </w:rPr>
        <w:t>.</w:t>
      </w:r>
    </w:p>
    <w:p w:rsidR="00EB6374" w:rsidRPr="002076C1" w:rsidRDefault="00EB6374" w:rsidP="002076C1">
      <w:pPr>
        <w:spacing w:after="0" w:line="360" w:lineRule="auto"/>
        <w:jc w:val="both"/>
        <w:rPr>
          <w:rFonts w:ascii="Times New Roman" w:hAnsi="Times New Roman" w:cs="Times New Roman"/>
          <w:sz w:val="18"/>
          <w:szCs w:val="18"/>
        </w:rPr>
      </w:pPr>
      <w:r w:rsidRPr="002076C1">
        <w:rPr>
          <w:rFonts w:ascii="Times New Roman" w:hAnsi="Times New Roman" w:cs="Times New Roman"/>
          <w:b/>
          <w:spacing w:val="4"/>
          <w:kern w:val="16"/>
          <w:position w:val="4"/>
          <w:sz w:val="18"/>
          <w:szCs w:val="18"/>
        </w:rPr>
        <w:t>Results:</w:t>
      </w:r>
      <w:r w:rsidRPr="002076C1">
        <w:rPr>
          <w:rFonts w:ascii="Times New Roman" w:hAnsi="Times New Roman" w:cs="Times New Roman"/>
          <w:spacing w:val="4"/>
          <w:kern w:val="16"/>
          <w:position w:val="4"/>
          <w:sz w:val="18"/>
          <w:szCs w:val="18"/>
        </w:rPr>
        <w:t xml:space="preserve"> The total number of subjects was 130.</w:t>
      </w:r>
      <w:r w:rsidRPr="002076C1">
        <w:rPr>
          <w:rFonts w:ascii="Times New Roman" w:hAnsi="Times New Roman" w:cs="Times New Roman"/>
          <w:sz w:val="18"/>
          <w:szCs w:val="18"/>
        </w:rPr>
        <w:t>The subjects with age between 30 and 39 years constitute the highest group 62(47.7%). There were 33(50.8%) males and 29(40.0%) females in this age group. The average total cholesterol was 256.21mg/dl± 14.37 in female teachers and 209.45±15.70 in male teachers (p&lt;0.05). The HDL ratio was 4.02±0.30 in male and 3.84± 0.25 in female teachers.</w:t>
      </w:r>
    </w:p>
    <w:p w:rsidR="00EB6374" w:rsidRPr="002076C1" w:rsidRDefault="00EB6374" w:rsidP="002076C1">
      <w:pPr>
        <w:tabs>
          <w:tab w:val="left" w:pos="810"/>
        </w:tabs>
        <w:spacing w:after="0" w:line="360" w:lineRule="auto"/>
        <w:jc w:val="both"/>
        <w:rPr>
          <w:rFonts w:ascii="Times New Roman" w:hAnsi="Times New Roman" w:cs="Times New Roman"/>
          <w:sz w:val="18"/>
          <w:szCs w:val="18"/>
        </w:rPr>
      </w:pPr>
      <w:r w:rsidRPr="002076C1">
        <w:rPr>
          <w:rFonts w:ascii="Times New Roman" w:hAnsi="Times New Roman" w:cs="Times New Roman"/>
          <w:b/>
          <w:spacing w:val="4"/>
          <w:kern w:val="16"/>
          <w:position w:val="4"/>
          <w:sz w:val="18"/>
          <w:szCs w:val="18"/>
        </w:rPr>
        <w:t>Conclusions:</w:t>
      </w:r>
      <w:r w:rsidRPr="002076C1">
        <w:rPr>
          <w:rFonts w:ascii="Times New Roman" w:hAnsi="Times New Roman" w:cs="Times New Roman"/>
          <w:spacing w:val="4"/>
          <w:kern w:val="16"/>
          <w:position w:val="4"/>
          <w:sz w:val="18"/>
          <w:szCs w:val="18"/>
        </w:rPr>
        <w:t xml:space="preserve"> The lipid profile of teachers and their gender difference obtained from this study can be used as baseline for future study.</w:t>
      </w:r>
    </w:p>
    <w:p w:rsidR="00EB6374" w:rsidRPr="002076C1" w:rsidRDefault="00EB6374" w:rsidP="002076C1">
      <w:pPr>
        <w:tabs>
          <w:tab w:val="left" w:pos="810"/>
        </w:tabs>
        <w:spacing w:after="0" w:line="360" w:lineRule="auto"/>
        <w:jc w:val="both"/>
        <w:rPr>
          <w:rFonts w:ascii="Times New Roman" w:hAnsi="Times New Roman" w:cs="Times New Roman"/>
          <w:b/>
          <w:sz w:val="18"/>
          <w:szCs w:val="18"/>
        </w:rPr>
      </w:pPr>
      <w:r w:rsidRPr="002076C1">
        <w:rPr>
          <w:rFonts w:ascii="Times New Roman" w:hAnsi="Times New Roman" w:cs="Times New Roman"/>
          <w:b/>
          <w:sz w:val="18"/>
          <w:szCs w:val="18"/>
        </w:rPr>
        <w:t>Key words:</w:t>
      </w:r>
      <w:r w:rsidRPr="002076C1">
        <w:rPr>
          <w:rFonts w:ascii="Times New Roman" w:hAnsi="Times New Roman" w:cs="Times New Roman"/>
          <w:sz w:val="18"/>
          <w:szCs w:val="18"/>
        </w:rPr>
        <w:t xml:space="preserve"> BMI, Weight, LDL, HDL</w:t>
      </w:r>
      <w:r w:rsidRPr="002076C1">
        <w:rPr>
          <w:rFonts w:ascii="Times New Roman" w:hAnsi="Times New Roman" w:cs="Times New Roman"/>
          <w:b/>
          <w:sz w:val="18"/>
          <w:szCs w:val="18"/>
        </w:rPr>
        <w:t xml:space="preserve"> </w:t>
      </w:r>
    </w:p>
    <w:p w:rsidR="007C3D1A" w:rsidRPr="002076C1" w:rsidRDefault="007C3D1A" w:rsidP="002076C1">
      <w:pPr>
        <w:pStyle w:val="NormalWeb"/>
        <w:shd w:val="clear" w:color="auto" w:fill="FFFFFF"/>
        <w:spacing w:before="0" w:beforeAutospacing="0" w:after="0" w:afterAutospacing="0" w:line="360" w:lineRule="auto"/>
        <w:jc w:val="both"/>
        <w:rPr>
          <w:b/>
          <w:color w:val="1C1D1E"/>
          <w:sz w:val="20"/>
          <w:szCs w:val="20"/>
        </w:rPr>
      </w:pPr>
    </w:p>
    <w:p w:rsidR="00EB6374" w:rsidRPr="002076C1" w:rsidRDefault="00EB6374" w:rsidP="002076C1">
      <w:pPr>
        <w:pStyle w:val="NormalWeb"/>
        <w:shd w:val="clear" w:color="auto" w:fill="FFFFFF"/>
        <w:spacing w:before="0" w:beforeAutospacing="0" w:after="0" w:afterAutospacing="0" w:line="360" w:lineRule="auto"/>
        <w:jc w:val="both"/>
        <w:rPr>
          <w:b/>
          <w:color w:val="1C1D1E"/>
          <w:sz w:val="20"/>
          <w:szCs w:val="20"/>
        </w:rPr>
      </w:pPr>
      <w:r w:rsidRPr="002076C1">
        <w:rPr>
          <w:b/>
          <w:color w:val="1C1D1E"/>
          <w:sz w:val="20"/>
          <w:szCs w:val="20"/>
        </w:rPr>
        <w:t>Introduction</w:t>
      </w:r>
    </w:p>
    <w:p w:rsidR="00EB6374" w:rsidRPr="002076C1" w:rsidRDefault="00EB6374" w:rsidP="002076C1">
      <w:pPr>
        <w:pStyle w:val="NormalWeb"/>
        <w:shd w:val="clear" w:color="auto" w:fill="FFFFFF"/>
        <w:spacing w:before="0" w:beforeAutospacing="0" w:after="0" w:afterAutospacing="0" w:line="360" w:lineRule="auto"/>
        <w:jc w:val="both"/>
        <w:rPr>
          <w:color w:val="1C1D1E"/>
          <w:sz w:val="20"/>
          <w:szCs w:val="20"/>
        </w:rPr>
      </w:pPr>
      <w:r w:rsidRPr="002076C1">
        <w:rPr>
          <w:color w:val="1C1D1E"/>
          <w:sz w:val="20"/>
          <w:szCs w:val="20"/>
        </w:rPr>
        <w:t xml:space="preserve">Low‐density lipoprotein cholesterol (LDL‐cholesterol) is one of the major </w:t>
      </w:r>
      <w:proofErr w:type="spellStart"/>
      <w:r w:rsidRPr="002076C1">
        <w:rPr>
          <w:color w:val="1C1D1E"/>
          <w:sz w:val="20"/>
          <w:szCs w:val="20"/>
        </w:rPr>
        <w:t>atherogenic</w:t>
      </w:r>
      <w:proofErr w:type="spellEnd"/>
      <w:r w:rsidRPr="002076C1">
        <w:rPr>
          <w:color w:val="1C1D1E"/>
          <w:sz w:val="20"/>
          <w:szCs w:val="20"/>
        </w:rPr>
        <w:t xml:space="preserve"> lipoproteins and has been identified by the National Cholesterol Educational Program (NCEP) Expert Panel as a primary target for prevention of coronary heart disease </w:t>
      </w:r>
      <w:r w:rsidRPr="002076C1">
        <w:rPr>
          <w:b/>
          <w:bCs/>
          <w:sz w:val="20"/>
          <w:szCs w:val="20"/>
          <w:vertAlign w:val="superscript"/>
        </w:rPr>
        <w:t>1</w:t>
      </w:r>
      <w:proofErr w:type="gramStart"/>
      <w:r w:rsidRPr="002076C1">
        <w:rPr>
          <w:b/>
          <w:bCs/>
          <w:sz w:val="20"/>
          <w:szCs w:val="20"/>
          <w:vertAlign w:val="superscript"/>
        </w:rPr>
        <w:t>,2</w:t>
      </w:r>
      <w:proofErr w:type="gramEnd"/>
      <w:r w:rsidRPr="002076C1">
        <w:rPr>
          <w:b/>
          <w:bCs/>
          <w:sz w:val="20"/>
          <w:szCs w:val="20"/>
        </w:rPr>
        <w:t xml:space="preserve"> </w:t>
      </w:r>
      <w:r w:rsidRPr="002076C1">
        <w:rPr>
          <w:color w:val="1C1D1E"/>
          <w:sz w:val="20"/>
          <w:szCs w:val="20"/>
        </w:rPr>
        <w:t>.</w:t>
      </w:r>
    </w:p>
    <w:p w:rsidR="00EB6374" w:rsidRPr="002076C1" w:rsidRDefault="00EB6374" w:rsidP="002076C1">
      <w:pPr>
        <w:pStyle w:val="NormalWeb"/>
        <w:shd w:val="clear" w:color="auto" w:fill="FFFFFF"/>
        <w:spacing w:before="0" w:beforeAutospacing="0" w:after="0" w:afterAutospacing="0" w:line="360" w:lineRule="auto"/>
        <w:jc w:val="both"/>
        <w:rPr>
          <w:color w:val="1C1D1E"/>
          <w:sz w:val="20"/>
          <w:szCs w:val="20"/>
        </w:rPr>
      </w:pPr>
      <w:r w:rsidRPr="002076C1">
        <w:rPr>
          <w:color w:val="1C1D1E"/>
          <w:sz w:val="20"/>
          <w:szCs w:val="20"/>
        </w:rPr>
        <w:t xml:space="preserve">Previous studies </w:t>
      </w:r>
      <w:r w:rsidR="00E279A4" w:rsidRPr="002076C1">
        <w:rPr>
          <w:color w:val="1C1D1E"/>
          <w:sz w:val="20"/>
          <w:szCs w:val="20"/>
        </w:rPr>
        <w:t>(</w:t>
      </w:r>
      <w:proofErr w:type="spellStart"/>
      <w:r w:rsidRPr="002076C1">
        <w:rPr>
          <w:bCs/>
          <w:sz w:val="20"/>
          <w:szCs w:val="20"/>
        </w:rPr>
        <w:t>Lui</w:t>
      </w:r>
      <w:proofErr w:type="spellEnd"/>
      <w:r w:rsidRPr="002076C1">
        <w:rPr>
          <w:bCs/>
          <w:sz w:val="20"/>
          <w:szCs w:val="20"/>
        </w:rPr>
        <w:t xml:space="preserve"> et al, 2006</w:t>
      </w:r>
      <w:r w:rsidRPr="002076C1">
        <w:rPr>
          <w:bCs/>
          <w:sz w:val="20"/>
          <w:szCs w:val="20"/>
          <w:vertAlign w:val="superscript"/>
        </w:rPr>
        <w:t>3</w:t>
      </w:r>
      <w:r w:rsidRPr="002076C1">
        <w:rPr>
          <w:bCs/>
          <w:sz w:val="20"/>
          <w:szCs w:val="20"/>
        </w:rPr>
        <w:t>, Everett et al, 2006</w:t>
      </w:r>
      <w:r w:rsidRPr="002076C1">
        <w:rPr>
          <w:b/>
          <w:bCs/>
          <w:sz w:val="20"/>
          <w:szCs w:val="20"/>
          <w:vertAlign w:val="superscript"/>
        </w:rPr>
        <w:t>4</w:t>
      </w:r>
      <w:r w:rsidR="00E279A4" w:rsidRPr="002076C1">
        <w:rPr>
          <w:color w:val="1C1D1E"/>
          <w:sz w:val="20"/>
          <w:szCs w:val="20"/>
        </w:rPr>
        <w:t>)</w:t>
      </w:r>
      <w:r w:rsidRPr="002076C1">
        <w:rPr>
          <w:b/>
          <w:color w:val="1C1D1E"/>
          <w:sz w:val="20"/>
          <w:szCs w:val="20"/>
        </w:rPr>
        <w:t xml:space="preserve"> </w:t>
      </w:r>
      <w:r w:rsidRPr="002076C1">
        <w:rPr>
          <w:color w:val="1C1D1E"/>
          <w:sz w:val="20"/>
          <w:szCs w:val="20"/>
        </w:rPr>
        <w:t>showed that high concentrations of LDL‐cholesterol were associated with increased risk of coronary heart disease mainly for obese populations with higher concentrations of LDL‐cholesterol, whereas little evidence is available for less obese populations with lower concentrations of LDL‐cholesterol. It therefore remains unclear whether a similar association as for obese populations is also observed at lower ranges of LDL‐cholesterol levels.</w:t>
      </w:r>
    </w:p>
    <w:p w:rsidR="00EB6374" w:rsidRPr="002076C1" w:rsidRDefault="00EB6374" w:rsidP="002076C1">
      <w:pPr>
        <w:pStyle w:val="NormalWeb"/>
        <w:shd w:val="clear" w:color="auto" w:fill="FFFFFF"/>
        <w:spacing w:before="0" w:beforeAutospacing="0" w:after="0" w:afterAutospacing="0" w:line="360" w:lineRule="auto"/>
        <w:jc w:val="both"/>
        <w:rPr>
          <w:color w:val="1C1D1E"/>
          <w:sz w:val="20"/>
          <w:szCs w:val="20"/>
        </w:rPr>
      </w:pPr>
      <w:r w:rsidRPr="002076C1">
        <w:rPr>
          <w:color w:val="1C1D1E"/>
          <w:sz w:val="20"/>
          <w:szCs w:val="20"/>
        </w:rPr>
        <w:t xml:space="preserve">As the metabolism of obese populations is affected by different environmental factors than those affecting less obese population, it is of major importance to examine the effect of LDL‐cholesterol on the risk of coronary heart disease for populations with its lower ranges. First, it is difficult to examine the threshold values in the lower ranges of </w:t>
      </w:r>
      <w:r w:rsidRPr="002076C1">
        <w:rPr>
          <w:color w:val="1C1D1E"/>
          <w:sz w:val="20"/>
          <w:szCs w:val="20"/>
        </w:rPr>
        <w:lastRenderedPageBreak/>
        <w:t xml:space="preserve">LDL‐cholesterol amongst obese populations, because of their higher concentrations of LDL‐cholesterol. Seven countries study confirmed the positive association between total cholesterol and mortality from coronary heart disease for high cholesterol populations, including Americans, but not for Japanese, who had the lowest population mean levels of total cholesterol </w:t>
      </w:r>
      <w:proofErr w:type="gramStart"/>
      <w:r w:rsidRPr="002076C1">
        <w:rPr>
          <w:color w:val="1C1D1E"/>
          <w:sz w:val="20"/>
          <w:szCs w:val="20"/>
        </w:rPr>
        <w:t>levels</w:t>
      </w:r>
      <w:r w:rsidRPr="002076C1">
        <w:rPr>
          <w:b/>
          <w:color w:val="1C1D1E"/>
          <w:sz w:val="20"/>
          <w:szCs w:val="20"/>
          <w:vertAlign w:val="superscript"/>
        </w:rPr>
        <w:t>5</w:t>
      </w:r>
      <w:r w:rsidRPr="002076C1">
        <w:rPr>
          <w:color w:val="1C1D1E"/>
          <w:sz w:val="20"/>
          <w:szCs w:val="20"/>
        </w:rPr>
        <w:t xml:space="preserve"> .</w:t>
      </w:r>
      <w:proofErr w:type="gramEnd"/>
      <w:r w:rsidRPr="002076C1">
        <w:rPr>
          <w:color w:val="1C1D1E"/>
          <w:sz w:val="20"/>
          <w:szCs w:val="20"/>
        </w:rPr>
        <w:t xml:space="preserve">  Previous studies</w:t>
      </w:r>
      <w:r w:rsidRPr="002076C1">
        <w:rPr>
          <w:b/>
          <w:color w:val="1C1D1E"/>
          <w:sz w:val="20"/>
          <w:szCs w:val="20"/>
        </w:rPr>
        <w:t xml:space="preserve"> </w:t>
      </w:r>
      <w:r w:rsidR="00E279A4" w:rsidRPr="002076C1">
        <w:rPr>
          <w:color w:val="1C1D1E"/>
          <w:sz w:val="20"/>
          <w:szCs w:val="20"/>
        </w:rPr>
        <w:t>(</w:t>
      </w:r>
      <w:proofErr w:type="spellStart"/>
      <w:r w:rsidRPr="002076C1">
        <w:rPr>
          <w:bCs/>
          <w:sz w:val="20"/>
          <w:szCs w:val="20"/>
        </w:rPr>
        <w:t>Lui</w:t>
      </w:r>
      <w:proofErr w:type="spellEnd"/>
      <w:r w:rsidRPr="002076C1">
        <w:rPr>
          <w:bCs/>
          <w:sz w:val="20"/>
          <w:szCs w:val="20"/>
        </w:rPr>
        <w:t xml:space="preserve"> et al,</w:t>
      </w:r>
      <w:r w:rsidR="00114BB0" w:rsidRPr="002076C1">
        <w:rPr>
          <w:bCs/>
          <w:sz w:val="20"/>
          <w:szCs w:val="20"/>
        </w:rPr>
        <w:t xml:space="preserve"> </w:t>
      </w:r>
      <w:r w:rsidRPr="002076C1">
        <w:rPr>
          <w:bCs/>
          <w:sz w:val="20"/>
          <w:szCs w:val="20"/>
        </w:rPr>
        <w:t>2006</w:t>
      </w:r>
      <w:r w:rsidRPr="002076C1">
        <w:rPr>
          <w:b/>
          <w:bCs/>
          <w:sz w:val="20"/>
          <w:szCs w:val="20"/>
          <w:vertAlign w:val="superscript"/>
        </w:rPr>
        <w:t>3</w:t>
      </w:r>
      <w:r w:rsidRPr="002076C1">
        <w:rPr>
          <w:bCs/>
          <w:sz w:val="20"/>
          <w:szCs w:val="20"/>
        </w:rPr>
        <w:t>, Everett et al, 2006</w:t>
      </w:r>
      <w:r w:rsidRPr="002076C1">
        <w:rPr>
          <w:b/>
          <w:bCs/>
          <w:sz w:val="20"/>
          <w:szCs w:val="20"/>
          <w:vertAlign w:val="superscript"/>
        </w:rPr>
        <w:t>4</w:t>
      </w:r>
      <w:r w:rsidR="00E279A4" w:rsidRPr="002076C1">
        <w:rPr>
          <w:color w:val="1C1D1E"/>
          <w:sz w:val="20"/>
          <w:szCs w:val="20"/>
        </w:rPr>
        <w:t>)</w:t>
      </w:r>
      <w:r w:rsidRPr="002076C1">
        <w:rPr>
          <w:color w:val="1C1D1E"/>
          <w:sz w:val="20"/>
          <w:szCs w:val="20"/>
        </w:rPr>
        <w:t xml:space="preserve"> of participants with a higher mean level of LDL‐cholesterol could not examine the effect of LDL‐cholesterol amongst individuals in the lower LDL‐cholesterol ranges. Thus, the report of Adults Treatment Panel III (ATP III) could not make any recommendations for further reduction of LDL‐cholesterol for populations with low mean LDL‐cholesterol levels</w:t>
      </w:r>
      <w:r w:rsidRPr="002076C1">
        <w:rPr>
          <w:b/>
          <w:color w:val="1C1D1E"/>
          <w:sz w:val="20"/>
          <w:szCs w:val="20"/>
          <w:vertAlign w:val="superscript"/>
        </w:rPr>
        <w:t>2</w:t>
      </w:r>
    </w:p>
    <w:p w:rsidR="00EB6374" w:rsidRPr="002076C1" w:rsidRDefault="00EB6374" w:rsidP="002076C1">
      <w:pPr>
        <w:pStyle w:val="NormalWeb"/>
        <w:shd w:val="clear" w:color="auto" w:fill="FFFFFF"/>
        <w:spacing w:before="0" w:beforeAutospacing="0" w:after="0" w:afterAutospacing="0" w:line="360" w:lineRule="auto"/>
        <w:jc w:val="both"/>
        <w:rPr>
          <w:color w:val="1C1D1E"/>
          <w:sz w:val="20"/>
          <w:szCs w:val="20"/>
        </w:rPr>
      </w:pPr>
      <w:r w:rsidRPr="002076C1">
        <w:rPr>
          <w:color w:val="1C1D1E"/>
          <w:sz w:val="20"/>
          <w:szCs w:val="20"/>
        </w:rPr>
        <w:t>Women in westernized countries have a much lower incidence of coronary heart than do men</w:t>
      </w:r>
      <w:r w:rsidRPr="002076C1">
        <w:rPr>
          <w:b/>
          <w:color w:val="1C1D1E"/>
          <w:sz w:val="20"/>
          <w:szCs w:val="20"/>
          <w:vertAlign w:val="superscript"/>
        </w:rPr>
        <w:t>6</w:t>
      </w:r>
      <w:r w:rsidRPr="002076C1">
        <w:rPr>
          <w:color w:val="1C1D1E"/>
          <w:sz w:val="20"/>
          <w:szCs w:val="20"/>
        </w:rPr>
        <w:t xml:space="preserve">. Determinants of </w:t>
      </w:r>
      <w:r w:rsidR="00233BA2" w:rsidRPr="002076C1">
        <w:rPr>
          <w:color w:val="1C1D1E"/>
          <w:sz w:val="20"/>
          <w:szCs w:val="20"/>
        </w:rPr>
        <w:t>these sex differentials</w:t>
      </w:r>
      <w:r w:rsidRPr="002076C1">
        <w:rPr>
          <w:color w:val="1C1D1E"/>
          <w:sz w:val="20"/>
          <w:szCs w:val="20"/>
        </w:rPr>
        <w:t xml:space="preserve"> have been receiving increased attention</w:t>
      </w:r>
      <w:r w:rsidRPr="002076C1">
        <w:rPr>
          <w:b/>
          <w:color w:val="1C1D1E"/>
          <w:sz w:val="20"/>
          <w:szCs w:val="20"/>
          <w:vertAlign w:val="superscript"/>
        </w:rPr>
        <w:t>7</w:t>
      </w:r>
      <w:r w:rsidRPr="002076C1">
        <w:rPr>
          <w:color w:val="1C1D1E"/>
          <w:sz w:val="20"/>
          <w:szCs w:val="20"/>
        </w:rPr>
        <w:t xml:space="preserve"> and evidence suggests that it might be, in part, because of male/ female differences in the levels of lipids and lipoproteins. Although the standard risk factors for coronary heart disease (CHD) are at least as important among women</w:t>
      </w:r>
      <w:r w:rsidRPr="002076C1">
        <w:rPr>
          <w:b/>
          <w:color w:val="1C1D1E"/>
          <w:sz w:val="20"/>
          <w:szCs w:val="20"/>
          <w:vertAlign w:val="superscript"/>
        </w:rPr>
        <w:t>7</w:t>
      </w:r>
      <w:r w:rsidRPr="002076C1">
        <w:rPr>
          <w:color w:val="1C1D1E"/>
          <w:sz w:val="20"/>
          <w:szCs w:val="20"/>
        </w:rPr>
        <w:t>. Although obesity is an important determinant of lipoprotein levels, the distribution of body fat is also critical</w:t>
      </w:r>
      <w:r w:rsidRPr="002076C1">
        <w:rPr>
          <w:b/>
          <w:color w:val="1C1D1E"/>
          <w:sz w:val="20"/>
          <w:szCs w:val="20"/>
          <w:vertAlign w:val="superscript"/>
        </w:rPr>
        <w:t>6</w:t>
      </w:r>
      <w:r w:rsidRPr="002076C1">
        <w:rPr>
          <w:color w:val="1C1D1E"/>
          <w:sz w:val="20"/>
          <w:szCs w:val="20"/>
        </w:rPr>
        <w:t>.</w:t>
      </w:r>
    </w:p>
    <w:p w:rsidR="00EB6374" w:rsidRPr="002076C1" w:rsidRDefault="00EB6374" w:rsidP="00521A32">
      <w:pPr>
        <w:pStyle w:val="NormalWeb"/>
        <w:shd w:val="clear" w:color="auto" w:fill="FFFFFF"/>
        <w:spacing w:before="0" w:beforeAutospacing="0" w:after="0" w:afterAutospacing="0" w:line="360" w:lineRule="auto"/>
        <w:jc w:val="both"/>
        <w:rPr>
          <w:color w:val="1C1D1E"/>
          <w:sz w:val="20"/>
          <w:szCs w:val="20"/>
        </w:rPr>
      </w:pPr>
      <w:r w:rsidRPr="002076C1">
        <w:rPr>
          <w:color w:val="1C1D1E"/>
          <w:sz w:val="20"/>
          <w:szCs w:val="20"/>
        </w:rPr>
        <w:t xml:space="preserve">There is paucity of knowledge on the level cholesterol with relationship </w:t>
      </w:r>
      <w:r w:rsidRPr="002076C1">
        <w:rPr>
          <w:sz w:val="20"/>
          <w:szCs w:val="20"/>
        </w:rPr>
        <w:t>to gender</w:t>
      </w:r>
      <w:r w:rsidRPr="002076C1">
        <w:rPr>
          <w:color w:val="1C1D1E"/>
          <w:sz w:val="20"/>
          <w:szCs w:val="20"/>
        </w:rPr>
        <w:t xml:space="preserve"> difference in this environment. </w:t>
      </w:r>
      <w:r w:rsidRPr="002076C1">
        <w:rPr>
          <w:sz w:val="20"/>
          <w:szCs w:val="20"/>
        </w:rPr>
        <w:t>Many previous</w:t>
      </w:r>
      <w:r w:rsidRPr="002076C1">
        <w:rPr>
          <w:color w:val="1C1D1E"/>
          <w:sz w:val="20"/>
          <w:szCs w:val="20"/>
        </w:rPr>
        <w:t xml:space="preserve"> studies obtained from literature search are from </w:t>
      </w:r>
      <w:r w:rsidRPr="002076C1">
        <w:rPr>
          <w:sz w:val="20"/>
          <w:szCs w:val="20"/>
        </w:rPr>
        <w:t>the Western</w:t>
      </w:r>
      <w:r w:rsidRPr="002076C1">
        <w:rPr>
          <w:color w:val="1C1D1E"/>
          <w:sz w:val="20"/>
          <w:szCs w:val="20"/>
        </w:rPr>
        <w:t xml:space="preserve"> world and none were from this region. Our eating habits and culture differ</w:t>
      </w:r>
      <w:r w:rsidRPr="002076C1">
        <w:rPr>
          <w:sz w:val="20"/>
          <w:szCs w:val="20"/>
        </w:rPr>
        <w:t>, coupled with</w:t>
      </w:r>
      <w:r w:rsidRPr="002076C1">
        <w:rPr>
          <w:color w:val="1C1D1E"/>
          <w:sz w:val="20"/>
          <w:szCs w:val="20"/>
        </w:rPr>
        <w:t xml:space="preserve"> the variant degree of obesity we </w:t>
      </w:r>
      <w:r w:rsidRPr="002076C1">
        <w:rPr>
          <w:sz w:val="20"/>
          <w:szCs w:val="20"/>
        </w:rPr>
        <w:t>observe</w:t>
      </w:r>
      <w:r w:rsidRPr="002076C1">
        <w:rPr>
          <w:color w:val="1C1D1E"/>
          <w:sz w:val="20"/>
          <w:szCs w:val="20"/>
        </w:rPr>
        <w:t xml:space="preserve"> in </w:t>
      </w:r>
      <w:proofErr w:type="spellStart"/>
      <w:r w:rsidRPr="002076C1">
        <w:rPr>
          <w:color w:val="1C1D1E"/>
          <w:sz w:val="20"/>
          <w:szCs w:val="20"/>
        </w:rPr>
        <w:t>Sagamu</w:t>
      </w:r>
      <w:proofErr w:type="spellEnd"/>
      <w:r w:rsidRPr="002076C1">
        <w:rPr>
          <w:color w:val="1C1D1E"/>
          <w:sz w:val="20"/>
          <w:szCs w:val="20"/>
        </w:rPr>
        <w:t xml:space="preserve">. </w:t>
      </w:r>
    </w:p>
    <w:p w:rsidR="00EB6374" w:rsidRPr="002076C1" w:rsidRDefault="00EB6374" w:rsidP="00521A32">
      <w:pPr>
        <w:pStyle w:val="NormalWeb"/>
        <w:shd w:val="clear" w:color="auto" w:fill="FFFFFF"/>
        <w:spacing w:before="0" w:beforeAutospacing="0" w:after="0" w:afterAutospacing="0" w:line="360" w:lineRule="auto"/>
        <w:jc w:val="both"/>
        <w:rPr>
          <w:color w:val="1C1D1E"/>
          <w:sz w:val="20"/>
          <w:szCs w:val="20"/>
        </w:rPr>
      </w:pPr>
      <w:r w:rsidRPr="002076C1">
        <w:rPr>
          <w:color w:val="1C1D1E"/>
          <w:sz w:val="20"/>
          <w:szCs w:val="20"/>
        </w:rPr>
        <w:t xml:space="preserve"> The aim of this study is to </w:t>
      </w:r>
      <w:r w:rsidRPr="002076C1">
        <w:rPr>
          <w:sz w:val="20"/>
          <w:szCs w:val="20"/>
        </w:rPr>
        <w:t>determine</w:t>
      </w:r>
      <w:r w:rsidRPr="002076C1">
        <w:rPr>
          <w:color w:val="1C1D1E"/>
          <w:sz w:val="20"/>
          <w:szCs w:val="20"/>
        </w:rPr>
        <w:t xml:space="preserve"> the level of cholesterol among secondary school </w:t>
      </w:r>
      <w:r w:rsidRPr="002076C1">
        <w:rPr>
          <w:sz w:val="20"/>
          <w:szCs w:val="20"/>
        </w:rPr>
        <w:t>t</w:t>
      </w:r>
      <w:r w:rsidRPr="002076C1">
        <w:rPr>
          <w:color w:val="1C1D1E"/>
          <w:sz w:val="20"/>
          <w:szCs w:val="20"/>
        </w:rPr>
        <w:t xml:space="preserve">eachers </w:t>
      </w:r>
      <w:r w:rsidRPr="002076C1">
        <w:rPr>
          <w:sz w:val="20"/>
          <w:szCs w:val="20"/>
        </w:rPr>
        <w:t>and gender differences if any. This will serve as a basis for</w:t>
      </w:r>
      <w:r w:rsidRPr="002076C1">
        <w:rPr>
          <w:color w:val="1C1D1E"/>
          <w:sz w:val="20"/>
          <w:szCs w:val="20"/>
        </w:rPr>
        <w:t xml:space="preserve"> advice </w:t>
      </w:r>
      <w:r w:rsidRPr="002076C1">
        <w:rPr>
          <w:sz w:val="20"/>
          <w:szCs w:val="20"/>
        </w:rPr>
        <w:t>against the</w:t>
      </w:r>
      <w:r w:rsidRPr="002076C1">
        <w:rPr>
          <w:color w:val="1C1D1E"/>
          <w:sz w:val="20"/>
          <w:szCs w:val="20"/>
        </w:rPr>
        <w:t xml:space="preserve"> development of CHD in the nearest future. </w:t>
      </w:r>
    </w:p>
    <w:p w:rsidR="00EB6374" w:rsidRPr="002076C1" w:rsidRDefault="00EB6374"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Methods</w:t>
      </w: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This study involved cross-sectional selection of 130 secondary school teachers in four secondary schools in </w:t>
      </w:r>
      <w:proofErr w:type="spellStart"/>
      <w:r w:rsidRPr="002076C1">
        <w:rPr>
          <w:rFonts w:ascii="Times New Roman" w:hAnsi="Times New Roman" w:cs="Times New Roman"/>
          <w:sz w:val="20"/>
          <w:szCs w:val="20"/>
        </w:rPr>
        <w:t>Sagamu</w:t>
      </w:r>
      <w:proofErr w:type="spellEnd"/>
      <w:r w:rsidRPr="002076C1">
        <w:rPr>
          <w:rFonts w:ascii="Times New Roman" w:hAnsi="Times New Roman" w:cs="Times New Roman"/>
          <w:sz w:val="20"/>
          <w:szCs w:val="20"/>
        </w:rPr>
        <w:t xml:space="preserve">, </w:t>
      </w:r>
      <w:proofErr w:type="spellStart"/>
      <w:r w:rsidRPr="002076C1">
        <w:rPr>
          <w:rFonts w:ascii="Times New Roman" w:hAnsi="Times New Roman" w:cs="Times New Roman"/>
          <w:sz w:val="20"/>
          <w:szCs w:val="20"/>
        </w:rPr>
        <w:t>Ogun</w:t>
      </w:r>
      <w:proofErr w:type="spellEnd"/>
      <w:r w:rsidRPr="002076C1">
        <w:rPr>
          <w:rFonts w:ascii="Times New Roman" w:hAnsi="Times New Roman" w:cs="Times New Roman"/>
          <w:sz w:val="20"/>
          <w:szCs w:val="20"/>
        </w:rPr>
        <w:t xml:space="preserve"> state, South-West, Nigeria, aged between 20 and 60 years. Students were exempted from this study because they were not part of the study groups.</w:t>
      </w: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The weight in kg of  subjects were recorded in kilograms (to the nearest 1.0 kg) without them wearing any heavy clothing like a coat, jacket, shoes or </w:t>
      </w:r>
      <w:proofErr w:type="spellStart"/>
      <w:r w:rsidRPr="002076C1">
        <w:rPr>
          <w:rFonts w:ascii="Times New Roman" w:hAnsi="Times New Roman" w:cs="Times New Roman"/>
          <w:sz w:val="20"/>
          <w:szCs w:val="20"/>
        </w:rPr>
        <w:t>agbada</w:t>
      </w:r>
      <w:proofErr w:type="spellEnd"/>
      <w:r w:rsidRPr="002076C1">
        <w:rPr>
          <w:rFonts w:ascii="Times New Roman" w:hAnsi="Times New Roman" w:cs="Times New Roman"/>
          <w:sz w:val="20"/>
          <w:szCs w:val="20"/>
        </w:rPr>
        <w:t>, using a calibrated bathroom scale (</w:t>
      </w:r>
      <w:proofErr w:type="spellStart"/>
      <w:r w:rsidRPr="002076C1">
        <w:rPr>
          <w:rFonts w:ascii="Times New Roman" w:hAnsi="Times New Roman" w:cs="Times New Roman"/>
          <w:sz w:val="20"/>
          <w:szCs w:val="20"/>
        </w:rPr>
        <w:t>Soehnle</w:t>
      </w:r>
      <w:proofErr w:type="spellEnd"/>
      <w:r w:rsidRPr="002076C1">
        <w:rPr>
          <w:rFonts w:ascii="Times New Roman" w:hAnsi="Times New Roman" w:cs="Times New Roman"/>
          <w:sz w:val="20"/>
          <w:szCs w:val="20"/>
        </w:rPr>
        <w:t xml:space="preserve"> </w:t>
      </w:r>
      <w:proofErr w:type="spellStart"/>
      <w:r w:rsidRPr="002076C1">
        <w:rPr>
          <w:rFonts w:ascii="Times New Roman" w:hAnsi="Times New Roman" w:cs="Times New Roman"/>
          <w:sz w:val="20"/>
          <w:szCs w:val="20"/>
        </w:rPr>
        <w:t>Waagen</w:t>
      </w:r>
      <w:proofErr w:type="spellEnd"/>
      <w:r w:rsidRPr="002076C1">
        <w:rPr>
          <w:rFonts w:ascii="Times New Roman" w:hAnsi="Times New Roman" w:cs="Times New Roman"/>
          <w:sz w:val="20"/>
          <w:szCs w:val="20"/>
        </w:rPr>
        <w:t xml:space="preserve"> GmbH and Co. KG,D 71540 </w:t>
      </w:r>
      <w:proofErr w:type="spellStart"/>
      <w:r w:rsidRPr="002076C1">
        <w:rPr>
          <w:rFonts w:ascii="Times New Roman" w:hAnsi="Times New Roman" w:cs="Times New Roman"/>
          <w:sz w:val="20"/>
          <w:szCs w:val="20"/>
        </w:rPr>
        <w:t>Murrhardt</w:t>
      </w:r>
      <w:proofErr w:type="spellEnd"/>
      <w:r w:rsidRPr="002076C1">
        <w:rPr>
          <w:rFonts w:ascii="Times New Roman" w:hAnsi="Times New Roman" w:cs="Times New Roman"/>
          <w:sz w:val="20"/>
          <w:szCs w:val="20"/>
        </w:rPr>
        <w:t>/Germany) positioned on a firm horizontal surface.</w:t>
      </w: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Height in meters of subjects were measured (to the nearest 0.1m) using a </w:t>
      </w:r>
      <w:proofErr w:type="spellStart"/>
      <w:r w:rsidRPr="002076C1">
        <w:rPr>
          <w:rFonts w:ascii="Times New Roman" w:hAnsi="Times New Roman" w:cs="Times New Roman"/>
          <w:sz w:val="20"/>
          <w:szCs w:val="20"/>
        </w:rPr>
        <w:t>stadiometer</w:t>
      </w:r>
      <w:proofErr w:type="spellEnd"/>
      <w:r w:rsidRPr="002076C1">
        <w:rPr>
          <w:rFonts w:ascii="Times New Roman" w:hAnsi="Times New Roman" w:cs="Times New Roman"/>
          <w:sz w:val="20"/>
          <w:szCs w:val="20"/>
        </w:rPr>
        <w:t xml:space="preserve">. Subjects stood erect, without shoes and headgears, on a flat surface with the heels and occiput in contact with the </w:t>
      </w:r>
      <w:proofErr w:type="spellStart"/>
      <w:r w:rsidRPr="002076C1">
        <w:rPr>
          <w:rFonts w:ascii="Times New Roman" w:hAnsi="Times New Roman" w:cs="Times New Roman"/>
          <w:sz w:val="20"/>
          <w:szCs w:val="20"/>
        </w:rPr>
        <w:t>stadiometer</w:t>
      </w:r>
      <w:proofErr w:type="spellEnd"/>
      <w:r w:rsidRPr="002076C1">
        <w:rPr>
          <w:rFonts w:ascii="Times New Roman" w:hAnsi="Times New Roman" w:cs="Times New Roman"/>
          <w:sz w:val="20"/>
          <w:szCs w:val="20"/>
        </w:rPr>
        <w:t xml:space="preserve"> </w:t>
      </w:r>
      <w:r w:rsidRPr="002076C1">
        <w:rPr>
          <w:rFonts w:ascii="Times New Roman" w:eastAsia="Times New Roman" w:hAnsi="Times New Roman" w:cs="Times New Roman"/>
          <w:sz w:val="20"/>
          <w:szCs w:val="20"/>
        </w:rPr>
        <w:t>(Prestige HM0016D) (India) and to the nearest 0.1 meter</w:t>
      </w:r>
      <w:r w:rsidRPr="002076C1">
        <w:rPr>
          <w:rFonts w:ascii="Times New Roman" w:hAnsi="Times New Roman" w:cs="Times New Roman"/>
          <w:sz w:val="20"/>
          <w:szCs w:val="20"/>
        </w:rPr>
        <w:t>.</w:t>
      </w:r>
    </w:p>
    <w:p w:rsidR="00DD44F0"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The body mass index (B.M.I) was subsequently calculated using the formula: weigh (kg)/ height</w:t>
      </w:r>
      <w:r w:rsidRPr="002076C1">
        <w:rPr>
          <w:rFonts w:ascii="Times New Roman" w:hAnsi="Times New Roman" w:cs="Times New Roman"/>
          <w:sz w:val="20"/>
          <w:szCs w:val="20"/>
          <w:vertAlign w:val="superscript"/>
        </w:rPr>
        <w:t xml:space="preserve">2 </w:t>
      </w:r>
      <w:r w:rsidRPr="002076C1">
        <w:rPr>
          <w:rFonts w:ascii="Times New Roman" w:hAnsi="Times New Roman" w:cs="Times New Roman"/>
          <w:sz w:val="20"/>
          <w:szCs w:val="20"/>
        </w:rPr>
        <w:t>(metres</w:t>
      </w:r>
      <w:r w:rsidRPr="002076C1">
        <w:rPr>
          <w:rFonts w:ascii="Times New Roman" w:hAnsi="Times New Roman" w:cs="Times New Roman"/>
          <w:sz w:val="20"/>
          <w:szCs w:val="20"/>
          <w:vertAlign w:val="superscript"/>
        </w:rPr>
        <w:t>2</w:t>
      </w:r>
      <w:r w:rsidRPr="002076C1">
        <w:rPr>
          <w:rFonts w:ascii="Times New Roman" w:hAnsi="Times New Roman" w:cs="Times New Roman"/>
          <w:sz w:val="20"/>
          <w:szCs w:val="20"/>
        </w:rPr>
        <w:t xml:space="preserve">). </w:t>
      </w:r>
      <w:r w:rsidR="00DD44F0" w:rsidRPr="002076C1">
        <w:rPr>
          <w:rFonts w:ascii="Times New Roman" w:hAnsi="Times New Roman" w:cs="Times New Roman"/>
          <w:sz w:val="20"/>
          <w:szCs w:val="20"/>
        </w:rPr>
        <w:t>Es</w:t>
      </w:r>
      <w:r w:rsidR="004C0739" w:rsidRPr="002076C1">
        <w:rPr>
          <w:rFonts w:ascii="Times New Roman" w:hAnsi="Times New Roman" w:cs="Times New Roman"/>
          <w:sz w:val="20"/>
          <w:szCs w:val="20"/>
        </w:rPr>
        <w:t>t</w:t>
      </w:r>
      <w:r w:rsidR="00DD44F0" w:rsidRPr="002076C1">
        <w:rPr>
          <w:rFonts w:ascii="Times New Roman" w:hAnsi="Times New Roman" w:cs="Times New Roman"/>
          <w:sz w:val="20"/>
          <w:szCs w:val="20"/>
        </w:rPr>
        <w:t>imation of lipid levels were done in each of the subject as described below.</w:t>
      </w:r>
    </w:p>
    <w:p w:rsidR="00DD44F0" w:rsidRPr="002076C1" w:rsidRDefault="00DD44F0"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sz w:val="20"/>
          <w:szCs w:val="20"/>
        </w:rPr>
        <w:t xml:space="preserve">Blood samples were obtained after an overnight fasting for determination of lipid profile levels using standard methods at baseline, two week, four week, six week and eight week, respectively. The LP determined from the fasting liquid Profile was measured </w:t>
      </w:r>
      <w:proofErr w:type="spellStart"/>
      <w:r w:rsidRPr="002076C1">
        <w:rPr>
          <w:rFonts w:ascii="Times New Roman" w:hAnsi="Times New Roman" w:cs="Times New Roman"/>
          <w:sz w:val="20"/>
          <w:szCs w:val="20"/>
        </w:rPr>
        <w:t>spectrophotometrically</w:t>
      </w:r>
      <w:proofErr w:type="spellEnd"/>
      <w:r w:rsidRPr="002076C1">
        <w:rPr>
          <w:rFonts w:ascii="Times New Roman" w:hAnsi="Times New Roman" w:cs="Times New Roman"/>
          <w:sz w:val="20"/>
          <w:szCs w:val="20"/>
        </w:rPr>
        <w:t xml:space="preserve"> using standard laboratory kits supplied by BIOLABO, France. Data were analyzed using descriptive statistic and repeated ANOVA with significant at p&lt;0.05</w:t>
      </w:r>
    </w:p>
    <w:p w:rsidR="00DD44F0" w:rsidRPr="002076C1" w:rsidRDefault="00DD44F0"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Determination of Total Cholesterol</w:t>
      </w:r>
    </w:p>
    <w:p w:rsidR="00DD44F0" w:rsidRPr="002076C1" w:rsidRDefault="00DD44F0"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sz w:val="20"/>
          <w:szCs w:val="20"/>
        </w:rPr>
        <w:t xml:space="preserve">Total cholesterol level was measured </w:t>
      </w:r>
      <w:proofErr w:type="spellStart"/>
      <w:r w:rsidRPr="002076C1">
        <w:rPr>
          <w:rFonts w:ascii="Times New Roman" w:hAnsi="Times New Roman" w:cs="Times New Roman"/>
          <w:sz w:val="20"/>
          <w:szCs w:val="20"/>
        </w:rPr>
        <w:t>spectrophotometrically</w:t>
      </w:r>
      <w:proofErr w:type="spellEnd"/>
      <w:r w:rsidRPr="002076C1">
        <w:rPr>
          <w:rFonts w:ascii="Times New Roman" w:hAnsi="Times New Roman" w:cs="Times New Roman"/>
          <w:sz w:val="20"/>
          <w:szCs w:val="20"/>
        </w:rPr>
        <w:t xml:space="preserve"> using standard laboratory supplied by BIOLABO, France. </w:t>
      </w:r>
      <w:proofErr w:type="gramStart"/>
      <w:r w:rsidRPr="002076C1">
        <w:rPr>
          <w:rFonts w:ascii="Times New Roman" w:hAnsi="Times New Roman" w:cs="Times New Roman"/>
          <w:sz w:val="20"/>
          <w:szCs w:val="20"/>
        </w:rPr>
        <w:t>Cholesterol esters in the presence of cholesterol esterase cholesterol and free fatty acids.</w:t>
      </w:r>
      <w:proofErr w:type="gramEnd"/>
      <w:r w:rsidRPr="002076C1">
        <w:rPr>
          <w:rFonts w:ascii="Times New Roman" w:hAnsi="Times New Roman" w:cs="Times New Roman"/>
          <w:sz w:val="20"/>
          <w:szCs w:val="20"/>
        </w:rPr>
        <w:t xml:space="preserve"> The cholesterol formed reacts with oxygen in the presence of cholesterol oxidase to form cholesten-4-one-3 and hydrogen peroxide. </w:t>
      </w:r>
      <w:r w:rsidRPr="002076C1">
        <w:rPr>
          <w:rFonts w:ascii="Times New Roman" w:hAnsi="Times New Roman" w:cs="Times New Roman"/>
          <w:sz w:val="20"/>
          <w:szCs w:val="20"/>
        </w:rPr>
        <w:lastRenderedPageBreak/>
        <w:t xml:space="preserve">The hydrogen peroxide formed reacts with phenol and 4-amino-antipyrine in the presence of peroxidase to give </w:t>
      </w:r>
      <w:proofErr w:type="spellStart"/>
      <w:r w:rsidRPr="002076C1">
        <w:rPr>
          <w:rFonts w:ascii="Times New Roman" w:hAnsi="Times New Roman" w:cs="Times New Roman"/>
          <w:sz w:val="20"/>
          <w:szCs w:val="20"/>
        </w:rPr>
        <w:t>aminoneimine</w:t>
      </w:r>
      <w:proofErr w:type="spellEnd"/>
      <w:r w:rsidRPr="002076C1">
        <w:rPr>
          <w:rFonts w:ascii="Times New Roman" w:hAnsi="Times New Roman" w:cs="Times New Roman"/>
          <w:sz w:val="20"/>
          <w:szCs w:val="20"/>
        </w:rPr>
        <w:t xml:space="preserve"> (pinkish in </w:t>
      </w:r>
      <w:proofErr w:type="spellStart"/>
      <w:r w:rsidRPr="002076C1">
        <w:rPr>
          <w:rFonts w:ascii="Times New Roman" w:hAnsi="Times New Roman" w:cs="Times New Roman"/>
          <w:sz w:val="20"/>
          <w:szCs w:val="20"/>
        </w:rPr>
        <w:t>colour</w:t>
      </w:r>
      <w:proofErr w:type="spellEnd"/>
      <w:r w:rsidRPr="002076C1">
        <w:rPr>
          <w:rFonts w:ascii="Times New Roman" w:hAnsi="Times New Roman" w:cs="Times New Roman"/>
          <w:sz w:val="20"/>
          <w:szCs w:val="20"/>
        </w:rPr>
        <w:t xml:space="preserve">) and water. The intensity of the pink/red </w:t>
      </w:r>
      <w:proofErr w:type="spellStart"/>
      <w:r w:rsidRPr="002076C1">
        <w:rPr>
          <w:rFonts w:ascii="Times New Roman" w:hAnsi="Times New Roman" w:cs="Times New Roman"/>
          <w:sz w:val="20"/>
          <w:szCs w:val="20"/>
        </w:rPr>
        <w:t>colour</w:t>
      </w:r>
      <w:proofErr w:type="spellEnd"/>
      <w:r w:rsidRPr="002076C1">
        <w:rPr>
          <w:rFonts w:ascii="Times New Roman" w:hAnsi="Times New Roman" w:cs="Times New Roman"/>
          <w:sz w:val="20"/>
          <w:szCs w:val="20"/>
        </w:rPr>
        <w:t xml:space="preserve"> formed is proportional to the cholesterol concentration. The procedure employed was as follows:</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The reagent was prepared by adding 5ml of the buffer (1.75mol/L Amino-2-methyl-2-propanol-1)to 5ml of the </w:t>
      </w:r>
      <w:proofErr w:type="spellStart"/>
      <w:r w:rsidRPr="002076C1">
        <w:rPr>
          <w:rFonts w:ascii="Times New Roman" w:hAnsi="Times New Roman" w:cs="Times New Roman"/>
          <w:sz w:val="20"/>
          <w:szCs w:val="20"/>
        </w:rPr>
        <w:t>Chromogen</w:t>
      </w:r>
      <w:proofErr w:type="spellEnd"/>
      <w:r w:rsidRPr="002076C1">
        <w:rPr>
          <w:rFonts w:ascii="Times New Roman" w:hAnsi="Times New Roman" w:cs="Times New Roman"/>
          <w:sz w:val="20"/>
          <w:szCs w:val="20"/>
        </w:rPr>
        <w:t xml:space="preserve"> mixture (76umol/L 0–</w:t>
      </w:r>
      <w:proofErr w:type="spellStart"/>
      <w:r w:rsidRPr="002076C1">
        <w:rPr>
          <w:rFonts w:ascii="Times New Roman" w:hAnsi="Times New Roman" w:cs="Times New Roman"/>
          <w:sz w:val="20"/>
          <w:szCs w:val="20"/>
        </w:rPr>
        <w:t>Cresolphtalein</w:t>
      </w:r>
      <w:proofErr w:type="spellEnd"/>
      <w:r w:rsidRPr="002076C1">
        <w:rPr>
          <w:rFonts w:ascii="Times New Roman" w:hAnsi="Times New Roman" w:cs="Times New Roman"/>
          <w:sz w:val="20"/>
          <w:szCs w:val="20"/>
        </w:rPr>
        <w:t xml:space="preserve"> </w:t>
      </w:r>
      <w:proofErr w:type="spellStart"/>
      <w:r w:rsidRPr="002076C1">
        <w:rPr>
          <w:rFonts w:ascii="Times New Roman" w:hAnsi="Times New Roman" w:cs="Times New Roman"/>
          <w:sz w:val="20"/>
          <w:szCs w:val="20"/>
        </w:rPr>
        <w:t>Complexon</w:t>
      </w:r>
      <w:proofErr w:type="spellEnd"/>
      <w:r w:rsidRPr="002076C1">
        <w:rPr>
          <w:rFonts w:ascii="Times New Roman" w:hAnsi="Times New Roman" w:cs="Times New Roman"/>
          <w:sz w:val="20"/>
          <w:szCs w:val="20"/>
        </w:rPr>
        <w:t xml:space="preserve">, 3.36mmol/L 8 – </w:t>
      </w:r>
      <w:proofErr w:type="spellStart"/>
      <w:r w:rsidRPr="002076C1">
        <w:rPr>
          <w:rFonts w:ascii="Times New Roman" w:hAnsi="Times New Roman" w:cs="Times New Roman"/>
          <w:sz w:val="20"/>
          <w:szCs w:val="20"/>
        </w:rPr>
        <w:t>Hydroxy-Quinoline</w:t>
      </w:r>
      <w:proofErr w:type="spellEnd"/>
      <w:r w:rsidRPr="002076C1">
        <w:rPr>
          <w:rFonts w:ascii="Times New Roman" w:hAnsi="Times New Roman" w:cs="Times New Roman"/>
          <w:sz w:val="20"/>
          <w:szCs w:val="20"/>
        </w:rPr>
        <w:t xml:space="preserve">, 3.36mmol/L 8 – </w:t>
      </w:r>
      <w:proofErr w:type="spellStart"/>
      <w:r w:rsidRPr="002076C1">
        <w:rPr>
          <w:rFonts w:ascii="Times New Roman" w:hAnsi="Times New Roman" w:cs="Times New Roman"/>
          <w:sz w:val="20"/>
          <w:szCs w:val="20"/>
        </w:rPr>
        <w:t>Hydroxy-Quinoline</w:t>
      </w:r>
      <w:proofErr w:type="spellEnd"/>
      <w:r w:rsidRPr="002076C1">
        <w:rPr>
          <w:rFonts w:ascii="Times New Roman" w:hAnsi="Times New Roman" w:cs="Times New Roman"/>
          <w:sz w:val="20"/>
          <w:szCs w:val="20"/>
        </w:rPr>
        <w:t>, 25mmol/L HCI) and allowed to stand for an hour at room temperature.</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The reagent solution was prepared by adding equal volumes of the buffer and 5mmol/L Chloro-4-phenol) and the enzyme mixture (100U/L Cholesterol oxidase, 70U/L Cholesterol esterase, 1200U/L peroxidase, 2mmol/L </w:t>
      </w:r>
      <w:proofErr w:type="spellStart"/>
      <w:r w:rsidRPr="002076C1">
        <w:rPr>
          <w:rFonts w:ascii="Times New Roman" w:hAnsi="Times New Roman" w:cs="Times New Roman"/>
          <w:sz w:val="20"/>
          <w:szCs w:val="20"/>
        </w:rPr>
        <w:t>Cholic</w:t>
      </w:r>
      <w:proofErr w:type="spellEnd"/>
      <w:r w:rsidRPr="002076C1">
        <w:rPr>
          <w:rFonts w:ascii="Times New Roman" w:hAnsi="Times New Roman" w:cs="Times New Roman"/>
          <w:sz w:val="20"/>
          <w:szCs w:val="20"/>
        </w:rPr>
        <w:t xml:space="preserve"> acid Sodium salt, 0.3mmol Amino </w:t>
      </w:r>
      <w:proofErr w:type="spellStart"/>
      <w:r w:rsidRPr="002076C1">
        <w:rPr>
          <w:rFonts w:ascii="Times New Roman" w:hAnsi="Times New Roman" w:cs="Times New Roman"/>
          <w:sz w:val="20"/>
          <w:szCs w:val="20"/>
        </w:rPr>
        <w:t>antipyrine</w:t>
      </w:r>
      <w:proofErr w:type="spellEnd"/>
      <w:r w:rsidRPr="002076C1">
        <w:rPr>
          <w:rFonts w:ascii="Times New Roman" w:hAnsi="Times New Roman" w:cs="Times New Roman"/>
          <w:sz w:val="20"/>
          <w:szCs w:val="20"/>
        </w:rPr>
        <w:t>) and allowed to stand for 5 – 10 minutes while mixing gently at room  temperature.</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To 10µL of each test sample or standard (5.17mmol/L Cholesterol) was added 1ml of the reagent mixture. This was incubated at 37</w:t>
      </w:r>
      <w:r w:rsidRPr="002076C1">
        <w:rPr>
          <w:rFonts w:ascii="Times New Roman" w:hAnsi="Times New Roman" w:cs="Times New Roman"/>
          <w:sz w:val="20"/>
          <w:szCs w:val="20"/>
          <w:vertAlign w:val="superscript"/>
        </w:rPr>
        <w:t>0</w:t>
      </w:r>
      <w:r w:rsidRPr="002076C1">
        <w:rPr>
          <w:rFonts w:ascii="Times New Roman" w:hAnsi="Times New Roman" w:cs="Times New Roman"/>
          <w:sz w:val="20"/>
          <w:szCs w:val="20"/>
        </w:rPr>
        <w:t>C for 5 minutes. The absorbance of the mixture was taken against the blank at a wavelength of 500nm. The blank was made up of 10µL of distilled water and 1m1 of the reagent mixture. The cholesterol concentration was determined as follows.</w:t>
      </w:r>
    </w:p>
    <w:p w:rsidR="002076C1" w:rsidRDefault="002076C1" w:rsidP="002076C1">
      <w:pPr>
        <w:spacing w:after="0" w:line="360" w:lineRule="auto"/>
        <w:jc w:val="both"/>
        <w:rPr>
          <w:rFonts w:ascii="Times New Roman" w:hAnsi="Times New Roman" w:cs="Times New Roman"/>
          <w:sz w:val="20"/>
          <w:szCs w:val="20"/>
        </w:rPr>
      </w:pP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Total </w:t>
      </w:r>
      <w:proofErr w:type="spellStart"/>
      <w:r w:rsidRPr="002076C1">
        <w:rPr>
          <w:rFonts w:ascii="Times New Roman" w:hAnsi="Times New Roman" w:cs="Times New Roman"/>
          <w:sz w:val="20"/>
          <w:szCs w:val="20"/>
        </w:rPr>
        <w:t>cholestaterol</w:t>
      </w:r>
      <w:proofErr w:type="spellEnd"/>
      <w:r w:rsidRPr="002076C1">
        <w:rPr>
          <w:rFonts w:ascii="Times New Roman" w:hAnsi="Times New Roman" w:cs="Times New Roman"/>
          <w:sz w:val="20"/>
          <w:szCs w:val="20"/>
        </w:rPr>
        <w:t xml:space="preserve"> concentration (mg/dl) = </w:t>
      </w:r>
      <w:proofErr w:type="spellStart"/>
      <w:r w:rsidRPr="002076C1">
        <w:rPr>
          <w:rFonts w:ascii="Times New Roman" w:hAnsi="Times New Roman" w:cs="Times New Roman"/>
          <w:sz w:val="20"/>
          <w:szCs w:val="20"/>
        </w:rPr>
        <w:t>Absorbance</w:t>
      </w:r>
      <w:r w:rsidRPr="002076C1">
        <w:rPr>
          <w:rFonts w:ascii="Times New Roman" w:hAnsi="Times New Roman" w:cs="Times New Roman"/>
          <w:sz w:val="20"/>
          <w:szCs w:val="20"/>
          <w:vertAlign w:val="subscript"/>
        </w:rPr>
        <w:t>sample</w:t>
      </w:r>
      <w:proofErr w:type="spellEnd"/>
      <w:r w:rsidRPr="002076C1">
        <w:rPr>
          <w:rFonts w:ascii="Times New Roman" w:hAnsi="Times New Roman" w:cs="Times New Roman"/>
          <w:sz w:val="20"/>
          <w:szCs w:val="20"/>
        </w:rPr>
        <w:t xml:space="preserve"> X Standard concentration </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                                                                               ________________</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                                                                                  Absorbance</w:t>
      </w:r>
      <w:r w:rsidRPr="002076C1">
        <w:rPr>
          <w:rFonts w:ascii="Times New Roman" w:hAnsi="Times New Roman" w:cs="Times New Roman"/>
          <w:sz w:val="20"/>
          <w:szCs w:val="20"/>
          <w:vertAlign w:val="subscript"/>
        </w:rPr>
        <w:t xml:space="preserve"> standard</w:t>
      </w:r>
    </w:p>
    <w:p w:rsidR="002076C1" w:rsidRDefault="002076C1" w:rsidP="002076C1">
      <w:pPr>
        <w:spacing w:after="0" w:line="360" w:lineRule="auto"/>
        <w:jc w:val="both"/>
        <w:rPr>
          <w:rFonts w:ascii="Times New Roman" w:hAnsi="Times New Roman" w:cs="Times New Roman"/>
          <w:sz w:val="20"/>
          <w:szCs w:val="20"/>
        </w:rPr>
      </w:pPr>
    </w:p>
    <w:p w:rsidR="00DD44F0" w:rsidRPr="002076C1" w:rsidRDefault="00DD44F0"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 xml:space="preserve"> Determination of HDL Cholesterol</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HDL cholesterol level was measured </w:t>
      </w:r>
      <w:proofErr w:type="spellStart"/>
      <w:r w:rsidRPr="002076C1">
        <w:rPr>
          <w:rFonts w:ascii="Times New Roman" w:hAnsi="Times New Roman" w:cs="Times New Roman"/>
          <w:sz w:val="20"/>
          <w:szCs w:val="20"/>
        </w:rPr>
        <w:t>spectrophotometrically</w:t>
      </w:r>
      <w:proofErr w:type="spellEnd"/>
      <w:r w:rsidRPr="002076C1">
        <w:rPr>
          <w:rFonts w:ascii="Times New Roman" w:hAnsi="Times New Roman" w:cs="Times New Roman"/>
          <w:sz w:val="20"/>
          <w:szCs w:val="20"/>
        </w:rPr>
        <w:t xml:space="preserve"> using standard lab kits supplied by BIOLABO, France. Low density lipoproteins (LDL) contained in serum </w:t>
      </w:r>
      <w:proofErr w:type="gramStart"/>
      <w:r w:rsidRPr="002076C1">
        <w:rPr>
          <w:rFonts w:ascii="Times New Roman" w:hAnsi="Times New Roman" w:cs="Times New Roman"/>
          <w:sz w:val="20"/>
          <w:szCs w:val="20"/>
        </w:rPr>
        <w:t>are</w:t>
      </w:r>
      <w:proofErr w:type="gramEnd"/>
      <w:r w:rsidRPr="002076C1">
        <w:rPr>
          <w:rFonts w:ascii="Times New Roman" w:hAnsi="Times New Roman" w:cs="Times New Roman"/>
          <w:sz w:val="20"/>
          <w:szCs w:val="20"/>
        </w:rPr>
        <w:t xml:space="preserve"> precipitated by addition of </w:t>
      </w:r>
      <w:proofErr w:type="spellStart"/>
      <w:r w:rsidRPr="002076C1">
        <w:rPr>
          <w:rFonts w:ascii="Times New Roman" w:hAnsi="Times New Roman" w:cs="Times New Roman"/>
          <w:sz w:val="20"/>
          <w:szCs w:val="20"/>
        </w:rPr>
        <w:t>phosphotungstic</w:t>
      </w:r>
      <w:proofErr w:type="spellEnd"/>
      <w:r w:rsidRPr="002076C1">
        <w:rPr>
          <w:rFonts w:ascii="Times New Roman" w:hAnsi="Times New Roman" w:cs="Times New Roman"/>
          <w:sz w:val="20"/>
          <w:szCs w:val="20"/>
        </w:rPr>
        <w:t xml:space="preserve"> acid and magnesium chloride. High density lipoproteins (LDL) which remain in the supernatant (obtained after centrifugation) react with the cholesterol reagent and proportionally with the cholesterol standard.</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The procedure followed was as follows: equal volumes of the serum and reagent mixture (13.9mmol/L </w:t>
      </w:r>
      <w:proofErr w:type="spellStart"/>
      <w:r w:rsidRPr="002076C1">
        <w:rPr>
          <w:rFonts w:ascii="Times New Roman" w:hAnsi="Times New Roman" w:cs="Times New Roman"/>
          <w:sz w:val="20"/>
          <w:szCs w:val="20"/>
        </w:rPr>
        <w:t>phosphotungstic</w:t>
      </w:r>
      <w:proofErr w:type="spellEnd"/>
      <w:r w:rsidRPr="002076C1">
        <w:rPr>
          <w:rFonts w:ascii="Times New Roman" w:hAnsi="Times New Roman" w:cs="Times New Roman"/>
          <w:sz w:val="20"/>
          <w:szCs w:val="20"/>
        </w:rPr>
        <w:t xml:space="preserve"> acid and 570mmol/L magnesium chloride) were mixed together and allowed to stand for 10 minutes at room temperature. The reaction mixture was then centrifuged for 10 minutes at 4000g to get a clear supernatant. This supernatant was used as sample to get the HDL cholesterol </w:t>
      </w:r>
      <w:proofErr w:type="spellStart"/>
      <w:r w:rsidRPr="002076C1">
        <w:rPr>
          <w:rFonts w:ascii="Times New Roman" w:hAnsi="Times New Roman" w:cs="Times New Roman"/>
          <w:sz w:val="20"/>
          <w:szCs w:val="20"/>
        </w:rPr>
        <w:t>concentrationin</w:t>
      </w:r>
      <w:proofErr w:type="spellEnd"/>
      <w:r w:rsidRPr="002076C1">
        <w:rPr>
          <w:rFonts w:ascii="Times New Roman" w:hAnsi="Times New Roman" w:cs="Times New Roman"/>
          <w:sz w:val="20"/>
          <w:szCs w:val="20"/>
        </w:rPr>
        <w:t xml:space="preserve"> the serum sample. 1000ul of the Cholesterol reagent was added to test tubes labeled blank, standard and sample containing 50µl water, 50µl of the cholesterol standard and 50µl of the sample respectively. This was well mixed and incubated for 10mins at 37°C. The absorbance of the end sample against the blank was taken at 505nm.</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ab/>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HDL cholesterol concentration (mg/dl) = </w:t>
      </w:r>
      <w:proofErr w:type="spellStart"/>
      <w:r w:rsidRPr="002076C1">
        <w:rPr>
          <w:rFonts w:ascii="Times New Roman" w:hAnsi="Times New Roman" w:cs="Times New Roman"/>
          <w:sz w:val="20"/>
          <w:szCs w:val="20"/>
        </w:rPr>
        <w:t>Absorbance</w:t>
      </w:r>
      <w:r w:rsidRPr="002076C1">
        <w:rPr>
          <w:rFonts w:ascii="Times New Roman" w:hAnsi="Times New Roman" w:cs="Times New Roman"/>
          <w:sz w:val="20"/>
          <w:szCs w:val="20"/>
          <w:vertAlign w:val="subscript"/>
        </w:rPr>
        <w:t>sample</w:t>
      </w:r>
      <w:proofErr w:type="spellEnd"/>
      <w:r w:rsidRPr="002076C1">
        <w:rPr>
          <w:rFonts w:ascii="Times New Roman" w:hAnsi="Times New Roman" w:cs="Times New Roman"/>
          <w:sz w:val="20"/>
          <w:szCs w:val="20"/>
        </w:rPr>
        <w:t xml:space="preserve"> X Standard concentration</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                                                                          _________________</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                                                                             Absorbance</w:t>
      </w:r>
      <w:r w:rsidRPr="002076C1">
        <w:rPr>
          <w:rFonts w:ascii="Times New Roman" w:hAnsi="Times New Roman" w:cs="Times New Roman"/>
          <w:sz w:val="20"/>
          <w:szCs w:val="20"/>
          <w:vertAlign w:val="subscript"/>
        </w:rPr>
        <w:t xml:space="preserve"> standard</w:t>
      </w:r>
    </w:p>
    <w:p w:rsidR="00DD44F0" w:rsidRPr="002076C1" w:rsidRDefault="00DD44F0" w:rsidP="002076C1">
      <w:pPr>
        <w:spacing w:after="0" w:line="360" w:lineRule="auto"/>
        <w:jc w:val="both"/>
        <w:rPr>
          <w:rFonts w:ascii="Times New Roman" w:hAnsi="Times New Roman" w:cs="Times New Roman"/>
          <w:sz w:val="20"/>
          <w:szCs w:val="20"/>
        </w:rPr>
      </w:pPr>
    </w:p>
    <w:p w:rsidR="00521A32" w:rsidRDefault="00521A32" w:rsidP="002076C1">
      <w:pPr>
        <w:spacing w:after="0" w:line="360" w:lineRule="auto"/>
        <w:jc w:val="both"/>
        <w:rPr>
          <w:rFonts w:ascii="Times New Roman" w:hAnsi="Times New Roman" w:cs="Times New Roman"/>
          <w:b/>
          <w:sz w:val="20"/>
          <w:szCs w:val="20"/>
        </w:rPr>
      </w:pPr>
    </w:p>
    <w:p w:rsidR="00521A32" w:rsidRDefault="00521A32" w:rsidP="002076C1">
      <w:pPr>
        <w:spacing w:after="0" w:line="360" w:lineRule="auto"/>
        <w:jc w:val="both"/>
        <w:rPr>
          <w:rFonts w:ascii="Times New Roman" w:hAnsi="Times New Roman" w:cs="Times New Roman"/>
          <w:b/>
          <w:sz w:val="20"/>
          <w:szCs w:val="20"/>
        </w:rPr>
      </w:pPr>
    </w:p>
    <w:p w:rsidR="00DD44F0" w:rsidRPr="002076C1" w:rsidRDefault="00DD44F0"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 xml:space="preserve">Determination of Triglycerides Level </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Triglycerides level was measured </w:t>
      </w:r>
      <w:proofErr w:type="spellStart"/>
      <w:r w:rsidRPr="002076C1">
        <w:rPr>
          <w:rFonts w:ascii="Times New Roman" w:hAnsi="Times New Roman" w:cs="Times New Roman"/>
          <w:sz w:val="20"/>
          <w:szCs w:val="20"/>
        </w:rPr>
        <w:t>spectrophotmetically</w:t>
      </w:r>
      <w:proofErr w:type="spellEnd"/>
      <w:r w:rsidRPr="002076C1">
        <w:rPr>
          <w:rFonts w:ascii="Times New Roman" w:hAnsi="Times New Roman" w:cs="Times New Roman"/>
          <w:sz w:val="20"/>
          <w:szCs w:val="20"/>
        </w:rPr>
        <w:t xml:space="preserve"> using standard lab kits supplied BIOLABO, France. Triglycerides in the presence of lipase form glycerol free fatty acids. Glycerol formed reacts reversibly with adenosine triphosphate (ATP) in the presence of glycerol lipase to form glycerol- 3 – phosphate and ADP. The glycerol 3 phosphate also reacts reversibly with oxygen in the presence of glycerol – 3- phosphate oxidase to form </w:t>
      </w:r>
      <w:proofErr w:type="spellStart"/>
      <w:r w:rsidRPr="002076C1">
        <w:rPr>
          <w:rFonts w:ascii="Times New Roman" w:hAnsi="Times New Roman" w:cs="Times New Roman"/>
          <w:sz w:val="20"/>
          <w:szCs w:val="20"/>
        </w:rPr>
        <w:t>dihydroxyacetone</w:t>
      </w:r>
      <w:proofErr w:type="spellEnd"/>
      <w:r w:rsidRPr="002076C1">
        <w:rPr>
          <w:rFonts w:ascii="Times New Roman" w:hAnsi="Times New Roman" w:cs="Times New Roman"/>
          <w:sz w:val="20"/>
          <w:szCs w:val="20"/>
        </w:rPr>
        <w:t xml:space="preserve"> phosphate and hydrogen peroxide. The hydrogen peroxide then reacts with </w:t>
      </w:r>
      <w:proofErr w:type="spellStart"/>
      <w:r w:rsidRPr="002076C1">
        <w:rPr>
          <w:rFonts w:ascii="Times New Roman" w:hAnsi="Times New Roman" w:cs="Times New Roman"/>
          <w:sz w:val="20"/>
          <w:szCs w:val="20"/>
        </w:rPr>
        <w:t>chlorophenol</w:t>
      </w:r>
      <w:proofErr w:type="spellEnd"/>
      <w:r w:rsidRPr="002076C1">
        <w:rPr>
          <w:rFonts w:ascii="Times New Roman" w:hAnsi="Times New Roman" w:cs="Times New Roman"/>
          <w:sz w:val="20"/>
          <w:szCs w:val="20"/>
        </w:rPr>
        <w:t xml:space="preserve"> and amino </w:t>
      </w:r>
      <w:proofErr w:type="spellStart"/>
      <w:r w:rsidRPr="002076C1">
        <w:rPr>
          <w:rFonts w:ascii="Times New Roman" w:hAnsi="Times New Roman" w:cs="Times New Roman"/>
          <w:sz w:val="20"/>
          <w:szCs w:val="20"/>
        </w:rPr>
        <w:t>antipyrine</w:t>
      </w:r>
      <w:proofErr w:type="spellEnd"/>
      <w:r w:rsidRPr="002076C1">
        <w:rPr>
          <w:rFonts w:ascii="Times New Roman" w:hAnsi="Times New Roman" w:cs="Times New Roman"/>
          <w:sz w:val="20"/>
          <w:szCs w:val="20"/>
        </w:rPr>
        <w:t xml:space="preserve"> in the presence of peroxidase to form </w:t>
      </w:r>
      <w:proofErr w:type="spellStart"/>
      <w:r w:rsidRPr="002076C1">
        <w:rPr>
          <w:rFonts w:ascii="Times New Roman" w:hAnsi="Times New Roman" w:cs="Times New Roman"/>
          <w:sz w:val="20"/>
          <w:szCs w:val="20"/>
        </w:rPr>
        <w:t>quinoneimine</w:t>
      </w:r>
      <w:proofErr w:type="spellEnd"/>
      <w:r w:rsidRPr="002076C1">
        <w:rPr>
          <w:rFonts w:ascii="Times New Roman" w:hAnsi="Times New Roman" w:cs="Times New Roman"/>
          <w:sz w:val="20"/>
          <w:szCs w:val="20"/>
        </w:rPr>
        <w:t xml:space="preserve"> (pink) and water. The intensity of the pink/red </w:t>
      </w:r>
      <w:proofErr w:type="spellStart"/>
      <w:r w:rsidRPr="002076C1">
        <w:rPr>
          <w:rFonts w:ascii="Times New Roman" w:hAnsi="Times New Roman" w:cs="Times New Roman"/>
          <w:sz w:val="20"/>
          <w:szCs w:val="20"/>
        </w:rPr>
        <w:t>colour</w:t>
      </w:r>
      <w:proofErr w:type="spellEnd"/>
      <w:r w:rsidRPr="002076C1">
        <w:rPr>
          <w:rFonts w:ascii="Times New Roman" w:hAnsi="Times New Roman" w:cs="Times New Roman"/>
          <w:sz w:val="20"/>
          <w:szCs w:val="20"/>
        </w:rPr>
        <w:t xml:space="preserve"> formed is proportional to the triglyceride concentration.</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The reagent solution was prepared by adding equal volumes of the buffer (3.5mmol/Lchloro-4-phenol, 6mmol/L Magnesium chloride 100mmol/L PIPES) and the enzyme mixture 500U/l Lipase, 1800U/l peroxidase, 400U/l Glycerol 3-phosphate oxidase, 1000U/l Glycerol (lipase, 0.30mmol 4 Amino </w:t>
      </w:r>
      <w:proofErr w:type="spellStart"/>
      <w:r w:rsidRPr="002076C1">
        <w:rPr>
          <w:rFonts w:ascii="Times New Roman" w:hAnsi="Times New Roman" w:cs="Times New Roman"/>
          <w:sz w:val="20"/>
          <w:szCs w:val="20"/>
        </w:rPr>
        <w:t>antipyrine</w:t>
      </w:r>
      <w:proofErr w:type="spellEnd"/>
      <w:r w:rsidRPr="002076C1">
        <w:rPr>
          <w:rFonts w:ascii="Times New Roman" w:hAnsi="Times New Roman" w:cs="Times New Roman"/>
          <w:sz w:val="20"/>
          <w:szCs w:val="20"/>
        </w:rPr>
        <w:t>, 1.72mmol/l Adenosine triphosphate Na) and allowed to stand for 5 – 10minutes. To 10µL of each test sample of standard (Glycerol 200mg/dl) was added 1m1 of the reagent mixture. This was incubated at 37</w:t>
      </w:r>
      <w:r w:rsidRPr="002076C1">
        <w:rPr>
          <w:rFonts w:ascii="Times New Roman" w:hAnsi="Times New Roman" w:cs="Times New Roman"/>
          <w:sz w:val="20"/>
          <w:szCs w:val="20"/>
          <w:vertAlign w:val="superscript"/>
        </w:rPr>
        <w:t>o</w:t>
      </w:r>
      <w:r w:rsidRPr="002076C1">
        <w:rPr>
          <w:rFonts w:ascii="Times New Roman" w:hAnsi="Times New Roman" w:cs="Times New Roman"/>
          <w:sz w:val="20"/>
          <w:szCs w:val="20"/>
        </w:rPr>
        <w:t>C for 5minutes. The absorbance of the mixture was taken against the blank at a wavelength of 500nm. The blank was made up of 10µL of distilled H</w:t>
      </w:r>
      <w:r w:rsidRPr="002076C1">
        <w:rPr>
          <w:rFonts w:ascii="Times New Roman" w:hAnsi="Times New Roman" w:cs="Times New Roman"/>
          <w:sz w:val="20"/>
          <w:szCs w:val="20"/>
          <w:vertAlign w:val="subscript"/>
        </w:rPr>
        <w:t>2</w:t>
      </w:r>
      <w:r w:rsidRPr="002076C1">
        <w:rPr>
          <w:rFonts w:ascii="Times New Roman" w:hAnsi="Times New Roman" w:cs="Times New Roman"/>
          <w:sz w:val="20"/>
          <w:szCs w:val="20"/>
        </w:rPr>
        <w:t>0 and 1m1 of the reagent mixture. The triglyceride concentration was determined as follows.</w:t>
      </w:r>
    </w:p>
    <w:p w:rsidR="00DD44F0" w:rsidRPr="002076C1" w:rsidRDefault="00DD44F0" w:rsidP="002076C1">
      <w:pPr>
        <w:tabs>
          <w:tab w:val="left" w:pos="8100"/>
        </w:tabs>
        <w:spacing w:after="0" w:line="360" w:lineRule="auto"/>
        <w:jc w:val="both"/>
        <w:rPr>
          <w:rFonts w:ascii="Times New Roman" w:hAnsi="Times New Roman" w:cs="Times New Roman"/>
          <w:sz w:val="20"/>
          <w:szCs w:val="20"/>
        </w:rPr>
      </w:pP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          Triglyceride concentration (mg/dl) = </w:t>
      </w:r>
      <w:proofErr w:type="spellStart"/>
      <w:r w:rsidRPr="002076C1">
        <w:rPr>
          <w:rFonts w:ascii="Times New Roman" w:hAnsi="Times New Roman" w:cs="Times New Roman"/>
          <w:sz w:val="20"/>
          <w:szCs w:val="20"/>
        </w:rPr>
        <w:t>Absorbance</w:t>
      </w:r>
      <w:r w:rsidRPr="002076C1">
        <w:rPr>
          <w:rFonts w:ascii="Times New Roman" w:hAnsi="Times New Roman" w:cs="Times New Roman"/>
          <w:sz w:val="20"/>
          <w:szCs w:val="20"/>
          <w:vertAlign w:val="subscript"/>
        </w:rPr>
        <w:t>sample</w:t>
      </w:r>
      <w:proofErr w:type="spellEnd"/>
      <w:r w:rsidRPr="002076C1">
        <w:rPr>
          <w:rFonts w:ascii="Times New Roman" w:hAnsi="Times New Roman" w:cs="Times New Roman"/>
          <w:sz w:val="20"/>
          <w:szCs w:val="20"/>
        </w:rPr>
        <w:t xml:space="preserve"> X Standard concentration </w:t>
      </w:r>
    </w:p>
    <w:p w:rsidR="00DD44F0" w:rsidRPr="002076C1" w:rsidRDefault="00DD44F0"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                                                                        _______________________</w:t>
      </w:r>
    </w:p>
    <w:p w:rsidR="00DD44F0" w:rsidRPr="002076C1" w:rsidRDefault="00DD44F0" w:rsidP="002076C1">
      <w:pPr>
        <w:spacing w:after="0" w:line="360" w:lineRule="auto"/>
        <w:jc w:val="both"/>
        <w:rPr>
          <w:rFonts w:ascii="Times New Roman" w:hAnsi="Times New Roman" w:cs="Times New Roman"/>
          <w:sz w:val="20"/>
          <w:szCs w:val="20"/>
          <w:vertAlign w:val="subscript"/>
        </w:rPr>
      </w:pPr>
      <w:r w:rsidRPr="002076C1">
        <w:rPr>
          <w:rFonts w:ascii="Times New Roman" w:hAnsi="Times New Roman" w:cs="Times New Roman"/>
          <w:sz w:val="20"/>
          <w:szCs w:val="20"/>
        </w:rPr>
        <w:tab/>
      </w:r>
      <w:r w:rsidRPr="002076C1">
        <w:rPr>
          <w:rFonts w:ascii="Times New Roman" w:hAnsi="Times New Roman" w:cs="Times New Roman"/>
          <w:sz w:val="20"/>
          <w:szCs w:val="20"/>
        </w:rPr>
        <w:tab/>
      </w:r>
      <w:r w:rsidRPr="002076C1">
        <w:rPr>
          <w:rFonts w:ascii="Times New Roman" w:hAnsi="Times New Roman" w:cs="Times New Roman"/>
          <w:sz w:val="20"/>
          <w:szCs w:val="20"/>
        </w:rPr>
        <w:tab/>
      </w:r>
      <w:r w:rsidRPr="002076C1">
        <w:rPr>
          <w:rFonts w:ascii="Times New Roman" w:hAnsi="Times New Roman" w:cs="Times New Roman"/>
          <w:sz w:val="20"/>
          <w:szCs w:val="20"/>
        </w:rPr>
        <w:tab/>
      </w:r>
      <w:r w:rsidRPr="002076C1">
        <w:rPr>
          <w:rFonts w:ascii="Times New Roman" w:hAnsi="Times New Roman" w:cs="Times New Roman"/>
          <w:sz w:val="20"/>
          <w:szCs w:val="20"/>
        </w:rPr>
        <w:tab/>
      </w:r>
      <w:r w:rsidRPr="002076C1">
        <w:rPr>
          <w:rFonts w:ascii="Times New Roman" w:hAnsi="Times New Roman" w:cs="Times New Roman"/>
          <w:sz w:val="20"/>
          <w:szCs w:val="20"/>
        </w:rPr>
        <w:tab/>
        <w:t xml:space="preserve">         Absorbance</w:t>
      </w:r>
      <w:r w:rsidRPr="002076C1">
        <w:rPr>
          <w:rFonts w:ascii="Times New Roman" w:hAnsi="Times New Roman" w:cs="Times New Roman"/>
          <w:sz w:val="20"/>
          <w:szCs w:val="20"/>
          <w:vertAlign w:val="subscript"/>
        </w:rPr>
        <w:t xml:space="preserve"> standard</w:t>
      </w:r>
    </w:p>
    <w:p w:rsidR="00521A32" w:rsidRDefault="00521A32" w:rsidP="002076C1">
      <w:pPr>
        <w:spacing w:after="0" w:line="360" w:lineRule="auto"/>
        <w:jc w:val="both"/>
        <w:rPr>
          <w:rFonts w:ascii="Times New Roman" w:hAnsi="Times New Roman" w:cs="Times New Roman"/>
          <w:sz w:val="20"/>
          <w:szCs w:val="20"/>
          <w:vertAlign w:val="subscript"/>
        </w:rPr>
      </w:pP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All values were recorded in recording book.  The TC and HDL ratio was calculated. </w:t>
      </w:r>
      <w:r w:rsidRPr="002076C1">
        <w:rPr>
          <w:rFonts w:ascii="Times New Roman" w:hAnsi="Times New Roman" w:cs="Times New Roman"/>
          <w:spacing w:val="4"/>
          <w:kern w:val="16"/>
          <w:position w:val="4"/>
          <w:sz w:val="20"/>
          <w:szCs w:val="20"/>
        </w:rPr>
        <w:t>Data were analyzed using descriptive statistic</w:t>
      </w:r>
      <w:r w:rsidRPr="002076C1">
        <w:rPr>
          <w:rFonts w:ascii="Times New Roman" w:hAnsi="Times New Roman" w:cs="Times New Roman"/>
          <w:spacing w:val="4"/>
          <w:kern w:val="16"/>
          <w:position w:val="4"/>
          <w:sz w:val="20"/>
          <w:szCs w:val="20"/>
          <w:vertAlign w:val="subscript"/>
        </w:rPr>
        <w:t>.</w:t>
      </w:r>
    </w:p>
    <w:p w:rsidR="00EB6374" w:rsidRPr="002076C1" w:rsidRDefault="00EB6374"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Study procedure</w:t>
      </w:r>
    </w:p>
    <w:p w:rsidR="00EB6374" w:rsidRPr="002076C1" w:rsidRDefault="00EB6374" w:rsidP="002076C1">
      <w:pPr>
        <w:spacing w:after="0" w:line="360" w:lineRule="auto"/>
        <w:jc w:val="both"/>
        <w:rPr>
          <w:rFonts w:ascii="Times New Roman" w:hAnsi="Times New Roman" w:cs="Times New Roman"/>
          <w:b/>
          <w:sz w:val="20"/>
          <w:szCs w:val="20"/>
        </w:rPr>
      </w:pPr>
      <w:r w:rsidRPr="002076C1">
        <w:rPr>
          <w:rFonts w:ascii="Times New Roman" w:eastAsia="Times New Roman" w:hAnsi="Times New Roman" w:cs="Times New Roman"/>
          <w:sz w:val="20"/>
          <w:szCs w:val="20"/>
        </w:rPr>
        <w:t>The following definitions were utilized:</w:t>
      </w:r>
    </w:p>
    <w:p w:rsidR="00EB6374" w:rsidRPr="002076C1" w:rsidRDefault="00EB6374" w:rsidP="002076C1">
      <w:pPr>
        <w:spacing w:after="0" w:line="360" w:lineRule="auto"/>
        <w:jc w:val="both"/>
        <w:rPr>
          <w:rFonts w:ascii="Times New Roman" w:eastAsia="Times New Roman" w:hAnsi="Times New Roman" w:cs="Times New Roman"/>
          <w:sz w:val="20"/>
          <w:szCs w:val="20"/>
        </w:rPr>
      </w:pPr>
      <w:r w:rsidRPr="002076C1">
        <w:rPr>
          <w:rFonts w:ascii="Times New Roman" w:eastAsia="Times New Roman" w:hAnsi="Times New Roman" w:cs="Times New Roman"/>
          <w:sz w:val="20"/>
          <w:szCs w:val="20"/>
        </w:rPr>
        <w:t>BMI category</w:t>
      </w:r>
    </w:p>
    <w:p w:rsidR="00EB6374" w:rsidRPr="002076C1" w:rsidRDefault="00EB6374" w:rsidP="002076C1">
      <w:pPr>
        <w:numPr>
          <w:ilvl w:val="1"/>
          <w:numId w:val="2"/>
        </w:numPr>
        <w:spacing w:after="0" w:line="360" w:lineRule="auto"/>
        <w:jc w:val="both"/>
        <w:rPr>
          <w:rFonts w:ascii="Times New Roman" w:eastAsia="Times New Roman" w:hAnsi="Times New Roman" w:cs="Times New Roman"/>
          <w:sz w:val="20"/>
          <w:szCs w:val="20"/>
        </w:rPr>
      </w:pPr>
      <w:r w:rsidRPr="002076C1">
        <w:rPr>
          <w:rFonts w:ascii="Times New Roman" w:eastAsia="Times New Roman" w:hAnsi="Times New Roman" w:cs="Times New Roman"/>
          <w:sz w:val="20"/>
          <w:szCs w:val="20"/>
        </w:rPr>
        <w:t>Underweight: BMI &lt;18.5 kg/m</w:t>
      </w:r>
      <w:r w:rsidRPr="002076C1">
        <w:rPr>
          <w:rFonts w:ascii="Times New Roman" w:eastAsia="Times New Roman" w:hAnsi="Times New Roman" w:cs="Times New Roman"/>
          <w:sz w:val="20"/>
          <w:szCs w:val="20"/>
          <w:vertAlign w:val="superscript"/>
        </w:rPr>
        <w:t>2</w:t>
      </w:r>
    </w:p>
    <w:p w:rsidR="00EB6374" w:rsidRPr="002076C1" w:rsidRDefault="00EB6374" w:rsidP="002076C1">
      <w:pPr>
        <w:numPr>
          <w:ilvl w:val="1"/>
          <w:numId w:val="2"/>
        </w:numPr>
        <w:spacing w:after="0" w:line="360" w:lineRule="auto"/>
        <w:jc w:val="both"/>
        <w:rPr>
          <w:rFonts w:ascii="Times New Roman" w:eastAsia="Times New Roman" w:hAnsi="Times New Roman" w:cs="Times New Roman"/>
          <w:sz w:val="20"/>
          <w:szCs w:val="20"/>
        </w:rPr>
      </w:pPr>
      <w:r w:rsidRPr="002076C1">
        <w:rPr>
          <w:rFonts w:ascii="Times New Roman" w:eastAsia="Times New Roman" w:hAnsi="Times New Roman" w:cs="Times New Roman"/>
          <w:sz w:val="20"/>
          <w:szCs w:val="20"/>
        </w:rPr>
        <w:t>Normal weight: BMI 18.5-24.9 kg/m</w:t>
      </w:r>
      <w:r w:rsidRPr="002076C1">
        <w:rPr>
          <w:rFonts w:ascii="Times New Roman" w:eastAsia="Times New Roman" w:hAnsi="Times New Roman" w:cs="Times New Roman"/>
          <w:sz w:val="20"/>
          <w:szCs w:val="20"/>
          <w:vertAlign w:val="superscript"/>
        </w:rPr>
        <w:t>2</w:t>
      </w:r>
    </w:p>
    <w:p w:rsidR="00EB6374" w:rsidRPr="002076C1" w:rsidRDefault="00EB6374" w:rsidP="002076C1">
      <w:pPr>
        <w:numPr>
          <w:ilvl w:val="1"/>
          <w:numId w:val="2"/>
        </w:numPr>
        <w:spacing w:after="0" w:line="360" w:lineRule="auto"/>
        <w:jc w:val="both"/>
        <w:rPr>
          <w:rFonts w:ascii="Times New Roman" w:eastAsia="Times New Roman" w:hAnsi="Times New Roman" w:cs="Times New Roman"/>
          <w:sz w:val="20"/>
          <w:szCs w:val="20"/>
        </w:rPr>
      </w:pPr>
      <w:r w:rsidRPr="002076C1">
        <w:rPr>
          <w:rFonts w:ascii="Times New Roman" w:eastAsia="Times New Roman" w:hAnsi="Times New Roman" w:cs="Times New Roman"/>
          <w:sz w:val="20"/>
          <w:szCs w:val="20"/>
        </w:rPr>
        <w:t>Overweight: BMI 25.0-29.9 kg/m</w:t>
      </w:r>
      <w:r w:rsidRPr="002076C1">
        <w:rPr>
          <w:rFonts w:ascii="Times New Roman" w:eastAsia="Times New Roman" w:hAnsi="Times New Roman" w:cs="Times New Roman"/>
          <w:sz w:val="20"/>
          <w:szCs w:val="20"/>
          <w:vertAlign w:val="superscript"/>
        </w:rPr>
        <w:t>2</w:t>
      </w:r>
    </w:p>
    <w:p w:rsidR="00EB6374" w:rsidRPr="002076C1" w:rsidRDefault="00EB6374" w:rsidP="002076C1">
      <w:pPr>
        <w:numPr>
          <w:ilvl w:val="1"/>
          <w:numId w:val="2"/>
        </w:numPr>
        <w:spacing w:after="0" w:line="360" w:lineRule="auto"/>
        <w:jc w:val="both"/>
        <w:rPr>
          <w:rFonts w:ascii="Times New Roman" w:eastAsia="Times New Roman" w:hAnsi="Times New Roman" w:cs="Times New Roman"/>
          <w:sz w:val="20"/>
          <w:szCs w:val="20"/>
        </w:rPr>
      </w:pPr>
      <w:r w:rsidRPr="002076C1">
        <w:rPr>
          <w:rFonts w:ascii="Times New Roman" w:eastAsia="Times New Roman" w:hAnsi="Times New Roman" w:cs="Times New Roman"/>
          <w:sz w:val="20"/>
          <w:szCs w:val="20"/>
        </w:rPr>
        <w:t>Obesity: BMI ≥30 kg/m</w:t>
      </w:r>
      <w:r w:rsidRPr="002076C1">
        <w:rPr>
          <w:rFonts w:ascii="Times New Roman" w:eastAsia="Times New Roman" w:hAnsi="Times New Roman" w:cs="Times New Roman"/>
          <w:sz w:val="20"/>
          <w:szCs w:val="20"/>
          <w:vertAlign w:val="superscript"/>
        </w:rPr>
        <w:t>21</w:t>
      </w:r>
    </w:p>
    <w:p w:rsidR="002076C1" w:rsidRDefault="002076C1" w:rsidP="002076C1">
      <w:pPr>
        <w:pStyle w:val="NoSpacing"/>
        <w:spacing w:line="360" w:lineRule="auto"/>
        <w:jc w:val="both"/>
        <w:rPr>
          <w:rFonts w:ascii="Times New Roman" w:hAnsi="Times New Roman" w:cs="Times New Roman"/>
          <w:b/>
          <w:sz w:val="20"/>
          <w:szCs w:val="20"/>
        </w:rPr>
      </w:pPr>
    </w:p>
    <w:p w:rsidR="00EB6374" w:rsidRPr="002076C1" w:rsidRDefault="00EB6374" w:rsidP="002076C1">
      <w:pPr>
        <w:pStyle w:val="NoSpacing"/>
        <w:spacing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Ethical Approval and Informed Consent</w:t>
      </w:r>
    </w:p>
    <w:p w:rsidR="00EB6374" w:rsidRPr="002076C1" w:rsidRDefault="00EB6374" w:rsidP="002076C1">
      <w:pPr>
        <w:pStyle w:val="NoSpacing"/>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Ethical clearance for the study was obtained from the Health Research Ethics Committee (HREC) of </w:t>
      </w:r>
      <w:proofErr w:type="spellStart"/>
      <w:r w:rsidRPr="002076C1">
        <w:rPr>
          <w:rFonts w:ascii="Times New Roman" w:hAnsi="Times New Roman" w:cs="Times New Roman"/>
          <w:sz w:val="20"/>
          <w:szCs w:val="20"/>
        </w:rPr>
        <w:t>Olabisi</w:t>
      </w:r>
      <w:proofErr w:type="spellEnd"/>
      <w:r w:rsidRPr="002076C1">
        <w:rPr>
          <w:rFonts w:ascii="Times New Roman" w:hAnsi="Times New Roman" w:cs="Times New Roman"/>
          <w:sz w:val="20"/>
          <w:szCs w:val="20"/>
        </w:rPr>
        <w:t xml:space="preserve"> </w:t>
      </w:r>
      <w:proofErr w:type="spellStart"/>
      <w:r w:rsidRPr="002076C1">
        <w:rPr>
          <w:rFonts w:ascii="Times New Roman" w:hAnsi="Times New Roman" w:cs="Times New Roman"/>
          <w:sz w:val="20"/>
          <w:szCs w:val="20"/>
        </w:rPr>
        <w:t>Onabanjo</w:t>
      </w:r>
      <w:proofErr w:type="spellEnd"/>
      <w:r w:rsidRPr="002076C1">
        <w:rPr>
          <w:rFonts w:ascii="Times New Roman" w:hAnsi="Times New Roman" w:cs="Times New Roman"/>
          <w:sz w:val="20"/>
          <w:szCs w:val="20"/>
        </w:rPr>
        <w:t xml:space="preserve"> University Teaching Hospital (OOUTH)</w:t>
      </w:r>
      <w:proofErr w:type="gramStart"/>
      <w:r w:rsidRPr="002076C1">
        <w:rPr>
          <w:rFonts w:ascii="Times New Roman" w:hAnsi="Times New Roman" w:cs="Times New Roman"/>
          <w:sz w:val="20"/>
          <w:szCs w:val="20"/>
        </w:rPr>
        <w:t>,</w:t>
      </w:r>
      <w:proofErr w:type="gramEnd"/>
      <w:r w:rsidRPr="002076C1">
        <w:rPr>
          <w:rFonts w:ascii="Times New Roman" w:hAnsi="Times New Roman" w:cs="Times New Roman"/>
          <w:sz w:val="20"/>
          <w:szCs w:val="20"/>
        </w:rPr>
        <w:t xml:space="preserve"> </w:t>
      </w:r>
      <w:proofErr w:type="spellStart"/>
      <w:r w:rsidRPr="002076C1">
        <w:rPr>
          <w:rFonts w:ascii="Times New Roman" w:hAnsi="Times New Roman" w:cs="Times New Roman"/>
          <w:sz w:val="20"/>
          <w:szCs w:val="20"/>
        </w:rPr>
        <w:t>Sagamu</w:t>
      </w:r>
      <w:proofErr w:type="spellEnd"/>
      <w:r w:rsidRPr="002076C1">
        <w:rPr>
          <w:rFonts w:ascii="Times New Roman" w:hAnsi="Times New Roman" w:cs="Times New Roman"/>
          <w:sz w:val="20"/>
          <w:szCs w:val="20"/>
        </w:rPr>
        <w:t xml:space="preserve"> All participants (130) of this study signed an informed consent form, in accordance to the committee regulations, before answering the questionnaire and taking their anthropometric measurements. The use of </w:t>
      </w:r>
      <w:proofErr w:type="spellStart"/>
      <w:r w:rsidRPr="002076C1">
        <w:rPr>
          <w:rFonts w:ascii="Times New Roman" w:hAnsi="Times New Roman" w:cs="Times New Roman"/>
          <w:sz w:val="20"/>
          <w:szCs w:val="20"/>
        </w:rPr>
        <w:t>proforma</w:t>
      </w:r>
      <w:proofErr w:type="spellEnd"/>
      <w:r w:rsidRPr="002076C1">
        <w:rPr>
          <w:rFonts w:ascii="Times New Roman" w:hAnsi="Times New Roman" w:cs="Times New Roman"/>
          <w:sz w:val="20"/>
          <w:szCs w:val="20"/>
        </w:rPr>
        <w:t xml:space="preserve"> was adopted.</w:t>
      </w:r>
    </w:p>
    <w:p w:rsidR="00521A32" w:rsidRDefault="00521A32" w:rsidP="002076C1">
      <w:pPr>
        <w:spacing w:after="0" w:line="360" w:lineRule="auto"/>
        <w:jc w:val="both"/>
        <w:rPr>
          <w:rFonts w:ascii="Times New Roman" w:hAnsi="Times New Roman" w:cs="Times New Roman"/>
          <w:b/>
          <w:sz w:val="20"/>
          <w:szCs w:val="20"/>
        </w:rPr>
      </w:pPr>
    </w:p>
    <w:p w:rsidR="00521A32" w:rsidRDefault="00521A32" w:rsidP="002076C1">
      <w:pPr>
        <w:spacing w:after="0" w:line="360" w:lineRule="auto"/>
        <w:jc w:val="both"/>
        <w:rPr>
          <w:rFonts w:ascii="Times New Roman" w:hAnsi="Times New Roman" w:cs="Times New Roman"/>
          <w:b/>
          <w:sz w:val="20"/>
          <w:szCs w:val="20"/>
        </w:rPr>
      </w:pPr>
    </w:p>
    <w:p w:rsidR="00521A32"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b/>
          <w:sz w:val="20"/>
          <w:szCs w:val="20"/>
        </w:rPr>
        <w:t>Statistical analysis</w:t>
      </w:r>
      <w:r w:rsidRPr="002076C1">
        <w:rPr>
          <w:rFonts w:ascii="Times New Roman" w:hAnsi="Times New Roman" w:cs="Times New Roman"/>
          <w:sz w:val="20"/>
          <w:szCs w:val="20"/>
        </w:rPr>
        <w:t xml:space="preserve">: </w:t>
      </w: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 xml:space="preserve">Student t test was used to compare variability between male and female.  The data obtained was analyzed using the computer statistical </w:t>
      </w:r>
      <w:proofErr w:type="spellStart"/>
      <w:r w:rsidRPr="002076C1">
        <w:rPr>
          <w:rFonts w:ascii="Times New Roman" w:hAnsi="Times New Roman" w:cs="Times New Roman"/>
          <w:sz w:val="20"/>
          <w:szCs w:val="20"/>
        </w:rPr>
        <w:t>programme</w:t>
      </w:r>
      <w:proofErr w:type="spellEnd"/>
      <w:r w:rsidRPr="002076C1">
        <w:rPr>
          <w:rFonts w:ascii="Times New Roman" w:hAnsi="Times New Roman" w:cs="Times New Roman"/>
          <w:sz w:val="20"/>
          <w:szCs w:val="20"/>
        </w:rPr>
        <w:t xml:space="preserve"> package SPSS version 25.0 Probability value of </w:t>
      </w:r>
      <w:r w:rsidRPr="002076C1">
        <w:rPr>
          <w:rFonts w:ascii="Times New Roman" w:hAnsi="Times New Roman" w:cs="Times New Roman"/>
          <w:b/>
          <w:sz w:val="20"/>
          <w:szCs w:val="20"/>
        </w:rPr>
        <w:t>P</w:t>
      </w:r>
      <w:r w:rsidRPr="002076C1">
        <w:rPr>
          <w:rFonts w:ascii="Times New Roman" w:hAnsi="Times New Roman" w:cs="Times New Roman"/>
          <w:sz w:val="20"/>
          <w:szCs w:val="20"/>
        </w:rPr>
        <w:t xml:space="preserve"> less than 0.05 was considered statistically significant.</w:t>
      </w:r>
    </w:p>
    <w:p w:rsidR="00EB6374" w:rsidRPr="002076C1" w:rsidRDefault="00EB6374" w:rsidP="002076C1">
      <w:pPr>
        <w:spacing w:after="0"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Results</w:t>
      </w: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As shown in table 1, the age between 30 and 39 years constituted the highest group 62(47.7%). There were 33(50.8%) females and 29(40.0%) male teachers in the age group. Four</w:t>
      </w:r>
      <w:r w:rsidRPr="002076C1">
        <w:rPr>
          <w:rFonts w:ascii="Times New Roman" w:hAnsi="Times New Roman" w:cs="Times New Roman"/>
          <w:color w:val="FF0000"/>
          <w:sz w:val="20"/>
          <w:szCs w:val="20"/>
        </w:rPr>
        <w:t xml:space="preserve"> </w:t>
      </w:r>
      <w:r w:rsidRPr="002076C1">
        <w:rPr>
          <w:rFonts w:ascii="Times New Roman" w:hAnsi="Times New Roman" w:cs="Times New Roman"/>
          <w:sz w:val="20"/>
          <w:szCs w:val="20"/>
        </w:rPr>
        <w:t>(3.1%) of the study group were obese. Three</w:t>
      </w:r>
      <w:r w:rsidRPr="002076C1">
        <w:rPr>
          <w:rFonts w:ascii="Times New Roman" w:hAnsi="Times New Roman" w:cs="Times New Roman"/>
          <w:color w:val="FF0000"/>
          <w:sz w:val="20"/>
          <w:szCs w:val="20"/>
        </w:rPr>
        <w:t xml:space="preserve"> </w:t>
      </w:r>
      <w:r w:rsidRPr="002076C1">
        <w:rPr>
          <w:rFonts w:ascii="Times New Roman" w:hAnsi="Times New Roman" w:cs="Times New Roman"/>
          <w:sz w:val="20"/>
          <w:szCs w:val="20"/>
        </w:rPr>
        <w:t>(4.6%) female and 1(1.5%) male teachers were obese. 4(6.2%) female and 2(3.1%) male teachers were overweight. Underweight subjects constituted 2.3% (n=3) of the study group.</w:t>
      </w: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As shown in table 2, the average total cholesterol of 256.21mg/dl± 14.37 in female teachers was significantly different from  209.45mg/dl±15.70 in male teachers(p&lt;0.05).  The mean BMI of 19.35kg/m</w:t>
      </w:r>
      <w:r w:rsidRPr="002076C1">
        <w:rPr>
          <w:rFonts w:ascii="Times New Roman" w:hAnsi="Times New Roman" w:cs="Times New Roman"/>
          <w:sz w:val="20"/>
          <w:szCs w:val="20"/>
          <w:vertAlign w:val="superscript"/>
        </w:rPr>
        <w:t>2</w:t>
      </w:r>
      <w:r w:rsidRPr="002076C1">
        <w:rPr>
          <w:rFonts w:ascii="Times New Roman" w:hAnsi="Times New Roman" w:cs="Times New Roman"/>
          <w:sz w:val="20"/>
          <w:szCs w:val="20"/>
        </w:rPr>
        <w:t>±0.65 in male teachers was not significantly different from that of female teachers 20.15kg/m</w:t>
      </w:r>
      <w:r w:rsidRPr="002076C1">
        <w:rPr>
          <w:rFonts w:ascii="Times New Roman" w:hAnsi="Times New Roman" w:cs="Times New Roman"/>
          <w:sz w:val="20"/>
          <w:szCs w:val="20"/>
          <w:vertAlign w:val="superscript"/>
        </w:rPr>
        <w:t>2</w:t>
      </w:r>
      <w:r w:rsidRPr="002076C1">
        <w:rPr>
          <w:rFonts w:ascii="Times New Roman" w:hAnsi="Times New Roman" w:cs="Times New Roman"/>
          <w:sz w:val="20"/>
          <w:szCs w:val="20"/>
        </w:rPr>
        <w:t>±0.97.  The mean triglyceride (TG) was 154.78mg/dl±12.64 in male teachers and 139.72mg/dl±11.68 in female teachers. The mean low density lipoprotein (LDL) was 133.68mg/dl±14.82 in male teachers and 132.44mg/dl± 14.26 in female teachers. The TG and LDL were not significantly different in both sex groups.  The mean High Density Lipoprotein (HDL) was 64.32mg/dl±3.88 in female teachers which was higher than 54.33mg/dl±3.53 in male teachers. The HDL ratio was 4.02±0.30 in male and 3.84± 0.25 in female teachers. Both values were not significantly different.</w:t>
      </w:r>
    </w:p>
    <w:p w:rsidR="00EB6374" w:rsidRPr="002076C1" w:rsidRDefault="00EB6374" w:rsidP="002076C1">
      <w:pPr>
        <w:spacing w:after="0" w:line="360" w:lineRule="auto"/>
        <w:jc w:val="both"/>
        <w:rPr>
          <w:rFonts w:ascii="Times New Roman" w:hAnsi="Times New Roman" w:cs="Times New Roman"/>
          <w:sz w:val="20"/>
          <w:szCs w:val="20"/>
        </w:rPr>
      </w:pP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Table 1: Demographic characteristics of the study groups</w:t>
      </w:r>
    </w:p>
    <w:tbl>
      <w:tblPr>
        <w:tblStyle w:val="LightShading"/>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8"/>
        <w:gridCol w:w="1771"/>
        <w:gridCol w:w="1606"/>
        <w:gridCol w:w="1771"/>
        <w:gridCol w:w="1934"/>
      </w:tblGrid>
      <w:tr w:rsidR="00EB6374" w:rsidRPr="002076C1" w:rsidTr="00207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Variable</w:t>
            </w:r>
          </w:p>
        </w:tc>
        <w:tc>
          <w:tcPr>
            <w:tcW w:w="1771"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Categories</w:t>
            </w:r>
          </w:p>
        </w:tc>
        <w:tc>
          <w:tcPr>
            <w:tcW w:w="1606"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 xml:space="preserve">Total </w:t>
            </w:r>
          </w:p>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(n=130)</w:t>
            </w:r>
          </w:p>
        </w:tc>
        <w:tc>
          <w:tcPr>
            <w:tcW w:w="1771"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Male teachers (n=65)</w:t>
            </w:r>
          </w:p>
        </w:tc>
        <w:tc>
          <w:tcPr>
            <w:tcW w:w="1934"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Female teachers (n=65)</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Age(years)</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 xml:space="preserve">20-29 </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10 (7.7%)</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3 (4.6%)</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7 (10.8%)</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tcPr>
          <w:p w:rsidR="00EB6374" w:rsidRPr="002076C1" w:rsidRDefault="00EB6374" w:rsidP="002076C1">
            <w:pPr>
              <w:spacing w:line="360" w:lineRule="auto"/>
              <w:jc w:val="both"/>
              <w:rPr>
                <w:rFonts w:ascii="Times New Roman" w:hAnsi="Times New Roman" w:cs="Times New Roman"/>
                <w:sz w:val="20"/>
                <w:szCs w:val="20"/>
              </w:rPr>
            </w:pP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 xml:space="preserve">30-39 </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62 (47.7%)</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29 (44.6%)</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33 (50.8%)</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tcPr>
          <w:p w:rsidR="00EB6374" w:rsidRPr="002076C1" w:rsidRDefault="00EB6374" w:rsidP="002076C1">
            <w:pPr>
              <w:spacing w:line="360" w:lineRule="auto"/>
              <w:jc w:val="both"/>
              <w:rPr>
                <w:rFonts w:ascii="Times New Roman" w:hAnsi="Times New Roman" w:cs="Times New Roman"/>
                <w:sz w:val="20"/>
                <w:szCs w:val="20"/>
              </w:rPr>
            </w:pP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 xml:space="preserve">40-49 </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47 (36.1%)</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26 (40.0%)</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21 (32.3%)</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tcPr>
          <w:p w:rsidR="00EB6374" w:rsidRPr="002076C1" w:rsidRDefault="00EB6374" w:rsidP="002076C1">
            <w:pPr>
              <w:spacing w:line="360" w:lineRule="auto"/>
              <w:jc w:val="both"/>
              <w:rPr>
                <w:rFonts w:ascii="Times New Roman" w:hAnsi="Times New Roman" w:cs="Times New Roman"/>
                <w:sz w:val="20"/>
                <w:szCs w:val="20"/>
              </w:rPr>
            </w:pP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 xml:space="preserve">50-60 </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11 (8.5%)</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7 (10.8%)</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4 (6.1%)</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Gender</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Male</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65 (50.0%)</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65 (100.0%)</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tcPr>
          <w:p w:rsidR="00EB6374" w:rsidRPr="002076C1" w:rsidRDefault="00EB6374" w:rsidP="002076C1">
            <w:pPr>
              <w:spacing w:line="360" w:lineRule="auto"/>
              <w:jc w:val="both"/>
              <w:rPr>
                <w:rFonts w:ascii="Times New Roman" w:hAnsi="Times New Roman" w:cs="Times New Roman"/>
                <w:sz w:val="20"/>
                <w:szCs w:val="20"/>
              </w:rPr>
            </w:pP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Female</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65 (50.0%)</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65 (100.0%)</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BMI</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Underweight</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3 (2.3%)</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3 (4.6%)</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 (0.0%)</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tcPr>
          <w:p w:rsidR="00EB6374" w:rsidRPr="002076C1" w:rsidRDefault="00EB6374" w:rsidP="002076C1">
            <w:pPr>
              <w:spacing w:line="360" w:lineRule="auto"/>
              <w:jc w:val="both"/>
              <w:rPr>
                <w:rFonts w:ascii="Times New Roman" w:hAnsi="Times New Roman" w:cs="Times New Roman"/>
                <w:sz w:val="20"/>
                <w:szCs w:val="20"/>
              </w:rPr>
            </w:pP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Normal weight</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117 (90.0%)</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59 (90.8%)</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58 (89.2%)</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tcPr>
          <w:p w:rsidR="00EB6374" w:rsidRPr="002076C1" w:rsidRDefault="00EB6374" w:rsidP="002076C1">
            <w:pPr>
              <w:spacing w:line="360" w:lineRule="auto"/>
              <w:jc w:val="both"/>
              <w:rPr>
                <w:rFonts w:ascii="Times New Roman" w:hAnsi="Times New Roman" w:cs="Times New Roman"/>
                <w:sz w:val="20"/>
                <w:szCs w:val="20"/>
              </w:rPr>
            </w:pP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Overweight</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6 (4.6%)</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 (3.1%)</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4 (6.2%)</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188" w:type="dxa"/>
          </w:tcPr>
          <w:p w:rsidR="00EB6374" w:rsidRPr="002076C1" w:rsidRDefault="00EB6374" w:rsidP="002076C1">
            <w:pPr>
              <w:spacing w:line="360" w:lineRule="auto"/>
              <w:jc w:val="both"/>
              <w:rPr>
                <w:rFonts w:ascii="Times New Roman" w:hAnsi="Times New Roman" w:cs="Times New Roman"/>
                <w:sz w:val="20"/>
                <w:szCs w:val="20"/>
              </w:rPr>
            </w:pP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Obese</w:t>
            </w:r>
          </w:p>
        </w:tc>
        <w:tc>
          <w:tcPr>
            <w:tcW w:w="1606"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4 (3.1%)</w:t>
            </w:r>
          </w:p>
        </w:tc>
        <w:tc>
          <w:tcPr>
            <w:tcW w:w="1771"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 (1.5%)</w:t>
            </w:r>
          </w:p>
        </w:tc>
        <w:tc>
          <w:tcPr>
            <w:tcW w:w="1934"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3 (4.6%)</w:t>
            </w:r>
          </w:p>
        </w:tc>
      </w:tr>
    </w:tbl>
    <w:p w:rsidR="00EB6374" w:rsidRPr="002076C1" w:rsidRDefault="00EB6374" w:rsidP="002076C1">
      <w:pPr>
        <w:spacing w:after="0" w:line="360" w:lineRule="auto"/>
        <w:jc w:val="both"/>
        <w:rPr>
          <w:rFonts w:ascii="Times New Roman" w:hAnsi="Times New Roman" w:cs="Times New Roman"/>
          <w:sz w:val="20"/>
          <w:szCs w:val="20"/>
        </w:rPr>
      </w:pPr>
    </w:p>
    <w:p w:rsidR="00EB6374" w:rsidRDefault="00EB6374" w:rsidP="002076C1">
      <w:pPr>
        <w:spacing w:after="0" w:line="360" w:lineRule="auto"/>
        <w:jc w:val="both"/>
        <w:rPr>
          <w:rFonts w:ascii="Times New Roman" w:hAnsi="Times New Roman" w:cs="Times New Roman"/>
          <w:sz w:val="20"/>
          <w:szCs w:val="20"/>
        </w:rPr>
      </w:pPr>
    </w:p>
    <w:p w:rsidR="00521A32" w:rsidRDefault="00521A32" w:rsidP="002076C1">
      <w:pPr>
        <w:spacing w:after="0" w:line="360" w:lineRule="auto"/>
        <w:jc w:val="both"/>
        <w:rPr>
          <w:rFonts w:ascii="Times New Roman" w:hAnsi="Times New Roman" w:cs="Times New Roman"/>
          <w:sz w:val="20"/>
          <w:szCs w:val="20"/>
        </w:rPr>
      </w:pPr>
    </w:p>
    <w:p w:rsidR="00521A32" w:rsidRDefault="00521A32" w:rsidP="002076C1">
      <w:pPr>
        <w:spacing w:after="0" w:line="360" w:lineRule="auto"/>
        <w:jc w:val="both"/>
        <w:rPr>
          <w:rFonts w:ascii="Times New Roman" w:hAnsi="Times New Roman" w:cs="Times New Roman"/>
          <w:sz w:val="20"/>
          <w:szCs w:val="20"/>
        </w:rPr>
      </w:pPr>
    </w:p>
    <w:p w:rsidR="00521A32" w:rsidRDefault="00521A32" w:rsidP="002076C1">
      <w:pPr>
        <w:spacing w:after="0" w:line="360" w:lineRule="auto"/>
        <w:jc w:val="both"/>
        <w:rPr>
          <w:rFonts w:ascii="Times New Roman" w:hAnsi="Times New Roman" w:cs="Times New Roman"/>
          <w:sz w:val="20"/>
          <w:szCs w:val="20"/>
        </w:rPr>
      </w:pPr>
    </w:p>
    <w:p w:rsidR="00521A32" w:rsidRDefault="00521A32" w:rsidP="002076C1">
      <w:pPr>
        <w:spacing w:after="0" w:line="360" w:lineRule="auto"/>
        <w:jc w:val="both"/>
        <w:rPr>
          <w:rFonts w:ascii="Times New Roman" w:hAnsi="Times New Roman" w:cs="Times New Roman"/>
          <w:sz w:val="20"/>
          <w:szCs w:val="20"/>
        </w:rPr>
      </w:pPr>
    </w:p>
    <w:p w:rsidR="00521A32" w:rsidRPr="002076C1" w:rsidRDefault="00521A32" w:rsidP="002076C1">
      <w:pPr>
        <w:spacing w:after="0" w:line="360" w:lineRule="auto"/>
        <w:jc w:val="both"/>
        <w:rPr>
          <w:rFonts w:ascii="Times New Roman" w:hAnsi="Times New Roman" w:cs="Times New Roman"/>
          <w:sz w:val="20"/>
          <w:szCs w:val="20"/>
        </w:rPr>
      </w:pP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Table 2: Lipid Profile of the study group</w:t>
      </w:r>
    </w:p>
    <w:tbl>
      <w:tblPr>
        <w:tblStyle w:val="LightShading"/>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71"/>
        <w:gridCol w:w="2027"/>
        <w:gridCol w:w="1980"/>
        <w:gridCol w:w="1260"/>
        <w:gridCol w:w="1440"/>
      </w:tblGrid>
      <w:tr w:rsidR="00EB6374" w:rsidRPr="002076C1" w:rsidTr="00207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Variable</w:t>
            </w:r>
          </w:p>
        </w:tc>
        <w:tc>
          <w:tcPr>
            <w:tcW w:w="2027"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Male Teachers</w:t>
            </w:r>
          </w:p>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(n=65)</w:t>
            </w:r>
          </w:p>
        </w:tc>
        <w:tc>
          <w:tcPr>
            <w:tcW w:w="1980"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Female Teachers</w:t>
            </w:r>
          </w:p>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(n=65)</w:t>
            </w:r>
          </w:p>
        </w:tc>
        <w:tc>
          <w:tcPr>
            <w:tcW w:w="1260"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T</w:t>
            </w:r>
          </w:p>
        </w:tc>
        <w:tc>
          <w:tcPr>
            <w:tcW w:w="1440" w:type="dxa"/>
            <w:tcBorders>
              <w:top w:val="none" w:sz="0" w:space="0" w:color="auto"/>
              <w:left w:val="none" w:sz="0" w:space="0" w:color="auto"/>
              <w:bottom w:val="none" w:sz="0" w:space="0" w:color="auto"/>
              <w:right w:val="none" w:sz="0" w:space="0" w:color="auto"/>
            </w:tcBorders>
            <w:hideMark/>
          </w:tcPr>
          <w:p w:rsidR="00EB6374" w:rsidRPr="002076C1" w:rsidRDefault="00EB6374" w:rsidP="002076C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P</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771"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Age (years)</w:t>
            </w:r>
          </w:p>
        </w:tc>
        <w:tc>
          <w:tcPr>
            <w:tcW w:w="2027"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41.47±6.42</w:t>
            </w:r>
          </w:p>
        </w:tc>
        <w:tc>
          <w:tcPr>
            <w:tcW w:w="198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40.09±8.86</w:t>
            </w:r>
          </w:p>
        </w:tc>
        <w:tc>
          <w:tcPr>
            <w:tcW w:w="126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0.1261</w:t>
            </w:r>
          </w:p>
        </w:tc>
        <w:tc>
          <w:tcPr>
            <w:tcW w:w="144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0.899</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771"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BMI</w:t>
            </w:r>
          </w:p>
        </w:tc>
        <w:tc>
          <w:tcPr>
            <w:tcW w:w="2027"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19.35±0.65</w:t>
            </w:r>
          </w:p>
        </w:tc>
        <w:tc>
          <w:tcPr>
            <w:tcW w:w="198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20.15±0.97</w:t>
            </w:r>
          </w:p>
        </w:tc>
        <w:tc>
          <w:tcPr>
            <w:tcW w:w="126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0.6851</w:t>
            </w:r>
          </w:p>
        </w:tc>
        <w:tc>
          <w:tcPr>
            <w:tcW w:w="144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0.495</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771"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TG (mg/dl)</w:t>
            </w:r>
          </w:p>
        </w:tc>
        <w:tc>
          <w:tcPr>
            <w:tcW w:w="2027"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154.78±12.64</w:t>
            </w:r>
          </w:p>
        </w:tc>
        <w:tc>
          <w:tcPr>
            <w:tcW w:w="198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139.72±11.68</w:t>
            </w:r>
          </w:p>
        </w:tc>
        <w:tc>
          <w:tcPr>
            <w:tcW w:w="126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0.8751</w:t>
            </w:r>
          </w:p>
        </w:tc>
        <w:tc>
          <w:tcPr>
            <w:tcW w:w="144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0.383</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771"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LDL (mg/dl)</w:t>
            </w:r>
          </w:p>
        </w:tc>
        <w:tc>
          <w:tcPr>
            <w:tcW w:w="2027"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133.68±14.82</w:t>
            </w:r>
          </w:p>
        </w:tc>
        <w:tc>
          <w:tcPr>
            <w:tcW w:w="198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132.44±14.26</w:t>
            </w:r>
          </w:p>
        </w:tc>
        <w:tc>
          <w:tcPr>
            <w:tcW w:w="126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0.0603</w:t>
            </w:r>
          </w:p>
        </w:tc>
        <w:tc>
          <w:tcPr>
            <w:tcW w:w="144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0.952</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771"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TC (mg/dl)</w:t>
            </w:r>
          </w:p>
        </w:tc>
        <w:tc>
          <w:tcPr>
            <w:tcW w:w="2027"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209.45±15.70</w:t>
            </w:r>
          </w:p>
        </w:tc>
        <w:tc>
          <w:tcPr>
            <w:tcW w:w="198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256.21±14.37</w:t>
            </w:r>
          </w:p>
        </w:tc>
        <w:tc>
          <w:tcPr>
            <w:tcW w:w="126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2.1679</w:t>
            </w:r>
          </w:p>
        </w:tc>
        <w:tc>
          <w:tcPr>
            <w:tcW w:w="144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0.032*</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771"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HDL (mg/dl)</w:t>
            </w:r>
          </w:p>
        </w:tc>
        <w:tc>
          <w:tcPr>
            <w:tcW w:w="2027"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54.33±3.53</w:t>
            </w:r>
          </w:p>
        </w:tc>
        <w:tc>
          <w:tcPr>
            <w:tcW w:w="198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64.32±3.88</w:t>
            </w:r>
          </w:p>
        </w:tc>
        <w:tc>
          <w:tcPr>
            <w:tcW w:w="126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1.9045</w:t>
            </w:r>
          </w:p>
        </w:tc>
        <w:tc>
          <w:tcPr>
            <w:tcW w:w="144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0.060</w:t>
            </w:r>
          </w:p>
        </w:tc>
      </w:tr>
      <w:tr w:rsidR="00EB6374" w:rsidRPr="002076C1" w:rsidTr="002076C1">
        <w:tc>
          <w:tcPr>
            <w:cnfStyle w:val="001000000000" w:firstRow="0" w:lastRow="0" w:firstColumn="1" w:lastColumn="0" w:oddVBand="0" w:evenVBand="0" w:oddHBand="0" w:evenHBand="0" w:firstRowFirstColumn="0" w:firstRowLastColumn="0" w:lastRowFirstColumn="0" w:lastRowLastColumn="0"/>
            <w:tcW w:w="1771" w:type="dxa"/>
            <w:hideMark/>
          </w:tcPr>
          <w:p w:rsidR="00EB6374" w:rsidRPr="002076C1" w:rsidRDefault="00EB6374" w:rsidP="002076C1">
            <w:pPr>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TC/HDL</w:t>
            </w:r>
          </w:p>
        </w:tc>
        <w:tc>
          <w:tcPr>
            <w:tcW w:w="2027"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4.02±0.30</w:t>
            </w:r>
          </w:p>
        </w:tc>
        <w:tc>
          <w:tcPr>
            <w:tcW w:w="198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3.84±0.25</w:t>
            </w:r>
          </w:p>
        </w:tc>
        <w:tc>
          <w:tcPr>
            <w:tcW w:w="126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0.4609</w:t>
            </w:r>
          </w:p>
        </w:tc>
        <w:tc>
          <w:tcPr>
            <w:tcW w:w="1440" w:type="dxa"/>
            <w:hideMark/>
          </w:tcPr>
          <w:p w:rsidR="00EB6374" w:rsidRPr="002076C1" w:rsidRDefault="00EB6374" w:rsidP="002076C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76C1">
              <w:rPr>
                <w:rFonts w:ascii="Times New Roman" w:hAnsi="Times New Roman" w:cs="Times New Roman"/>
                <w:sz w:val="20"/>
                <w:szCs w:val="20"/>
              </w:rPr>
              <w:t>0.646</w:t>
            </w:r>
          </w:p>
        </w:tc>
      </w:tr>
    </w:tbl>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sz w:val="20"/>
          <w:szCs w:val="20"/>
        </w:rPr>
        <w:t>*Significant at p&lt;0.05</w:t>
      </w:r>
    </w:p>
    <w:p w:rsidR="00521A32" w:rsidRDefault="00521A32" w:rsidP="002076C1">
      <w:pPr>
        <w:spacing w:after="0" w:line="360" w:lineRule="auto"/>
        <w:jc w:val="both"/>
        <w:rPr>
          <w:rFonts w:ascii="Times New Roman" w:hAnsi="Times New Roman" w:cs="Times New Roman"/>
          <w:b/>
          <w:color w:val="1C1D1E"/>
          <w:sz w:val="20"/>
          <w:szCs w:val="20"/>
        </w:rPr>
      </w:pPr>
    </w:p>
    <w:p w:rsidR="00521A32" w:rsidRDefault="00521A32" w:rsidP="002076C1">
      <w:pPr>
        <w:spacing w:after="0" w:line="360" w:lineRule="auto"/>
        <w:jc w:val="both"/>
        <w:rPr>
          <w:rFonts w:ascii="Times New Roman" w:hAnsi="Times New Roman" w:cs="Times New Roman"/>
          <w:b/>
          <w:color w:val="1C1D1E"/>
          <w:sz w:val="20"/>
          <w:szCs w:val="20"/>
        </w:rPr>
      </w:pPr>
    </w:p>
    <w:p w:rsidR="00EB6374" w:rsidRPr="002076C1" w:rsidRDefault="00EB6374" w:rsidP="002076C1">
      <w:pPr>
        <w:spacing w:after="0" w:line="360" w:lineRule="auto"/>
        <w:jc w:val="both"/>
        <w:rPr>
          <w:rFonts w:ascii="Times New Roman" w:hAnsi="Times New Roman" w:cs="Times New Roman"/>
          <w:sz w:val="20"/>
          <w:szCs w:val="20"/>
        </w:rPr>
      </w:pPr>
      <w:r w:rsidRPr="002076C1">
        <w:rPr>
          <w:rFonts w:ascii="Times New Roman" w:hAnsi="Times New Roman" w:cs="Times New Roman"/>
          <w:b/>
          <w:color w:val="1C1D1E"/>
          <w:sz w:val="20"/>
          <w:szCs w:val="20"/>
        </w:rPr>
        <w:t>Discussions</w:t>
      </w:r>
    </w:p>
    <w:p w:rsidR="00EB6374" w:rsidRPr="002076C1" w:rsidRDefault="00EB6374" w:rsidP="002076C1">
      <w:pPr>
        <w:pStyle w:val="NormalWeb"/>
        <w:shd w:val="clear" w:color="auto" w:fill="FFFFFF"/>
        <w:spacing w:before="0" w:beforeAutospacing="0" w:after="0" w:afterAutospacing="0" w:line="360" w:lineRule="auto"/>
        <w:jc w:val="both"/>
        <w:rPr>
          <w:b/>
          <w:color w:val="1C1D1E"/>
          <w:sz w:val="20"/>
          <w:szCs w:val="20"/>
        </w:rPr>
      </w:pPr>
      <w:r w:rsidRPr="002076C1">
        <w:rPr>
          <w:sz w:val="20"/>
          <w:szCs w:val="20"/>
        </w:rPr>
        <w:t xml:space="preserve">In this study, the effect of Gender on lipid profile was investigated. HDL-C level was also associated with age. The result obtained from this research showed that HDL-C, Total Cholesterol, were higher in females than in males. Compared to several researches has shown that lipid profile distribution differed by ethnicity and gender (Kim </w:t>
      </w:r>
      <w:r w:rsidRPr="002076C1">
        <w:rPr>
          <w:i/>
          <w:sz w:val="20"/>
          <w:szCs w:val="20"/>
        </w:rPr>
        <w:t>et al</w:t>
      </w:r>
      <w:r w:rsidRPr="002076C1">
        <w:rPr>
          <w:sz w:val="20"/>
          <w:szCs w:val="20"/>
        </w:rPr>
        <w:t>., 2011)</w:t>
      </w:r>
      <w:r w:rsidRPr="002076C1">
        <w:rPr>
          <w:b/>
          <w:sz w:val="20"/>
          <w:szCs w:val="20"/>
          <w:vertAlign w:val="superscript"/>
        </w:rPr>
        <w:t>8</w:t>
      </w:r>
      <w:r w:rsidRPr="002076C1">
        <w:rPr>
          <w:sz w:val="20"/>
          <w:szCs w:val="20"/>
        </w:rPr>
        <w:t xml:space="preserve">. Davis </w:t>
      </w:r>
      <w:r w:rsidRPr="002076C1">
        <w:rPr>
          <w:i/>
          <w:sz w:val="20"/>
          <w:szCs w:val="20"/>
        </w:rPr>
        <w:t>et a</w:t>
      </w:r>
      <w:r w:rsidRPr="002076C1">
        <w:rPr>
          <w:sz w:val="20"/>
          <w:szCs w:val="20"/>
        </w:rPr>
        <w:t>l (1996)</w:t>
      </w:r>
      <w:r w:rsidRPr="002076C1">
        <w:rPr>
          <w:b/>
          <w:sz w:val="20"/>
          <w:szCs w:val="20"/>
          <w:vertAlign w:val="superscript"/>
        </w:rPr>
        <w:t>9</w:t>
      </w:r>
      <w:r w:rsidRPr="002076C1">
        <w:rPr>
          <w:sz w:val="20"/>
          <w:szCs w:val="20"/>
        </w:rPr>
        <w:t xml:space="preserve"> assessed the sex difference in HDL-C level of six countries and showed that women had higher HDL-C level than men; the difference was the highest in Canada and USA as high as 15.5 mg/</w:t>
      </w:r>
      <w:proofErr w:type="spellStart"/>
      <w:r w:rsidRPr="002076C1">
        <w:rPr>
          <w:sz w:val="20"/>
          <w:szCs w:val="20"/>
        </w:rPr>
        <w:t>dL</w:t>
      </w:r>
      <w:proofErr w:type="spellEnd"/>
      <w:r w:rsidRPr="002076C1">
        <w:rPr>
          <w:sz w:val="20"/>
          <w:szCs w:val="20"/>
        </w:rPr>
        <w:t>, and the lowest in China at as low as 2.3 mg/</w:t>
      </w:r>
      <w:proofErr w:type="spellStart"/>
      <w:r w:rsidRPr="002076C1">
        <w:rPr>
          <w:sz w:val="20"/>
          <w:szCs w:val="20"/>
        </w:rPr>
        <w:t>dL</w:t>
      </w:r>
      <w:proofErr w:type="spellEnd"/>
      <w:r w:rsidRPr="002076C1">
        <w:rPr>
          <w:sz w:val="20"/>
          <w:szCs w:val="20"/>
        </w:rPr>
        <w:t xml:space="preserve">. </w:t>
      </w:r>
      <w:proofErr w:type="spellStart"/>
      <w:r w:rsidRPr="002076C1">
        <w:rPr>
          <w:sz w:val="20"/>
          <w:szCs w:val="20"/>
        </w:rPr>
        <w:t>Kesteloot</w:t>
      </w:r>
      <w:proofErr w:type="spellEnd"/>
      <w:r w:rsidRPr="002076C1">
        <w:rPr>
          <w:sz w:val="20"/>
          <w:szCs w:val="20"/>
        </w:rPr>
        <w:t xml:space="preserve"> </w:t>
      </w:r>
      <w:r w:rsidRPr="002076C1">
        <w:rPr>
          <w:i/>
          <w:sz w:val="20"/>
          <w:szCs w:val="20"/>
        </w:rPr>
        <w:t>et al</w:t>
      </w:r>
      <w:r w:rsidRPr="002076C1">
        <w:rPr>
          <w:sz w:val="20"/>
          <w:szCs w:val="20"/>
        </w:rPr>
        <w:t>., (2006)</w:t>
      </w:r>
      <w:r w:rsidRPr="002076C1">
        <w:rPr>
          <w:b/>
          <w:sz w:val="20"/>
          <w:szCs w:val="20"/>
          <w:vertAlign w:val="superscript"/>
        </w:rPr>
        <w:t>10</w:t>
      </w:r>
      <w:r w:rsidRPr="002076C1">
        <w:rPr>
          <w:sz w:val="20"/>
          <w:szCs w:val="20"/>
        </w:rPr>
        <w:t xml:space="preserve"> also demonstrated that gender difference was higher in Belgium as compared to China, confirming previous findings. This result was also similar to the difference in China but far less than those expected in USA or Europe.</w:t>
      </w:r>
    </w:p>
    <w:p w:rsidR="00EB6374" w:rsidRPr="002076C1" w:rsidRDefault="00EB6374" w:rsidP="002076C1">
      <w:pPr>
        <w:pStyle w:val="NoSpacing"/>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The higher HDL-C level in women partly explained the lower mortality from cardiovascular disease in women. Furthermore, countries with lower gender difference in HDL-C level have a lower cardiovascular mortality and a lower gender difference in mortality</w:t>
      </w:r>
      <w:r w:rsidRPr="002076C1">
        <w:rPr>
          <w:rFonts w:ascii="Times New Roman" w:hAnsi="Times New Roman" w:cs="Times New Roman"/>
          <w:b/>
          <w:sz w:val="20"/>
          <w:szCs w:val="20"/>
          <w:vertAlign w:val="superscript"/>
        </w:rPr>
        <w:t>11</w:t>
      </w:r>
      <w:r w:rsidRPr="002076C1">
        <w:rPr>
          <w:rFonts w:ascii="Times New Roman" w:hAnsi="Times New Roman" w:cs="Times New Roman"/>
          <w:sz w:val="20"/>
          <w:szCs w:val="20"/>
        </w:rPr>
        <w:t>.</w:t>
      </w:r>
    </w:p>
    <w:p w:rsidR="00EB6374" w:rsidRPr="002076C1" w:rsidRDefault="00EB6374" w:rsidP="002076C1">
      <w:pPr>
        <w:pStyle w:val="NoSpacing"/>
        <w:spacing w:line="360" w:lineRule="auto"/>
        <w:jc w:val="both"/>
        <w:rPr>
          <w:rFonts w:ascii="Times New Roman" w:hAnsi="Times New Roman" w:cs="Times New Roman"/>
          <w:sz w:val="20"/>
          <w:szCs w:val="20"/>
        </w:rPr>
      </w:pPr>
      <w:proofErr w:type="spellStart"/>
      <w:r w:rsidRPr="002076C1">
        <w:rPr>
          <w:rFonts w:ascii="Times New Roman" w:hAnsi="Times New Roman" w:cs="Times New Roman"/>
          <w:sz w:val="20"/>
          <w:szCs w:val="20"/>
        </w:rPr>
        <w:t>Mascitelli</w:t>
      </w:r>
      <w:proofErr w:type="spellEnd"/>
      <w:r w:rsidRPr="002076C1">
        <w:rPr>
          <w:rFonts w:ascii="Times New Roman" w:hAnsi="Times New Roman" w:cs="Times New Roman"/>
          <w:sz w:val="20"/>
          <w:szCs w:val="20"/>
        </w:rPr>
        <w:t xml:space="preserve"> and </w:t>
      </w:r>
      <w:proofErr w:type="spellStart"/>
      <w:r w:rsidRPr="002076C1">
        <w:rPr>
          <w:rFonts w:ascii="Times New Roman" w:hAnsi="Times New Roman" w:cs="Times New Roman"/>
          <w:sz w:val="20"/>
          <w:szCs w:val="20"/>
        </w:rPr>
        <w:t>Pezzett</w:t>
      </w:r>
      <w:proofErr w:type="spellEnd"/>
      <w:r w:rsidRPr="002076C1">
        <w:rPr>
          <w:rFonts w:ascii="Times New Roman" w:hAnsi="Times New Roman" w:cs="Times New Roman"/>
          <w:sz w:val="20"/>
          <w:szCs w:val="20"/>
        </w:rPr>
        <w:t>, (2006)</w:t>
      </w:r>
      <w:r w:rsidRPr="002076C1">
        <w:rPr>
          <w:rFonts w:ascii="Times New Roman" w:hAnsi="Times New Roman" w:cs="Times New Roman"/>
          <w:b/>
          <w:sz w:val="20"/>
          <w:szCs w:val="20"/>
          <w:vertAlign w:val="superscript"/>
        </w:rPr>
        <w:t>12</w:t>
      </w:r>
      <w:r w:rsidRPr="002076C1">
        <w:rPr>
          <w:rFonts w:ascii="Times New Roman" w:hAnsi="Times New Roman" w:cs="Times New Roman"/>
          <w:sz w:val="20"/>
          <w:szCs w:val="20"/>
        </w:rPr>
        <w:t xml:space="preserve"> suggested that the same level of HDL-.C in men would not only reduce the gender differences in cardiovascular mortality, but also lower the overall mortality. Gender difference in HDL-C is partly explained by estrogen. Estrogen is known to reduce the metabolic activity of macrophage by lipid accumulation, while testosterone promotes it</w:t>
      </w:r>
      <w:r w:rsidRPr="002076C1">
        <w:rPr>
          <w:rFonts w:ascii="Times New Roman" w:hAnsi="Times New Roman" w:cs="Times New Roman"/>
          <w:b/>
          <w:sz w:val="20"/>
          <w:szCs w:val="20"/>
          <w:vertAlign w:val="superscript"/>
        </w:rPr>
        <w:t>11</w:t>
      </w:r>
      <w:r w:rsidRPr="002076C1">
        <w:rPr>
          <w:rFonts w:ascii="Times New Roman" w:hAnsi="Times New Roman" w:cs="Times New Roman"/>
          <w:sz w:val="20"/>
          <w:szCs w:val="20"/>
        </w:rPr>
        <w:t xml:space="preserve">. In this study, Total cholesterol, Triglyceride and Total-Cholesterol/HDL Ratio were higher in male when compared to female teacher subjects. </w:t>
      </w:r>
      <w:r w:rsidRPr="002076C1">
        <w:rPr>
          <w:rFonts w:ascii="Times New Roman" w:eastAsia="Times New Roman" w:hAnsi="Times New Roman" w:cs="Times New Roman"/>
          <w:color w:val="2A2A2A"/>
          <w:sz w:val="20"/>
          <w:szCs w:val="20"/>
        </w:rPr>
        <w:t xml:space="preserve">On average, women develop heart disease some 10–15 years later than men. This raises the question of whether there is some aspect of ‘femaleness’ which reduces risk, or whether there is some aspect of ‘maleness’ that raises risk. To date, most attention has been focused on the hypothesis that endogenous estrogen is </w:t>
      </w:r>
      <w:proofErr w:type="spellStart"/>
      <w:r w:rsidRPr="002076C1">
        <w:rPr>
          <w:rFonts w:ascii="Times New Roman" w:eastAsia="Times New Roman" w:hAnsi="Times New Roman" w:cs="Times New Roman"/>
          <w:color w:val="2A2A2A"/>
          <w:sz w:val="20"/>
          <w:szCs w:val="20"/>
        </w:rPr>
        <w:t>cardioprotective</w:t>
      </w:r>
      <w:proofErr w:type="spellEnd"/>
      <w:r w:rsidRPr="002076C1">
        <w:rPr>
          <w:rFonts w:ascii="Times New Roman" w:eastAsia="Times New Roman" w:hAnsi="Times New Roman" w:cs="Times New Roman"/>
          <w:color w:val="2A2A2A"/>
          <w:sz w:val="20"/>
          <w:szCs w:val="20"/>
        </w:rPr>
        <w:t xml:space="preserve"> in women </w:t>
      </w:r>
      <w:r w:rsidRPr="002076C1">
        <w:rPr>
          <w:rFonts w:ascii="Times New Roman" w:eastAsia="Times New Roman" w:hAnsi="Times New Roman" w:cs="Times New Roman"/>
          <w:b/>
          <w:color w:val="2A2A2A"/>
          <w:sz w:val="20"/>
          <w:szCs w:val="20"/>
          <w:vertAlign w:val="superscript"/>
        </w:rPr>
        <w:t>13</w:t>
      </w:r>
      <w:r w:rsidRPr="002076C1">
        <w:rPr>
          <w:rFonts w:ascii="Times New Roman" w:eastAsia="Times New Roman" w:hAnsi="Times New Roman" w:cs="Times New Roman"/>
          <w:color w:val="2A2A2A"/>
          <w:sz w:val="20"/>
          <w:szCs w:val="20"/>
        </w:rPr>
        <w:t xml:space="preserve">. Rising rates of coronary heart disease (CHD) after the menopause, and after oophorectomy, are among the strands of evidence in humans that endogenous </w:t>
      </w:r>
      <w:r w:rsidRPr="002076C1">
        <w:rPr>
          <w:rFonts w:ascii="Times New Roman" w:eastAsia="Times New Roman" w:hAnsi="Times New Roman" w:cs="Times New Roman"/>
          <w:color w:val="2A2A2A"/>
          <w:sz w:val="20"/>
          <w:szCs w:val="20"/>
        </w:rPr>
        <w:lastRenderedPageBreak/>
        <w:t>estrogen may prevent CHD </w:t>
      </w:r>
      <w:r w:rsidRPr="002076C1">
        <w:rPr>
          <w:rFonts w:ascii="Times New Roman" w:eastAsia="Times New Roman" w:hAnsi="Times New Roman" w:cs="Times New Roman"/>
          <w:b/>
          <w:color w:val="2A2A2A"/>
          <w:sz w:val="20"/>
          <w:szCs w:val="20"/>
          <w:vertAlign w:val="superscript"/>
        </w:rPr>
        <w:t>14</w:t>
      </w:r>
      <w:r w:rsidRPr="002076C1">
        <w:rPr>
          <w:rFonts w:ascii="Times New Roman" w:eastAsia="Times New Roman" w:hAnsi="Times New Roman" w:cs="Times New Roman"/>
          <w:color w:val="2A2A2A"/>
          <w:sz w:val="20"/>
          <w:szCs w:val="20"/>
        </w:rPr>
        <w:t>. However, upon closer examination this evidence is not persuasive, and in fact the evidence is amenable to alternative explanations.</w:t>
      </w:r>
    </w:p>
    <w:p w:rsidR="00EB6374" w:rsidRPr="002076C1" w:rsidRDefault="00EB6374" w:rsidP="002076C1">
      <w:pPr>
        <w:pStyle w:val="NoSpacing"/>
        <w:spacing w:line="360" w:lineRule="auto"/>
        <w:jc w:val="both"/>
        <w:rPr>
          <w:rFonts w:ascii="Times New Roman" w:hAnsi="Times New Roman" w:cs="Times New Roman"/>
          <w:sz w:val="20"/>
          <w:szCs w:val="20"/>
        </w:rPr>
      </w:pPr>
      <w:r w:rsidRPr="002076C1">
        <w:rPr>
          <w:rFonts w:ascii="Times New Roman" w:eastAsia="Times New Roman" w:hAnsi="Times New Roman" w:cs="Times New Roman"/>
          <w:color w:val="2A2A2A"/>
          <w:sz w:val="20"/>
          <w:szCs w:val="20"/>
        </w:rPr>
        <w:t>During the first 3 decades of adult life, low-density lipoprotein (LDL) cholesterol levels are lower in women than men, and this may contribute to the delayed onset of CHD in women. A more widely held explanation for the later onset of CHD in women is their higher high-density lipoprotein (HDL) cholesterol levels, attributed to higher endogenous estrogen levels in women. However, the difference in HDL cholesterol between women and men is an androgen effect, not an estrogen effect. Up to puberty, young men and women have similar HDL cholesterol levels</w:t>
      </w:r>
      <w:r w:rsidRPr="002076C1">
        <w:rPr>
          <w:rFonts w:ascii="Times New Roman" w:eastAsia="Times New Roman" w:hAnsi="Times New Roman" w:cs="Times New Roman"/>
          <w:b/>
          <w:color w:val="2A2A2A"/>
          <w:sz w:val="20"/>
          <w:szCs w:val="20"/>
          <w:vertAlign w:val="superscript"/>
        </w:rPr>
        <w:t>11</w:t>
      </w:r>
      <w:r w:rsidRPr="002076C1">
        <w:rPr>
          <w:rFonts w:ascii="Times New Roman" w:eastAsia="Times New Roman" w:hAnsi="Times New Roman" w:cs="Times New Roman"/>
          <w:color w:val="2A2A2A"/>
          <w:sz w:val="20"/>
          <w:szCs w:val="20"/>
        </w:rPr>
        <w:t>. At puberty, concurrent with the rise in endogenous testosterone levels, the HDL cholesterol levels in young men decline to the adult leve</w:t>
      </w:r>
      <w:r w:rsidRPr="002076C1">
        <w:rPr>
          <w:rFonts w:ascii="Times New Roman" w:eastAsia="Times New Roman" w:hAnsi="Times New Roman" w:cs="Times New Roman"/>
          <w:b/>
          <w:color w:val="2A2A2A"/>
          <w:sz w:val="20"/>
          <w:szCs w:val="20"/>
          <w:vertAlign w:val="superscript"/>
        </w:rPr>
        <w:t>15</w:t>
      </w:r>
      <w:r w:rsidRPr="002076C1">
        <w:rPr>
          <w:rFonts w:ascii="Times New Roman" w:eastAsia="Times New Roman" w:hAnsi="Times New Roman" w:cs="Times New Roman"/>
          <w:color w:val="2A2A2A"/>
          <w:sz w:val="20"/>
          <w:szCs w:val="20"/>
        </w:rPr>
        <w:t>. A 20% difference in HDL cholesterol levels predicts at least a 20% difference in CHD rates in the short term, and may predict even larger differences in CHD rates over a lifetime</w:t>
      </w:r>
      <w:r w:rsidRPr="002076C1">
        <w:rPr>
          <w:rFonts w:ascii="Times New Roman" w:eastAsia="Times New Roman" w:hAnsi="Times New Roman" w:cs="Times New Roman"/>
          <w:b/>
          <w:color w:val="2A2A2A"/>
          <w:sz w:val="20"/>
          <w:szCs w:val="20"/>
          <w:vertAlign w:val="superscript"/>
        </w:rPr>
        <w:t>15</w:t>
      </w:r>
      <w:r w:rsidRPr="002076C1">
        <w:rPr>
          <w:rFonts w:ascii="Times New Roman" w:eastAsia="Times New Roman" w:hAnsi="Times New Roman" w:cs="Times New Roman"/>
          <w:color w:val="2A2A2A"/>
          <w:sz w:val="20"/>
          <w:szCs w:val="20"/>
        </w:rPr>
        <w:t>. </w:t>
      </w:r>
    </w:p>
    <w:p w:rsidR="00AD2E3B" w:rsidRPr="002076C1" w:rsidRDefault="00AD2E3B" w:rsidP="002076C1">
      <w:pPr>
        <w:pStyle w:val="NoSpacing"/>
        <w:spacing w:line="360" w:lineRule="auto"/>
        <w:jc w:val="both"/>
        <w:rPr>
          <w:rFonts w:ascii="Times New Roman" w:hAnsi="Times New Roman" w:cs="Times New Roman"/>
          <w:b/>
          <w:sz w:val="20"/>
          <w:szCs w:val="20"/>
        </w:rPr>
      </w:pPr>
      <w:r w:rsidRPr="002076C1">
        <w:rPr>
          <w:rFonts w:ascii="Times New Roman" w:hAnsi="Times New Roman" w:cs="Times New Roman"/>
          <w:b/>
          <w:sz w:val="20"/>
          <w:szCs w:val="20"/>
        </w:rPr>
        <w:t>Limitations of the study:</w:t>
      </w:r>
    </w:p>
    <w:p w:rsidR="00AD2E3B" w:rsidRPr="002076C1" w:rsidRDefault="00AD2E3B" w:rsidP="002076C1">
      <w:pPr>
        <w:pStyle w:val="NoSpacing"/>
        <w:spacing w:line="360" w:lineRule="auto"/>
        <w:jc w:val="both"/>
        <w:rPr>
          <w:rFonts w:ascii="Times New Roman" w:hAnsi="Times New Roman" w:cs="Times New Roman"/>
          <w:sz w:val="20"/>
          <w:szCs w:val="20"/>
        </w:rPr>
      </w:pPr>
      <w:r w:rsidRPr="002076C1">
        <w:rPr>
          <w:rFonts w:ascii="Times New Roman" w:hAnsi="Times New Roman" w:cs="Times New Roman"/>
          <w:sz w:val="20"/>
          <w:szCs w:val="20"/>
        </w:rPr>
        <w:t>Prospective study over years and inability to measure the lipid profile over long period of time and the other underlying health challenges in the subjects which were not identified at the time of study may be cofounding variables. This is an interesting issue for future investigations. However, continuous research is needed to validate our findings.</w:t>
      </w:r>
    </w:p>
    <w:p w:rsidR="00EB6374" w:rsidRPr="002076C1" w:rsidRDefault="00EB6374" w:rsidP="002076C1">
      <w:pPr>
        <w:shd w:val="clear" w:color="auto" w:fill="FFFFFF"/>
        <w:spacing w:after="0" w:line="360" w:lineRule="auto"/>
        <w:jc w:val="both"/>
        <w:textAlignment w:val="baseline"/>
        <w:rPr>
          <w:rFonts w:ascii="Times New Roman" w:eastAsia="Times New Roman" w:hAnsi="Times New Roman" w:cs="Times New Roman"/>
          <w:b/>
          <w:color w:val="2A2A2A"/>
          <w:sz w:val="20"/>
          <w:szCs w:val="20"/>
        </w:rPr>
      </w:pPr>
      <w:r w:rsidRPr="002076C1">
        <w:rPr>
          <w:rFonts w:ascii="Times New Roman" w:eastAsia="Times New Roman" w:hAnsi="Times New Roman" w:cs="Times New Roman"/>
          <w:b/>
          <w:color w:val="2A2A2A"/>
          <w:sz w:val="20"/>
          <w:szCs w:val="20"/>
        </w:rPr>
        <w:t>Conclusions</w:t>
      </w:r>
    </w:p>
    <w:p w:rsidR="00EB6374" w:rsidRPr="002076C1" w:rsidRDefault="00EB6374" w:rsidP="002076C1">
      <w:pPr>
        <w:spacing w:after="0" w:line="360" w:lineRule="auto"/>
        <w:ind w:right="-270"/>
        <w:jc w:val="both"/>
        <w:rPr>
          <w:rFonts w:ascii="Times New Roman" w:eastAsia="Times New Roman" w:hAnsi="Times New Roman" w:cs="Times New Roman"/>
          <w:b/>
          <w:color w:val="2A2A2A"/>
          <w:sz w:val="20"/>
          <w:szCs w:val="20"/>
        </w:rPr>
      </w:pPr>
      <w:r w:rsidRPr="002076C1">
        <w:rPr>
          <w:rFonts w:ascii="Times New Roman" w:hAnsi="Times New Roman" w:cs="Times New Roman"/>
          <w:spacing w:val="4"/>
          <w:kern w:val="16"/>
          <w:position w:val="4"/>
          <w:sz w:val="20"/>
          <w:szCs w:val="20"/>
        </w:rPr>
        <w:t>The variations in lipid profile of teachers are related to their gender. The lipid profile of teachers and gender difference obtained from this study can be used as baseline for future study.</w:t>
      </w:r>
      <w:r w:rsidRPr="002076C1">
        <w:rPr>
          <w:rFonts w:ascii="Times New Roman" w:eastAsia="Times New Roman" w:hAnsi="Times New Roman" w:cs="Times New Roman"/>
          <w:b/>
          <w:color w:val="2A2A2A"/>
          <w:sz w:val="20"/>
          <w:szCs w:val="20"/>
        </w:rPr>
        <w:t xml:space="preserve"> </w:t>
      </w:r>
      <w:r w:rsidRPr="002076C1">
        <w:rPr>
          <w:rFonts w:ascii="Times New Roman" w:eastAsia="Times New Roman" w:hAnsi="Times New Roman" w:cs="Times New Roman"/>
          <w:color w:val="2A2A2A"/>
          <w:sz w:val="20"/>
          <w:szCs w:val="20"/>
        </w:rPr>
        <w:t>Males and females not only differ in their levels of sex hormones, the effects of those sex hormones also differ by gender. It appears likely that more research will reveal that the gender difference has male as well as female components.</w:t>
      </w:r>
    </w:p>
    <w:p w:rsidR="002076C1" w:rsidRDefault="002076C1" w:rsidP="002076C1">
      <w:pPr>
        <w:pStyle w:val="NormalWeb"/>
        <w:shd w:val="clear" w:color="auto" w:fill="FFFFFF"/>
        <w:spacing w:before="0" w:beforeAutospacing="0" w:after="0" w:afterAutospacing="0" w:line="360" w:lineRule="auto"/>
        <w:jc w:val="both"/>
        <w:rPr>
          <w:b/>
          <w:color w:val="1C1D1E"/>
          <w:sz w:val="20"/>
          <w:szCs w:val="20"/>
        </w:rPr>
      </w:pPr>
    </w:p>
    <w:p w:rsidR="002076C1" w:rsidRDefault="002076C1" w:rsidP="002076C1">
      <w:pPr>
        <w:pStyle w:val="NormalWeb"/>
        <w:shd w:val="clear" w:color="auto" w:fill="FFFFFF"/>
        <w:spacing w:before="0" w:beforeAutospacing="0" w:after="0" w:afterAutospacing="0" w:line="360" w:lineRule="auto"/>
        <w:jc w:val="both"/>
        <w:rPr>
          <w:b/>
          <w:color w:val="1C1D1E"/>
          <w:sz w:val="20"/>
          <w:szCs w:val="20"/>
        </w:rPr>
      </w:pPr>
    </w:p>
    <w:p w:rsidR="006C148D" w:rsidRDefault="006C148D" w:rsidP="002076C1">
      <w:pPr>
        <w:pStyle w:val="NormalWeb"/>
        <w:shd w:val="clear" w:color="auto" w:fill="FFFFFF"/>
        <w:spacing w:before="0" w:beforeAutospacing="0" w:after="0" w:afterAutospacing="0" w:line="360" w:lineRule="auto"/>
        <w:jc w:val="both"/>
        <w:rPr>
          <w:b/>
          <w:color w:val="1C1D1E"/>
          <w:sz w:val="20"/>
          <w:szCs w:val="20"/>
        </w:rPr>
      </w:pPr>
    </w:p>
    <w:p w:rsidR="00EB6374" w:rsidRPr="002076C1" w:rsidRDefault="006C148D" w:rsidP="002076C1">
      <w:pPr>
        <w:pStyle w:val="NormalWeb"/>
        <w:shd w:val="clear" w:color="auto" w:fill="FFFFFF"/>
        <w:spacing w:before="0" w:beforeAutospacing="0" w:after="0" w:afterAutospacing="0" w:line="360" w:lineRule="auto"/>
        <w:jc w:val="both"/>
        <w:rPr>
          <w:b/>
          <w:color w:val="1C1D1E"/>
          <w:sz w:val="20"/>
          <w:szCs w:val="20"/>
        </w:rPr>
      </w:pPr>
      <w:r w:rsidRPr="002076C1">
        <w:rPr>
          <w:b/>
          <w:color w:val="1C1D1E"/>
          <w:sz w:val="20"/>
          <w:szCs w:val="20"/>
        </w:rPr>
        <w:t>References:</w:t>
      </w:r>
      <w:r>
        <w:rPr>
          <w:b/>
          <w:color w:val="1C1D1E"/>
          <w:sz w:val="20"/>
          <w:szCs w:val="20"/>
        </w:rPr>
        <w:t xml:space="preserve"> </w:t>
      </w:r>
    </w:p>
    <w:p w:rsidR="002076C1" w:rsidRP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eastAsia="Times New Roman" w:hAnsi="Times New Roman" w:cs="Times New Roman"/>
          <w:color w:val="1C1D1E"/>
          <w:sz w:val="18"/>
          <w:szCs w:val="18"/>
        </w:rPr>
        <w:t>1</w:t>
      </w:r>
      <w:r w:rsidR="002076C1">
        <w:rPr>
          <w:rFonts w:ascii="Times New Roman" w:eastAsia="Times New Roman" w:hAnsi="Times New Roman" w:cs="Times New Roman"/>
          <w:color w:val="1C1D1E"/>
          <w:sz w:val="18"/>
          <w:szCs w:val="18"/>
        </w:rPr>
        <w:t>,</w:t>
      </w:r>
      <w:r w:rsidRPr="002076C1">
        <w:rPr>
          <w:rFonts w:ascii="Times New Roman" w:eastAsia="Times New Roman" w:hAnsi="Times New Roman" w:cs="Times New Roman"/>
          <w:color w:val="1C1D1E"/>
          <w:sz w:val="18"/>
          <w:szCs w:val="18"/>
        </w:rPr>
        <w:t> National Cholesterol Education Program (NCEP) Expert Panel on Detection, Evaluation, and Treatment of High Blood Cholesterol in Adults (Adult Treatment Panel III). Third report of the National Cholesterol Education Program (NCEP) Expert Panel on detection, evaluation, and treatment of high blood cholesterol in adults (Adult Treatment Panel III) final report. </w:t>
      </w:r>
      <w:r w:rsidRPr="002076C1">
        <w:rPr>
          <w:rFonts w:ascii="Times New Roman" w:eastAsia="Times New Roman" w:hAnsi="Times New Roman" w:cs="Times New Roman"/>
          <w:i/>
          <w:iCs/>
          <w:color w:val="1C1D1E"/>
          <w:sz w:val="18"/>
          <w:szCs w:val="18"/>
        </w:rPr>
        <w:t>Circulation</w:t>
      </w:r>
      <w:r w:rsidRPr="002076C1">
        <w:rPr>
          <w:rFonts w:ascii="Times New Roman" w:eastAsia="Times New Roman" w:hAnsi="Times New Roman" w:cs="Times New Roman"/>
          <w:color w:val="1C1D1E"/>
          <w:sz w:val="18"/>
          <w:szCs w:val="18"/>
        </w:rPr>
        <w:t> 2002; </w:t>
      </w:r>
      <w:r w:rsidRPr="002076C1">
        <w:rPr>
          <w:rFonts w:ascii="Times New Roman" w:eastAsia="Times New Roman" w:hAnsi="Times New Roman" w:cs="Times New Roman"/>
          <w:b/>
          <w:bCs/>
          <w:color w:val="1C1D1E"/>
          <w:sz w:val="18"/>
          <w:szCs w:val="18"/>
        </w:rPr>
        <w:t>106</w:t>
      </w:r>
      <w:r w:rsidRPr="002076C1">
        <w:rPr>
          <w:rFonts w:ascii="Times New Roman" w:eastAsia="Times New Roman" w:hAnsi="Times New Roman" w:cs="Times New Roman"/>
          <w:color w:val="1C1D1E"/>
          <w:sz w:val="18"/>
          <w:szCs w:val="18"/>
        </w:rPr>
        <w:t>: 3143– 421.</w:t>
      </w:r>
    </w:p>
    <w:p w:rsidR="002076C1" w:rsidRDefault="002076C1" w:rsidP="002076C1">
      <w:pPr>
        <w:shd w:val="clear" w:color="auto" w:fill="FFFFFF"/>
        <w:spacing w:after="0" w:line="360" w:lineRule="auto"/>
        <w:jc w:val="both"/>
        <w:rPr>
          <w:rFonts w:ascii="Times New Roman" w:eastAsia="Times New Roman" w:hAnsi="Times New Roman" w:cs="Times New Roman"/>
          <w:color w:val="1C1D1E"/>
          <w:sz w:val="18"/>
          <w:szCs w:val="18"/>
        </w:rPr>
      </w:pPr>
      <w:r>
        <w:rPr>
          <w:rFonts w:ascii="Times New Roman" w:eastAsia="Times New Roman" w:hAnsi="Times New Roman" w:cs="Times New Roman"/>
          <w:color w:val="1C1D1E"/>
          <w:sz w:val="18"/>
          <w:szCs w:val="18"/>
        </w:rPr>
        <w:t>2 .</w:t>
      </w:r>
      <w:r w:rsidR="00EB6374" w:rsidRPr="002076C1">
        <w:rPr>
          <w:rFonts w:ascii="Times New Roman" w:eastAsia="Times New Roman" w:hAnsi="Times New Roman" w:cs="Times New Roman"/>
          <w:color w:val="1C1D1E"/>
          <w:sz w:val="18"/>
          <w:szCs w:val="18"/>
        </w:rPr>
        <w:t>Grundy SM, </w:t>
      </w:r>
      <w:proofErr w:type="spellStart"/>
      <w:r w:rsidR="00EB6374" w:rsidRPr="002076C1">
        <w:rPr>
          <w:rFonts w:ascii="Times New Roman" w:eastAsia="Times New Roman" w:hAnsi="Times New Roman" w:cs="Times New Roman"/>
          <w:color w:val="1C1D1E"/>
          <w:sz w:val="18"/>
          <w:szCs w:val="18"/>
        </w:rPr>
        <w:t>Cleeman</w:t>
      </w:r>
      <w:proofErr w:type="spellEnd"/>
      <w:r w:rsidR="00EB6374" w:rsidRPr="002076C1">
        <w:rPr>
          <w:rFonts w:ascii="Times New Roman" w:eastAsia="Times New Roman" w:hAnsi="Times New Roman" w:cs="Times New Roman"/>
          <w:color w:val="1C1D1E"/>
          <w:sz w:val="18"/>
          <w:szCs w:val="18"/>
        </w:rPr>
        <w:t xml:space="preserve"> JI, </w:t>
      </w:r>
      <w:proofErr w:type="spellStart"/>
      <w:r w:rsidR="00EB6374" w:rsidRPr="002076C1">
        <w:rPr>
          <w:rFonts w:ascii="Times New Roman" w:eastAsia="Times New Roman" w:hAnsi="Times New Roman" w:cs="Times New Roman"/>
          <w:color w:val="1C1D1E"/>
          <w:sz w:val="18"/>
          <w:szCs w:val="18"/>
        </w:rPr>
        <w:t>Merz</w:t>
      </w:r>
      <w:proofErr w:type="spellEnd"/>
      <w:r w:rsidR="00EB6374" w:rsidRPr="002076C1">
        <w:rPr>
          <w:rFonts w:ascii="Times New Roman" w:eastAsia="Times New Roman" w:hAnsi="Times New Roman" w:cs="Times New Roman"/>
          <w:color w:val="1C1D1E"/>
          <w:sz w:val="18"/>
          <w:szCs w:val="18"/>
        </w:rPr>
        <w:t xml:space="preserve"> CN </w:t>
      </w:r>
      <w:r w:rsidR="00EB6374" w:rsidRPr="002076C1">
        <w:rPr>
          <w:rFonts w:ascii="Times New Roman" w:eastAsia="Times New Roman" w:hAnsi="Times New Roman" w:cs="Times New Roman"/>
          <w:i/>
          <w:iCs/>
          <w:color w:val="1C1D1E"/>
          <w:sz w:val="18"/>
          <w:szCs w:val="18"/>
        </w:rPr>
        <w:t>et al. </w:t>
      </w:r>
      <w:r w:rsidR="00EB6374" w:rsidRPr="002076C1">
        <w:rPr>
          <w:rFonts w:ascii="Times New Roman" w:eastAsia="Times New Roman" w:hAnsi="Times New Roman" w:cs="Times New Roman"/>
          <w:color w:val="1C1D1E"/>
          <w:sz w:val="18"/>
          <w:szCs w:val="18"/>
        </w:rPr>
        <w:t>Implications of recent clinical trials for the National Cholesterol Education Program Adult Treatment Panel III guidelines. </w:t>
      </w:r>
      <w:proofErr w:type="spellStart"/>
      <w:r w:rsidR="00EB6374" w:rsidRPr="002076C1">
        <w:rPr>
          <w:rFonts w:ascii="Times New Roman" w:eastAsia="Times New Roman" w:hAnsi="Times New Roman" w:cs="Times New Roman"/>
          <w:i/>
          <w:iCs/>
          <w:color w:val="1C1D1E"/>
          <w:sz w:val="18"/>
          <w:szCs w:val="18"/>
        </w:rPr>
        <w:t>Arterioscler</w:t>
      </w:r>
      <w:proofErr w:type="spellEnd"/>
      <w:r w:rsidR="00EB6374" w:rsidRPr="002076C1">
        <w:rPr>
          <w:rFonts w:ascii="Times New Roman" w:eastAsia="Times New Roman" w:hAnsi="Times New Roman" w:cs="Times New Roman"/>
          <w:i/>
          <w:iCs/>
          <w:color w:val="1C1D1E"/>
          <w:sz w:val="18"/>
          <w:szCs w:val="18"/>
        </w:rPr>
        <w:t xml:space="preserve"> </w:t>
      </w:r>
      <w:proofErr w:type="spellStart"/>
      <w:r w:rsidR="00EB6374" w:rsidRPr="002076C1">
        <w:rPr>
          <w:rFonts w:ascii="Times New Roman" w:eastAsia="Times New Roman" w:hAnsi="Times New Roman" w:cs="Times New Roman"/>
          <w:i/>
          <w:iCs/>
          <w:color w:val="1C1D1E"/>
          <w:sz w:val="18"/>
          <w:szCs w:val="18"/>
        </w:rPr>
        <w:t>Thromb</w:t>
      </w:r>
      <w:proofErr w:type="spellEnd"/>
      <w:r w:rsidR="00EB6374" w:rsidRPr="002076C1">
        <w:rPr>
          <w:rFonts w:ascii="Times New Roman" w:eastAsia="Times New Roman" w:hAnsi="Times New Roman" w:cs="Times New Roman"/>
          <w:i/>
          <w:iCs/>
          <w:color w:val="1C1D1E"/>
          <w:sz w:val="18"/>
          <w:szCs w:val="18"/>
        </w:rPr>
        <w:t xml:space="preserve"> </w:t>
      </w:r>
      <w:proofErr w:type="spellStart"/>
      <w:r w:rsidR="00EB6374" w:rsidRPr="002076C1">
        <w:rPr>
          <w:rFonts w:ascii="Times New Roman" w:eastAsia="Times New Roman" w:hAnsi="Times New Roman" w:cs="Times New Roman"/>
          <w:i/>
          <w:iCs/>
          <w:color w:val="1C1D1E"/>
          <w:sz w:val="18"/>
          <w:szCs w:val="18"/>
        </w:rPr>
        <w:t>Vasc</w:t>
      </w:r>
      <w:proofErr w:type="spellEnd"/>
      <w:r w:rsidR="00EB6374" w:rsidRPr="002076C1">
        <w:rPr>
          <w:rFonts w:ascii="Times New Roman" w:eastAsia="Times New Roman" w:hAnsi="Times New Roman" w:cs="Times New Roman"/>
          <w:i/>
          <w:iCs/>
          <w:color w:val="1C1D1E"/>
          <w:sz w:val="18"/>
          <w:szCs w:val="18"/>
        </w:rPr>
        <w:t xml:space="preserve"> </w:t>
      </w:r>
      <w:proofErr w:type="spellStart"/>
      <w:r w:rsidR="00EB6374" w:rsidRPr="002076C1">
        <w:rPr>
          <w:rFonts w:ascii="Times New Roman" w:eastAsia="Times New Roman" w:hAnsi="Times New Roman" w:cs="Times New Roman"/>
          <w:i/>
          <w:iCs/>
          <w:color w:val="1C1D1E"/>
          <w:sz w:val="18"/>
          <w:szCs w:val="18"/>
        </w:rPr>
        <w:t>Biol</w:t>
      </w:r>
      <w:proofErr w:type="spellEnd"/>
      <w:r w:rsidR="00EB6374" w:rsidRPr="002076C1">
        <w:rPr>
          <w:rFonts w:ascii="Times New Roman" w:eastAsia="Times New Roman" w:hAnsi="Times New Roman" w:cs="Times New Roman"/>
          <w:color w:val="1C1D1E"/>
          <w:sz w:val="18"/>
          <w:szCs w:val="18"/>
        </w:rPr>
        <w:t> 2004; </w:t>
      </w:r>
      <w:r w:rsidR="00EB6374" w:rsidRPr="002076C1">
        <w:rPr>
          <w:rFonts w:ascii="Times New Roman" w:eastAsia="Times New Roman" w:hAnsi="Times New Roman" w:cs="Times New Roman"/>
          <w:b/>
          <w:bCs/>
          <w:color w:val="1C1D1E"/>
          <w:sz w:val="18"/>
          <w:szCs w:val="18"/>
        </w:rPr>
        <w:t>24</w:t>
      </w:r>
      <w:r w:rsidR="00EB6374" w:rsidRPr="002076C1">
        <w:rPr>
          <w:rFonts w:ascii="Times New Roman" w:eastAsia="Times New Roman" w:hAnsi="Times New Roman" w:cs="Times New Roman"/>
          <w:color w:val="1C1D1E"/>
          <w:sz w:val="18"/>
          <w:szCs w:val="18"/>
        </w:rPr>
        <w:t>: e149– 61.</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eastAsia="Times New Roman" w:hAnsi="Times New Roman" w:cs="Times New Roman"/>
          <w:color w:val="1C1D1E"/>
          <w:sz w:val="18"/>
          <w:szCs w:val="18"/>
        </w:rPr>
        <w:t>3 </w:t>
      </w:r>
      <w:r w:rsidR="002076C1">
        <w:rPr>
          <w:rFonts w:ascii="Times New Roman" w:eastAsia="Times New Roman" w:hAnsi="Times New Roman" w:cs="Times New Roman"/>
          <w:color w:val="1C1D1E"/>
          <w:sz w:val="18"/>
          <w:szCs w:val="18"/>
        </w:rPr>
        <w:t>.</w:t>
      </w:r>
      <w:r w:rsidRPr="002076C1">
        <w:rPr>
          <w:rFonts w:ascii="Times New Roman" w:eastAsia="Times New Roman" w:hAnsi="Times New Roman" w:cs="Times New Roman"/>
          <w:color w:val="1C1D1E"/>
          <w:sz w:val="18"/>
          <w:szCs w:val="18"/>
        </w:rPr>
        <w:t>Liu J, </w:t>
      </w:r>
      <w:proofErr w:type="spellStart"/>
      <w:r w:rsidRPr="002076C1">
        <w:rPr>
          <w:rFonts w:ascii="Times New Roman" w:eastAsia="Times New Roman" w:hAnsi="Times New Roman" w:cs="Times New Roman"/>
          <w:color w:val="1C1D1E"/>
          <w:sz w:val="18"/>
          <w:szCs w:val="18"/>
        </w:rPr>
        <w:t>Sempos</w:t>
      </w:r>
      <w:proofErr w:type="spellEnd"/>
      <w:r w:rsidRPr="002076C1">
        <w:rPr>
          <w:rFonts w:ascii="Times New Roman" w:eastAsia="Times New Roman" w:hAnsi="Times New Roman" w:cs="Times New Roman"/>
          <w:color w:val="1C1D1E"/>
          <w:sz w:val="18"/>
          <w:szCs w:val="18"/>
        </w:rPr>
        <w:t xml:space="preserve"> CT, Donahue RP, Dorn J, </w:t>
      </w:r>
      <w:proofErr w:type="spellStart"/>
      <w:r w:rsidRPr="002076C1">
        <w:rPr>
          <w:rFonts w:ascii="Times New Roman" w:eastAsia="Times New Roman" w:hAnsi="Times New Roman" w:cs="Times New Roman"/>
          <w:color w:val="1C1D1E"/>
          <w:sz w:val="18"/>
          <w:szCs w:val="18"/>
        </w:rPr>
        <w:t>Trevisan</w:t>
      </w:r>
      <w:proofErr w:type="spellEnd"/>
      <w:r w:rsidRPr="002076C1">
        <w:rPr>
          <w:rFonts w:ascii="Times New Roman" w:eastAsia="Times New Roman" w:hAnsi="Times New Roman" w:cs="Times New Roman"/>
          <w:color w:val="1C1D1E"/>
          <w:sz w:val="18"/>
          <w:szCs w:val="18"/>
        </w:rPr>
        <w:t xml:space="preserve"> M, Grundy SM. Non‐high‐density lipoprotein and very‐low‐density lipoprotein cholesterol and their risk predictive values in coronary heart disease. </w:t>
      </w:r>
      <w:r w:rsidRPr="002076C1">
        <w:rPr>
          <w:rFonts w:ascii="Times New Roman" w:eastAsia="Times New Roman" w:hAnsi="Times New Roman" w:cs="Times New Roman"/>
          <w:i/>
          <w:iCs/>
          <w:color w:val="1C1D1E"/>
          <w:sz w:val="18"/>
          <w:szCs w:val="18"/>
        </w:rPr>
        <w:t xml:space="preserve">Am J </w:t>
      </w:r>
      <w:proofErr w:type="spellStart"/>
      <w:r w:rsidRPr="002076C1">
        <w:rPr>
          <w:rFonts w:ascii="Times New Roman" w:eastAsia="Times New Roman" w:hAnsi="Times New Roman" w:cs="Times New Roman"/>
          <w:i/>
          <w:iCs/>
          <w:color w:val="1C1D1E"/>
          <w:sz w:val="18"/>
          <w:szCs w:val="18"/>
        </w:rPr>
        <w:t>Cardiol</w:t>
      </w:r>
      <w:proofErr w:type="spellEnd"/>
      <w:r w:rsidRPr="002076C1">
        <w:rPr>
          <w:rFonts w:ascii="Times New Roman" w:eastAsia="Times New Roman" w:hAnsi="Times New Roman" w:cs="Times New Roman"/>
          <w:color w:val="1C1D1E"/>
          <w:sz w:val="18"/>
          <w:szCs w:val="18"/>
        </w:rPr>
        <w:t> 2006; </w:t>
      </w:r>
      <w:r w:rsidRPr="002076C1">
        <w:rPr>
          <w:rFonts w:ascii="Times New Roman" w:eastAsia="Times New Roman" w:hAnsi="Times New Roman" w:cs="Times New Roman"/>
          <w:b/>
          <w:bCs/>
          <w:color w:val="1C1D1E"/>
          <w:sz w:val="18"/>
          <w:szCs w:val="18"/>
        </w:rPr>
        <w:t>98</w:t>
      </w:r>
      <w:r w:rsidRPr="002076C1">
        <w:rPr>
          <w:rFonts w:ascii="Times New Roman" w:eastAsia="Times New Roman" w:hAnsi="Times New Roman" w:cs="Times New Roman"/>
          <w:color w:val="1C1D1E"/>
          <w:sz w:val="18"/>
          <w:szCs w:val="18"/>
        </w:rPr>
        <w:t>: 1363– </w:t>
      </w:r>
      <w:proofErr w:type="gramStart"/>
      <w:r w:rsidRPr="002076C1">
        <w:rPr>
          <w:rFonts w:ascii="Times New Roman" w:eastAsia="Times New Roman" w:hAnsi="Times New Roman" w:cs="Times New Roman"/>
          <w:color w:val="1C1D1E"/>
          <w:sz w:val="18"/>
          <w:szCs w:val="18"/>
        </w:rPr>
        <w:t>8.</w:t>
      </w:r>
      <w:proofErr w:type="gramEnd"/>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proofErr w:type="gramStart"/>
      <w:r w:rsidRPr="002076C1">
        <w:rPr>
          <w:rFonts w:ascii="Times New Roman" w:eastAsia="Times New Roman" w:hAnsi="Times New Roman" w:cs="Times New Roman"/>
          <w:color w:val="1C1D1E"/>
          <w:sz w:val="18"/>
          <w:szCs w:val="18"/>
        </w:rPr>
        <w:t>4 </w:t>
      </w:r>
      <w:r w:rsidR="002076C1">
        <w:rPr>
          <w:rFonts w:ascii="Times New Roman" w:eastAsia="Times New Roman" w:hAnsi="Times New Roman" w:cs="Times New Roman"/>
          <w:color w:val="1C1D1E"/>
          <w:sz w:val="18"/>
          <w:szCs w:val="18"/>
        </w:rPr>
        <w:t>.</w:t>
      </w:r>
      <w:r w:rsidRPr="002076C1">
        <w:rPr>
          <w:rFonts w:ascii="Times New Roman" w:eastAsia="Times New Roman" w:hAnsi="Times New Roman" w:cs="Times New Roman"/>
          <w:color w:val="1C1D1E"/>
          <w:sz w:val="18"/>
          <w:szCs w:val="18"/>
        </w:rPr>
        <w:t>Everett BM, </w:t>
      </w:r>
      <w:proofErr w:type="spellStart"/>
      <w:r w:rsidRPr="002076C1">
        <w:rPr>
          <w:rFonts w:ascii="Times New Roman" w:eastAsia="Times New Roman" w:hAnsi="Times New Roman" w:cs="Times New Roman"/>
          <w:color w:val="1C1D1E"/>
          <w:sz w:val="18"/>
          <w:szCs w:val="18"/>
        </w:rPr>
        <w:t>Kurth</w:t>
      </w:r>
      <w:proofErr w:type="spellEnd"/>
      <w:r w:rsidRPr="002076C1">
        <w:rPr>
          <w:rFonts w:ascii="Times New Roman" w:eastAsia="Times New Roman" w:hAnsi="Times New Roman" w:cs="Times New Roman"/>
          <w:color w:val="1C1D1E"/>
          <w:sz w:val="18"/>
          <w:szCs w:val="18"/>
        </w:rPr>
        <w:t xml:space="preserve"> T, </w:t>
      </w:r>
      <w:proofErr w:type="spellStart"/>
      <w:r w:rsidRPr="002076C1">
        <w:rPr>
          <w:rFonts w:ascii="Times New Roman" w:eastAsia="Times New Roman" w:hAnsi="Times New Roman" w:cs="Times New Roman"/>
          <w:color w:val="1C1D1E"/>
          <w:sz w:val="18"/>
          <w:szCs w:val="18"/>
        </w:rPr>
        <w:t>Buring</w:t>
      </w:r>
      <w:proofErr w:type="spellEnd"/>
      <w:r w:rsidRPr="002076C1">
        <w:rPr>
          <w:rFonts w:ascii="Times New Roman" w:eastAsia="Times New Roman" w:hAnsi="Times New Roman" w:cs="Times New Roman"/>
          <w:color w:val="1C1D1E"/>
          <w:sz w:val="18"/>
          <w:szCs w:val="18"/>
        </w:rPr>
        <w:t xml:space="preserve"> JE, </w:t>
      </w:r>
      <w:proofErr w:type="spellStart"/>
      <w:r w:rsidRPr="002076C1">
        <w:rPr>
          <w:rFonts w:ascii="Times New Roman" w:eastAsia="Times New Roman" w:hAnsi="Times New Roman" w:cs="Times New Roman"/>
          <w:color w:val="1C1D1E"/>
          <w:sz w:val="18"/>
          <w:szCs w:val="18"/>
        </w:rPr>
        <w:t>Ridker</w:t>
      </w:r>
      <w:proofErr w:type="spellEnd"/>
      <w:r w:rsidRPr="002076C1">
        <w:rPr>
          <w:rFonts w:ascii="Times New Roman" w:eastAsia="Times New Roman" w:hAnsi="Times New Roman" w:cs="Times New Roman"/>
          <w:color w:val="1C1D1E"/>
          <w:sz w:val="18"/>
          <w:szCs w:val="18"/>
        </w:rPr>
        <w:t xml:space="preserve"> PM.</w:t>
      </w:r>
      <w:proofErr w:type="gramEnd"/>
      <w:r w:rsidRPr="002076C1">
        <w:rPr>
          <w:rFonts w:ascii="Times New Roman" w:eastAsia="Times New Roman" w:hAnsi="Times New Roman" w:cs="Times New Roman"/>
          <w:color w:val="1C1D1E"/>
          <w:sz w:val="18"/>
          <w:szCs w:val="18"/>
        </w:rPr>
        <w:t> The relative strength of C‐reactive protein and lipid levels as determinants of ischemic stroke compared with coronary heart disease in women. </w:t>
      </w:r>
      <w:r w:rsidRPr="002076C1">
        <w:rPr>
          <w:rFonts w:ascii="Times New Roman" w:eastAsia="Times New Roman" w:hAnsi="Times New Roman" w:cs="Times New Roman"/>
          <w:i/>
          <w:iCs/>
          <w:color w:val="1C1D1E"/>
          <w:sz w:val="18"/>
          <w:szCs w:val="18"/>
        </w:rPr>
        <w:t xml:space="preserve">J Am </w:t>
      </w:r>
      <w:proofErr w:type="spellStart"/>
      <w:r w:rsidRPr="002076C1">
        <w:rPr>
          <w:rFonts w:ascii="Times New Roman" w:eastAsia="Times New Roman" w:hAnsi="Times New Roman" w:cs="Times New Roman"/>
          <w:i/>
          <w:iCs/>
          <w:color w:val="1C1D1E"/>
          <w:sz w:val="18"/>
          <w:szCs w:val="18"/>
        </w:rPr>
        <w:t>Coll</w:t>
      </w:r>
      <w:proofErr w:type="spellEnd"/>
      <w:r w:rsidRPr="002076C1">
        <w:rPr>
          <w:rFonts w:ascii="Times New Roman" w:eastAsia="Times New Roman" w:hAnsi="Times New Roman" w:cs="Times New Roman"/>
          <w:i/>
          <w:iCs/>
          <w:color w:val="1C1D1E"/>
          <w:sz w:val="18"/>
          <w:szCs w:val="18"/>
        </w:rPr>
        <w:t xml:space="preserve"> </w:t>
      </w:r>
      <w:proofErr w:type="spellStart"/>
      <w:r w:rsidRPr="002076C1">
        <w:rPr>
          <w:rFonts w:ascii="Times New Roman" w:eastAsia="Times New Roman" w:hAnsi="Times New Roman" w:cs="Times New Roman"/>
          <w:i/>
          <w:iCs/>
          <w:color w:val="1C1D1E"/>
          <w:sz w:val="18"/>
          <w:szCs w:val="18"/>
        </w:rPr>
        <w:t>Cardiol</w:t>
      </w:r>
      <w:proofErr w:type="spellEnd"/>
      <w:r w:rsidRPr="002076C1">
        <w:rPr>
          <w:rFonts w:ascii="Times New Roman" w:eastAsia="Times New Roman" w:hAnsi="Times New Roman" w:cs="Times New Roman"/>
          <w:color w:val="1C1D1E"/>
          <w:sz w:val="18"/>
          <w:szCs w:val="18"/>
        </w:rPr>
        <w:t> 2006; </w:t>
      </w:r>
      <w:r w:rsidRPr="002076C1">
        <w:rPr>
          <w:rFonts w:ascii="Times New Roman" w:eastAsia="Times New Roman" w:hAnsi="Times New Roman" w:cs="Times New Roman"/>
          <w:b/>
          <w:bCs/>
          <w:color w:val="1C1D1E"/>
          <w:sz w:val="18"/>
          <w:szCs w:val="18"/>
        </w:rPr>
        <w:t>48</w:t>
      </w:r>
      <w:r w:rsidRPr="002076C1">
        <w:rPr>
          <w:rFonts w:ascii="Times New Roman" w:eastAsia="Times New Roman" w:hAnsi="Times New Roman" w:cs="Times New Roman"/>
          <w:color w:val="1C1D1E"/>
          <w:sz w:val="18"/>
          <w:szCs w:val="18"/>
        </w:rPr>
        <w:t>: 2235– 42.</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proofErr w:type="gramStart"/>
      <w:r w:rsidRPr="002076C1">
        <w:rPr>
          <w:rFonts w:ascii="Times New Roman" w:eastAsia="Times New Roman" w:hAnsi="Times New Roman" w:cs="Times New Roman"/>
          <w:color w:val="1C1D1E"/>
          <w:sz w:val="18"/>
          <w:szCs w:val="18"/>
        </w:rPr>
        <w:t>5 </w:t>
      </w:r>
      <w:r w:rsidR="002076C1">
        <w:rPr>
          <w:rFonts w:ascii="Times New Roman" w:eastAsia="Times New Roman" w:hAnsi="Times New Roman" w:cs="Times New Roman"/>
          <w:color w:val="1C1D1E"/>
          <w:sz w:val="18"/>
          <w:szCs w:val="18"/>
        </w:rPr>
        <w:t>.</w:t>
      </w:r>
      <w:proofErr w:type="gramEnd"/>
      <w:r w:rsidR="002076C1">
        <w:rPr>
          <w:rFonts w:ascii="Times New Roman" w:eastAsia="Times New Roman" w:hAnsi="Times New Roman" w:cs="Times New Roman"/>
          <w:color w:val="1C1D1E"/>
          <w:sz w:val="18"/>
          <w:szCs w:val="18"/>
        </w:rPr>
        <w:t xml:space="preserve"> </w:t>
      </w:r>
      <w:proofErr w:type="spellStart"/>
      <w:r w:rsidRPr="002076C1">
        <w:rPr>
          <w:rFonts w:ascii="Times New Roman" w:eastAsia="Times New Roman" w:hAnsi="Times New Roman" w:cs="Times New Roman"/>
          <w:color w:val="1C1D1E"/>
          <w:sz w:val="18"/>
          <w:szCs w:val="18"/>
        </w:rPr>
        <w:t>Verschuren</w:t>
      </w:r>
      <w:proofErr w:type="spellEnd"/>
      <w:r w:rsidRPr="002076C1">
        <w:rPr>
          <w:rFonts w:ascii="Times New Roman" w:eastAsia="Times New Roman" w:hAnsi="Times New Roman" w:cs="Times New Roman"/>
          <w:color w:val="1C1D1E"/>
          <w:sz w:val="18"/>
          <w:szCs w:val="18"/>
        </w:rPr>
        <w:t xml:space="preserve"> WM, Jacobs DR, </w:t>
      </w:r>
      <w:proofErr w:type="spellStart"/>
      <w:r w:rsidRPr="002076C1">
        <w:rPr>
          <w:rFonts w:ascii="Times New Roman" w:eastAsia="Times New Roman" w:hAnsi="Times New Roman" w:cs="Times New Roman"/>
          <w:color w:val="1C1D1E"/>
          <w:sz w:val="18"/>
          <w:szCs w:val="18"/>
        </w:rPr>
        <w:t>Bloemberg</w:t>
      </w:r>
      <w:proofErr w:type="spellEnd"/>
      <w:r w:rsidRPr="002076C1">
        <w:rPr>
          <w:rFonts w:ascii="Times New Roman" w:eastAsia="Times New Roman" w:hAnsi="Times New Roman" w:cs="Times New Roman"/>
          <w:color w:val="1C1D1E"/>
          <w:sz w:val="18"/>
          <w:szCs w:val="18"/>
        </w:rPr>
        <w:t xml:space="preserve"> BP </w:t>
      </w:r>
      <w:r w:rsidRPr="002076C1">
        <w:rPr>
          <w:rFonts w:ascii="Times New Roman" w:eastAsia="Times New Roman" w:hAnsi="Times New Roman" w:cs="Times New Roman"/>
          <w:i/>
          <w:iCs/>
          <w:color w:val="1C1D1E"/>
          <w:sz w:val="18"/>
          <w:szCs w:val="18"/>
        </w:rPr>
        <w:t>et al. </w:t>
      </w:r>
      <w:r w:rsidRPr="002076C1">
        <w:rPr>
          <w:rFonts w:ascii="Times New Roman" w:eastAsia="Times New Roman" w:hAnsi="Times New Roman" w:cs="Times New Roman"/>
          <w:color w:val="1C1D1E"/>
          <w:sz w:val="18"/>
          <w:szCs w:val="18"/>
        </w:rPr>
        <w:t xml:space="preserve">Serum total cholesterol and long‐term coronary heart disease mortality in different cultures. </w:t>
      </w:r>
      <w:proofErr w:type="gramStart"/>
      <w:r w:rsidRPr="002076C1">
        <w:rPr>
          <w:rFonts w:ascii="Times New Roman" w:eastAsia="Times New Roman" w:hAnsi="Times New Roman" w:cs="Times New Roman"/>
          <w:color w:val="1C1D1E"/>
          <w:sz w:val="18"/>
          <w:szCs w:val="18"/>
        </w:rPr>
        <w:t>Twenty‐five‐year follow‐up of the seven countries study.</w:t>
      </w:r>
      <w:proofErr w:type="gramEnd"/>
      <w:r w:rsidRPr="002076C1">
        <w:rPr>
          <w:rFonts w:ascii="Times New Roman" w:eastAsia="Times New Roman" w:hAnsi="Times New Roman" w:cs="Times New Roman"/>
          <w:color w:val="1C1D1E"/>
          <w:sz w:val="18"/>
          <w:szCs w:val="18"/>
        </w:rPr>
        <w:t> </w:t>
      </w:r>
      <w:proofErr w:type="gramStart"/>
      <w:r w:rsidRPr="002076C1">
        <w:rPr>
          <w:rFonts w:ascii="Times New Roman" w:eastAsia="Times New Roman" w:hAnsi="Times New Roman" w:cs="Times New Roman"/>
          <w:i/>
          <w:iCs/>
          <w:color w:val="1C1D1E"/>
          <w:sz w:val="18"/>
          <w:szCs w:val="18"/>
        </w:rPr>
        <w:t>JAMA</w:t>
      </w:r>
      <w:r w:rsidRPr="002076C1">
        <w:rPr>
          <w:rFonts w:ascii="Times New Roman" w:eastAsia="Times New Roman" w:hAnsi="Times New Roman" w:cs="Times New Roman"/>
          <w:color w:val="1C1D1E"/>
          <w:sz w:val="18"/>
          <w:szCs w:val="18"/>
        </w:rPr>
        <w:t> 1995; </w:t>
      </w:r>
      <w:r w:rsidRPr="002076C1">
        <w:rPr>
          <w:rFonts w:ascii="Times New Roman" w:eastAsia="Times New Roman" w:hAnsi="Times New Roman" w:cs="Times New Roman"/>
          <w:b/>
          <w:bCs/>
          <w:color w:val="1C1D1E"/>
          <w:sz w:val="18"/>
          <w:szCs w:val="18"/>
        </w:rPr>
        <w:t>274</w:t>
      </w:r>
      <w:r w:rsidRPr="002076C1">
        <w:rPr>
          <w:rFonts w:ascii="Times New Roman" w:eastAsia="Times New Roman" w:hAnsi="Times New Roman" w:cs="Times New Roman"/>
          <w:color w:val="1C1D1E"/>
          <w:sz w:val="18"/>
          <w:szCs w:val="18"/>
        </w:rPr>
        <w:t>: 131– 6.</w:t>
      </w:r>
      <w:proofErr w:type="gramEnd"/>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proofErr w:type="gramStart"/>
      <w:r w:rsidRPr="002076C1">
        <w:rPr>
          <w:rFonts w:ascii="Times New Roman" w:eastAsia="Times New Roman" w:hAnsi="Times New Roman" w:cs="Times New Roman"/>
          <w:color w:val="1C1D1E"/>
          <w:sz w:val="18"/>
          <w:szCs w:val="18"/>
        </w:rPr>
        <w:t>6.</w:t>
      </w:r>
      <w:r w:rsidR="002076C1">
        <w:rPr>
          <w:rFonts w:ascii="Times New Roman" w:eastAsia="Times New Roman" w:hAnsi="Times New Roman" w:cs="Times New Roman"/>
          <w:color w:val="1C1D1E"/>
          <w:sz w:val="18"/>
          <w:szCs w:val="18"/>
        </w:rPr>
        <w:t>.</w:t>
      </w:r>
      <w:proofErr w:type="gramEnd"/>
      <w:r w:rsidR="002076C1">
        <w:rPr>
          <w:rFonts w:ascii="Times New Roman" w:eastAsia="Times New Roman" w:hAnsi="Times New Roman" w:cs="Times New Roman"/>
          <w:color w:val="1C1D1E"/>
          <w:sz w:val="18"/>
          <w:szCs w:val="18"/>
        </w:rPr>
        <w:t xml:space="preserve"> </w:t>
      </w:r>
      <w:r w:rsidRPr="002076C1">
        <w:rPr>
          <w:rFonts w:ascii="Times New Roman" w:hAnsi="Times New Roman" w:cs="Times New Roman"/>
          <w:color w:val="222222"/>
          <w:sz w:val="18"/>
          <w:szCs w:val="18"/>
          <w:shd w:val="clear" w:color="auto" w:fill="FFFFFF"/>
        </w:rPr>
        <w:t xml:space="preserve">Lerner DJ, </w:t>
      </w:r>
      <w:proofErr w:type="spellStart"/>
      <w:r w:rsidRPr="002076C1">
        <w:rPr>
          <w:rFonts w:ascii="Times New Roman" w:hAnsi="Times New Roman" w:cs="Times New Roman"/>
          <w:color w:val="222222"/>
          <w:sz w:val="18"/>
          <w:szCs w:val="18"/>
          <w:shd w:val="clear" w:color="auto" w:fill="FFFFFF"/>
        </w:rPr>
        <w:t>Kannel</w:t>
      </w:r>
      <w:proofErr w:type="spellEnd"/>
      <w:r w:rsidRPr="002076C1">
        <w:rPr>
          <w:rFonts w:ascii="Times New Roman" w:hAnsi="Times New Roman" w:cs="Times New Roman"/>
          <w:color w:val="222222"/>
          <w:sz w:val="18"/>
          <w:szCs w:val="18"/>
          <w:shd w:val="clear" w:color="auto" w:fill="FFFFFF"/>
        </w:rPr>
        <w:t xml:space="preserve"> WB. Patterns of coronary heart disease morbidity and mortality in the sexes: a 26-year follow-up of the Framingham population. </w:t>
      </w:r>
      <w:proofErr w:type="gramStart"/>
      <w:r w:rsidRPr="002076C1">
        <w:rPr>
          <w:rFonts w:ascii="Times New Roman" w:hAnsi="Times New Roman" w:cs="Times New Roman"/>
          <w:color w:val="222222"/>
          <w:sz w:val="18"/>
          <w:szCs w:val="18"/>
          <w:shd w:val="clear" w:color="auto" w:fill="FFFFFF"/>
        </w:rPr>
        <w:t>American heart journal.</w:t>
      </w:r>
      <w:proofErr w:type="gramEnd"/>
      <w:r w:rsidRPr="002076C1">
        <w:rPr>
          <w:rFonts w:ascii="Times New Roman" w:hAnsi="Times New Roman" w:cs="Times New Roman"/>
          <w:color w:val="222222"/>
          <w:sz w:val="18"/>
          <w:szCs w:val="18"/>
          <w:shd w:val="clear" w:color="auto" w:fill="FFFFFF"/>
        </w:rPr>
        <w:t xml:space="preserve"> 1986</w:t>
      </w:r>
      <w:proofErr w:type="gramStart"/>
      <w:r w:rsidRPr="002076C1">
        <w:rPr>
          <w:rFonts w:ascii="Times New Roman" w:hAnsi="Times New Roman" w:cs="Times New Roman"/>
          <w:color w:val="222222"/>
          <w:sz w:val="18"/>
          <w:szCs w:val="18"/>
          <w:shd w:val="clear" w:color="auto" w:fill="FFFFFF"/>
        </w:rPr>
        <w:t>;111</w:t>
      </w:r>
      <w:proofErr w:type="gramEnd"/>
      <w:r w:rsidRPr="002076C1">
        <w:rPr>
          <w:rFonts w:ascii="Times New Roman" w:hAnsi="Times New Roman" w:cs="Times New Roman"/>
          <w:color w:val="222222"/>
          <w:sz w:val="18"/>
          <w:szCs w:val="18"/>
          <w:shd w:val="clear" w:color="auto" w:fill="FFFFFF"/>
        </w:rPr>
        <w:t>(2):383-90.</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lastRenderedPageBreak/>
        <w:t xml:space="preserve">7.Manninen V, </w:t>
      </w:r>
      <w:proofErr w:type="spellStart"/>
      <w:r w:rsidRPr="002076C1">
        <w:rPr>
          <w:rFonts w:ascii="Times New Roman" w:hAnsi="Times New Roman" w:cs="Times New Roman"/>
          <w:color w:val="222222"/>
          <w:sz w:val="18"/>
          <w:szCs w:val="18"/>
          <w:shd w:val="clear" w:color="auto" w:fill="FFFFFF"/>
        </w:rPr>
        <w:t>Elo</w:t>
      </w:r>
      <w:proofErr w:type="spellEnd"/>
      <w:r w:rsidRPr="002076C1">
        <w:rPr>
          <w:rFonts w:ascii="Times New Roman" w:hAnsi="Times New Roman" w:cs="Times New Roman"/>
          <w:color w:val="222222"/>
          <w:sz w:val="18"/>
          <w:szCs w:val="18"/>
          <w:shd w:val="clear" w:color="auto" w:fill="FFFFFF"/>
        </w:rPr>
        <w:t xml:space="preserve"> MO, Frick MH, </w:t>
      </w:r>
      <w:proofErr w:type="spellStart"/>
      <w:r w:rsidRPr="002076C1">
        <w:rPr>
          <w:rFonts w:ascii="Times New Roman" w:hAnsi="Times New Roman" w:cs="Times New Roman"/>
          <w:color w:val="222222"/>
          <w:sz w:val="18"/>
          <w:szCs w:val="18"/>
          <w:shd w:val="clear" w:color="auto" w:fill="FFFFFF"/>
        </w:rPr>
        <w:t>Haapa</w:t>
      </w:r>
      <w:proofErr w:type="spellEnd"/>
      <w:r w:rsidRPr="002076C1">
        <w:rPr>
          <w:rFonts w:ascii="Times New Roman" w:hAnsi="Times New Roman" w:cs="Times New Roman"/>
          <w:color w:val="222222"/>
          <w:sz w:val="18"/>
          <w:szCs w:val="18"/>
          <w:shd w:val="clear" w:color="auto" w:fill="FFFFFF"/>
        </w:rPr>
        <w:t xml:space="preserve"> K, </w:t>
      </w:r>
      <w:proofErr w:type="spellStart"/>
      <w:r w:rsidRPr="002076C1">
        <w:rPr>
          <w:rFonts w:ascii="Times New Roman" w:hAnsi="Times New Roman" w:cs="Times New Roman"/>
          <w:color w:val="222222"/>
          <w:sz w:val="18"/>
          <w:szCs w:val="18"/>
          <w:shd w:val="clear" w:color="auto" w:fill="FFFFFF"/>
        </w:rPr>
        <w:t>Heinonen</w:t>
      </w:r>
      <w:proofErr w:type="spellEnd"/>
      <w:r w:rsidRPr="002076C1">
        <w:rPr>
          <w:rFonts w:ascii="Times New Roman" w:hAnsi="Times New Roman" w:cs="Times New Roman"/>
          <w:color w:val="222222"/>
          <w:sz w:val="18"/>
          <w:szCs w:val="18"/>
          <w:shd w:val="clear" w:color="auto" w:fill="FFFFFF"/>
        </w:rPr>
        <w:t xml:space="preserve"> OP, </w:t>
      </w:r>
      <w:proofErr w:type="spellStart"/>
      <w:r w:rsidRPr="002076C1">
        <w:rPr>
          <w:rFonts w:ascii="Times New Roman" w:hAnsi="Times New Roman" w:cs="Times New Roman"/>
          <w:color w:val="222222"/>
          <w:sz w:val="18"/>
          <w:szCs w:val="18"/>
          <w:shd w:val="clear" w:color="auto" w:fill="FFFFFF"/>
        </w:rPr>
        <w:t>Heinsalmi</w:t>
      </w:r>
      <w:proofErr w:type="spellEnd"/>
      <w:r w:rsidRPr="002076C1">
        <w:rPr>
          <w:rFonts w:ascii="Times New Roman" w:hAnsi="Times New Roman" w:cs="Times New Roman"/>
          <w:color w:val="222222"/>
          <w:sz w:val="18"/>
          <w:szCs w:val="18"/>
          <w:shd w:val="clear" w:color="auto" w:fill="FFFFFF"/>
        </w:rPr>
        <w:t xml:space="preserve"> P, </w:t>
      </w:r>
      <w:proofErr w:type="spellStart"/>
      <w:r w:rsidRPr="002076C1">
        <w:rPr>
          <w:rFonts w:ascii="Times New Roman" w:hAnsi="Times New Roman" w:cs="Times New Roman"/>
          <w:color w:val="222222"/>
          <w:sz w:val="18"/>
          <w:szCs w:val="18"/>
          <w:shd w:val="clear" w:color="auto" w:fill="FFFFFF"/>
        </w:rPr>
        <w:t>Helo</w:t>
      </w:r>
      <w:proofErr w:type="spellEnd"/>
      <w:r w:rsidRPr="002076C1">
        <w:rPr>
          <w:rFonts w:ascii="Times New Roman" w:hAnsi="Times New Roman" w:cs="Times New Roman"/>
          <w:color w:val="222222"/>
          <w:sz w:val="18"/>
          <w:szCs w:val="18"/>
          <w:shd w:val="clear" w:color="auto" w:fill="FFFFFF"/>
        </w:rPr>
        <w:t xml:space="preserve"> P, </w:t>
      </w:r>
      <w:proofErr w:type="spellStart"/>
      <w:r w:rsidRPr="002076C1">
        <w:rPr>
          <w:rFonts w:ascii="Times New Roman" w:hAnsi="Times New Roman" w:cs="Times New Roman"/>
          <w:color w:val="222222"/>
          <w:sz w:val="18"/>
          <w:szCs w:val="18"/>
          <w:shd w:val="clear" w:color="auto" w:fill="FFFFFF"/>
        </w:rPr>
        <w:t>Huttunen</w:t>
      </w:r>
      <w:proofErr w:type="spellEnd"/>
      <w:r w:rsidRPr="002076C1">
        <w:rPr>
          <w:rFonts w:ascii="Times New Roman" w:hAnsi="Times New Roman" w:cs="Times New Roman"/>
          <w:color w:val="222222"/>
          <w:sz w:val="18"/>
          <w:szCs w:val="18"/>
          <w:shd w:val="clear" w:color="auto" w:fill="FFFFFF"/>
        </w:rPr>
        <w:t xml:space="preserve"> JK, </w:t>
      </w:r>
      <w:proofErr w:type="spellStart"/>
      <w:r w:rsidRPr="002076C1">
        <w:rPr>
          <w:rFonts w:ascii="Times New Roman" w:hAnsi="Times New Roman" w:cs="Times New Roman"/>
          <w:color w:val="222222"/>
          <w:sz w:val="18"/>
          <w:szCs w:val="18"/>
          <w:shd w:val="clear" w:color="auto" w:fill="FFFFFF"/>
        </w:rPr>
        <w:t>Kaitaniemi</w:t>
      </w:r>
      <w:proofErr w:type="spellEnd"/>
      <w:r w:rsidRPr="002076C1">
        <w:rPr>
          <w:rFonts w:ascii="Times New Roman" w:hAnsi="Times New Roman" w:cs="Times New Roman"/>
          <w:color w:val="222222"/>
          <w:sz w:val="18"/>
          <w:szCs w:val="18"/>
          <w:shd w:val="clear" w:color="auto" w:fill="FFFFFF"/>
        </w:rPr>
        <w:t xml:space="preserve"> P, </w:t>
      </w:r>
      <w:proofErr w:type="spellStart"/>
      <w:r w:rsidRPr="002076C1">
        <w:rPr>
          <w:rFonts w:ascii="Times New Roman" w:hAnsi="Times New Roman" w:cs="Times New Roman"/>
          <w:color w:val="222222"/>
          <w:sz w:val="18"/>
          <w:szCs w:val="18"/>
          <w:shd w:val="clear" w:color="auto" w:fill="FFFFFF"/>
        </w:rPr>
        <w:t>Koskinen</w:t>
      </w:r>
      <w:proofErr w:type="spellEnd"/>
      <w:r w:rsidRPr="002076C1">
        <w:rPr>
          <w:rFonts w:ascii="Times New Roman" w:hAnsi="Times New Roman" w:cs="Times New Roman"/>
          <w:color w:val="222222"/>
          <w:sz w:val="18"/>
          <w:szCs w:val="18"/>
          <w:shd w:val="clear" w:color="auto" w:fill="FFFFFF"/>
        </w:rPr>
        <w:t xml:space="preserve"> P, </w:t>
      </w:r>
      <w:proofErr w:type="spellStart"/>
      <w:r w:rsidRPr="002076C1">
        <w:rPr>
          <w:rFonts w:ascii="Times New Roman" w:hAnsi="Times New Roman" w:cs="Times New Roman"/>
          <w:color w:val="222222"/>
          <w:sz w:val="18"/>
          <w:szCs w:val="18"/>
          <w:shd w:val="clear" w:color="auto" w:fill="FFFFFF"/>
        </w:rPr>
        <w:t>Mäenpää</w:t>
      </w:r>
      <w:proofErr w:type="spellEnd"/>
      <w:r w:rsidRPr="002076C1">
        <w:rPr>
          <w:rFonts w:ascii="Times New Roman" w:hAnsi="Times New Roman" w:cs="Times New Roman"/>
          <w:color w:val="222222"/>
          <w:sz w:val="18"/>
          <w:szCs w:val="18"/>
          <w:shd w:val="clear" w:color="auto" w:fill="FFFFFF"/>
        </w:rPr>
        <w:t xml:space="preserve"> H. Lipid alterations and decline in the incidence of coronary heart disease in the Helsinki Heart Study. </w:t>
      </w:r>
      <w:proofErr w:type="spellStart"/>
      <w:proofErr w:type="gramStart"/>
      <w:r w:rsidRPr="002076C1">
        <w:rPr>
          <w:rFonts w:ascii="Times New Roman" w:hAnsi="Times New Roman" w:cs="Times New Roman"/>
          <w:color w:val="222222"/>
          <w:sz w:val="18"/>
          <w:szCs w:val="18"/>
          <w:shd w:val="clear" w:color="auto" w:fill="FFFFFF"/>
        </w:rPr>
        <w:t>Jama</w:t>
      </w:r>
      <w:proofErr w:type="spellEnd"/>
      <w:r w:rsidRPr="002076C1">
        <w:rPr>
          <w:rFonts w:ascii="Times New Roman" w:hAnsi="Times New Roman" w:cs="Times New Roman"/>
          <w:color w:val="222222"/>
          <w:sz w:val="18"/>
          <w:szCs w:val="18"/>
          <w:shd w:val="clear" w:color="auto" w:fill="FFFFFF"/>
        </w:rPr>
        <w:t>.</w:t>
      </w:r>
      <w:proofErr w:type="gramEnd"/>
      <w:r w:rsidRPr="002076C1">
        <w:rPr>
          <w:rFonts w:ascii="Times New Roman" w:hAnsi="Times New Roman" w:cs="Times New Roman"/>
          <w:color w:val="222222"/>
          <w:sz w:val="18"/>
          <w:szCs w:val="18"/>
          <w:shd w:val="clear" w:color="auto" w:fill="FFFFFF"/>
        </w:rPr>
        <w:t xml:space="preserve"> </w:t>
      </w:r>
      <w:proofErr w:type="gramStart"/>
      <w:r w:rsidRPr="002076C1">
        <w:rPr>
          <w:rFonts w:ascii="Times New Roman" w:hAnsi="Times New Roman" w:cs="Times New Roman"/>
          <w:color w:val="222222"/>
          <w:sz w:val="18"/>
          <w:szCs w:val="18"/>
          <w:shd w:val="clear" w:color="auto" w:fill="FFFFFF"/>
        </w:rPr>
        <w:t>1988 ;260</w:t>
      </w:r>
      <w:proofErr w:type="gramEnd"/>
      <w:r w:rsidRPr="002076C1">
        <w:rPr>
          <w:rFonts w:ascii="Times New Roman" w:hAnsi="Times New Roman" w:cs="Times New Roman"/>
          <w:color w:val="222222"/>
          <w:sz w:val="18"/>
          <w:szCs w:val="18"/>
          <w:shd w:val="clear" w:color="auto" w:fill="FFFFFF"/>
        </w:rPr>
        <w:t>(5):641-51.</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t xml:space="preserve">8. Kim HJ, Park HA, Cho YG, Kang JH, Kim KW, Kang JH, Kim NR, Chung WC, Kim CH, </w:t>
      </w:r>
      <w:proofErr w:type="spellStart"/>
      <w:r w:rsidRPr="002076C1">
        <w:rPr>
          <w:rFonts w:ascii="Times New Roman" w:hAnsi="Times New Roman" w:cs="Times New Roman"/>
          <w:color w:val="222222"/>
          <w:sz w:val="18"/>
          <w:szCs w:val="18"/>
          <w:shd w:val="clear" w:color="auto" w:fill="FFFFFF"/>
        </w:rPr>
        <w:t>Whang</w:t>
      </w:r>
      <w:proofErr w:type="spellEnd"/>
      <w:r w:rsidRPr="002076C1">
        <w:rPr>
          <w:rFonts w:ascii="Times New Roman" w:hAnsi="Times New Roman" w:cs="Times New Roman"/>
          <w:color w:val="222222"/>
          <w:sz w:val="18"/>
          <w:szCs w:val="18"/>
          <w:shd w:val="clear" w:color="auto" w:fill="FFFFFF"/>
        </w:rPr>
        <w:t xml:space="preserve"> DH, Park JK. </w:t>
      </w:r>
      <w:proofErr w:type="gramStart"/>
      <w:r w:rsidRPr="002076C1">
        <w:rPr>
          <w:rFonts w:ascii="Times New Roman" w:hAnsi="Times New Roman" w:cs="Times New Roman"/>
          <w:color w:val="222222"/>
          <w:sz w:val="18"/>
          <w:szCs w:val="18"/>
          <w:shd w:val="clear" w:color="auto" w:fill="FFFFFF"/>
        </w:rPr>
        <w:t>Gender difference in the level of HDL cholesterol in Korean adults.</w:t>
      </w:r>
      <w:proofErr w:type="gramEnd"/>
      <w:r w:rsidRPr="002076C1">
        <w:rPr>
          <w:rFonts w:ascii="Times New Roman" w:hAnsi="Times New Roman" w:cs="Times New Roman"/>
          <w:color w:val="222222"/>
          <w:sz w:val="18"/>
          <w:szCs w:val="18"/>
          <w:shd w:val="clear" w:color="auto" w:fill="FFFFFF"/>
        </w:rPr>
        <w:t xml:space="preserve"> </w:t>
      </w:r>
      <w:proofErr w:type="gramStart"/>
      <w:r w:rsidRPr="002076C1">
        <w:rPr>
          <w:rFonts w:ascii="Times New Roman" w:hAnsi="Times New Roman" w:cs="Times New Roman"/>
          <w:color w:val="222222"/>
          <w:sz w:val="18"/>
          <w:szCs w:val="18"/>
          <w:shd w:val="clear" w:color="auto" w:fill="FFFFFF"/>
        </w:rPr>
        <w:t>Korean journal of family medicine.</w:t>
      </w:r>
      <w:proofErr w:type="gramEnd"/>
      <w:r w:rsidRPr="002076C1">
        <w:rPr>
          <w:rFonts w:ascii="Times New Roman" w:hAnsi="Times New Roman" w:cs="Times New Roman"/>
          <w:color w:val="222222"/>
          <w:sz w:val="18"/>
          <w:szCs w:val="18"/>
          <w:shd w:val="clear" w:color="auto" w:fill="FFFFFF"/>
        </w:rPr>
        <w:t xml:space="preserve"> 2011 Mar</w:t>
      </w:r>
      <w:proofErr w:type="gramStart"/>
      <w:r w:rsidRPr="002076C1">
        <w:rPr>
          <w:rFonts w:ascii="Times New Roman" w:hAnsi="Times New Roman" w:cs="Times New Roman"/>
          <w:color w:val="222222"/>
          <w:sz w:val="18"/>
          <w:szCs w:val="18"/>
          <w:shd w:val="clear" w:color="auto" w:fill="FFFFFF"/>
        </w:rPr>
        <w:t>;32</w:t>
      </w:r>
      <w:proofErr w:type="gramEnd"/>
      <w:r w:rsidRPr="002076C1">
        <w:rPr>
          <w:rFonts w:ascii="Times New Roman" w:hAnsi="Times New Roman" w:cs="Times New Roman"/>
          <w:color w:val="222222"/>
          <w:sz w:val="18"/>
          <w:szCs w:val="18"/>
          <w:shd w:val="clear" w:color="auto" w:fill="FFFFFF"/>
        </w:rPr>
        <w:t>(3):173.</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t xml:space="preserve">9. Davis BR, Cutler JA, Gordon DJ, </w:t>
      </w:r>
      <w:proofErr w:type="spellStart"/>
      <w:r w:rsidRPr="002076C1">
        <w:rPr>
          <w:rFonts w:ascii="Times New Roman" w:hAnsi="Times New Roman" w:cs="Times New Roman"/>
          <w:color w:val="222222"/>
          <w:sz w:val="18"/>
          <w:szCs w:val="18"/>
          <w:shd w:val="clear" w:color="auto" w:fill="FFFFFF"/>
        </w:rPr>
        <w:t>Furberg</w:t>
      </w:r>
      <w:proofErr w:type="spellEnd"/>
      <w:r w:rsidRPr="002076C1">
        <w:rPr>
          <w:rFonts w:ascii="Times New Roman" w:hAnsi="Times New Roman" w:cs="Times New Roman"/>
          <w:color w:val="222222"/>
          <w:sz w:val="18"/>
          <w:szCs w:val="18"/>
          <w:shd w:val="clear" w:color="auto" w:fill="FFFFFF"/>
        </w:rPr>
        <w:t xml:space="preserve"> CD, Wright </w:t>
      </w:r>
      <w:proofErr w:type="spellStart"/>
      <w:r w:rsidRPr="002076C1">
        <w:rPr>
          <w:rFonts w:ascii="Times New Roman" w:hAnsi="Times New Roman" w:cs="Times New Roman"/>
          <w:color w:val="222222"/>
          <w:sz w:val="18"/>
          <w:szCs w:val="18"/>
          <w:shd w:val="clear" w:color="auto" w:fill="FFFFFF"/>
        </w:rPr>
        <w:t>Jr</w:t>
      </w:r>
      <w:proofErr w:type="spellEnd"/>
      <w:r w:rsidRPr="002076C1">
        <w:rPr>
          <w:rFonts w:ascii="Times New Roman" w:hAnsi="Times New Roman" w:cs="Times New Roman"/>
          <w:color w:val="222222"/>
          <w:sz w:val="18"/>
          <w:szCs w:val="18"/>
          <w:shd w:val="clear" w:color="auto" w:fill="FFFFFF"/>
        </w:rPr>
        <w:t xml:space="preserve"> JT, Cushman WC, Grimm RH, </w:t>
      </w:r>
      <w:proofErr w:type="spellStart"/>
      <w:r w:rsidRPr="002076C1">
        <w:rPr>
          <w:rFonts w:ascii="Times New Roman" w:hAnsi="Times New Roman" w:cs="Times New Roman"/>
          <w:color w:val="222222"/>
          <w:sz w:val="18"/>
          <w:szCs w:val="18"/>
          <w:shd w:val="clear" w:color="auto" w:fill="FFFFFF"/>
        </w:rPr>
        <w:t>LaRosa</w:t>
      </w:r>
      <w:proofErr w:type="spellEnd"/>
      <w:r w:rsidRPr="002076C1">
        <w:rPr>
          <w:rFonts w:ascii="Times New Roman" w:hAnsi="Times New Roman" w:cs="Times New Roman"/>
          <w:color w:val="222222"/>
          <w:sz w:val="18"/>
          <w:szCs w:val="18"/>
          <w:shd w:val="clear" w:color="auto" w:fill="FFFFFF"/>
        </w:rPr>
        <w:t xml:space="preserve"> J, </w:t>
      </w:r>
      <w:proofErr w:type="spellStart"/>
      <w:r w:rsidRPr="002076C1">
        <w:rPr>
          <w:rFonts w:ascii="Times New Roman" w:hAnsi="Times New Roman" w:cs="Times New Roman"/>
          <w:color w:val="222222"/>
          <w:sz w:val="18"/>
          <w:szCs w:val="18"/>
          <w:shd w:val="clear" w:color="auto" w:fill="FFFFFF"/>
        </w:rPr>
        <w:t>Whelton</w:t>
      </w:r>
      <w:proofErr w:type="spellEnd"/>
      <w:r w:rsidRPr="002076C1">
        <w:rPr>
          <w:rFonts w:ascii="Times New Roman" w:hAnsi="Times New Roman" w:cs="Times New Roman"/>
          <w:color w:val="222222"/>
          <w:sz w:val="18"/>
          <w:szCs w:val="18"/>
          <w:shd w:val="clear" w:color="auto" w:fill="FFFFFF"/>
        </w:rPr>
        <w:t xml:space="preserve"> PK, Perry HM, Alderman MH. Rationale and design for the antihypertensive and lipid lowering treatment to prevent heart attack trial (ALLHAT). </w:t>
      </w:r>
      <w:proofErr w:type="gramStart"/>
      <w:r w:rsidRPr="002076C1">
        <w:rPr>
          <w:rFonts w:ascii="Times New Roman" w:hAnsi="Times New Roman" w:cs="Times New Roman"/>
          <w:color w:val="222222"/>
          <w:sz w:val="18"/>
          <w:szCs w:val="18"/>
          <w:shd w:val="clear" w:color="auto" w:fill="FFFFFF"/>
        </w:rPr>
        <w:t>American journal of hypertension.</w:t>
      </w:r>
      <w:proofErr w:type="gramEnd"/>
      <w:r w:rsidRPr="002076C1">
        <w:rPr>
          <w:rFonts w:ascii="Times New Roman" w:hAnsi="Times New Roman" w:cs="Times New Roman"/>
          <w:color w:val="222222"/>
          <w:sz w:val="18"/>
          <w:szCs w:val="18"/>
          <w:shd w:val="clear" w:color="auto" w:fill="FFFFFF"/>
        </w:rPr>
        <w:t xml:space="preserve"> 1996</w:t>
      </w:r>
      <w:proofErr w:type="gramStart"/>
      <w:r w:rsidRPr="002076C1">
        <w:rPr>
          <w:rFonts w:ascii="Times New Roman" w:hAnsi="Times New Roman" w:cs="Times New Roman"/>
          <w:color w:val="222222"/>
          <w:sz w:val="18"/>
          <w:szCs w:val="18"/>
          <w:shd w:val="clear" w:color="auto" w:fill="FFFFFF"/>
        </w:rPr>
        <w:t>;9</w:t>
      </w:r>
      <w:proofErr w:type="gramEnd"/>
      <w:r w:rsidRPr="002076C1">
        <w:rPr>
          <w:rFonts w:ascii="Times New Roman" w:hAnsi="Times New Roman" w:cs="Times New Roman"/>
          <w:color w:val="222222"/>
          <w:sz w:val="18"/>
          <w:szCs w:val="18"/>
          <w:shd w:val="clear" w:color="auto" w:fill="FFFFFF"/>
        </w:rPr>
        <w:t>(4):342-60.</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t xml:space="preserve">10. </w:t>
      </w:r>
      <w:proofErr w:type="spellStart"/>
      <w:r w:rsidRPr="002076C1">
        <w:rPr>
          <w:rFonts w:ascii="Times New Roman" w:hAnsi="Times New Roman" w:cs="Times New Roman"/>
          <w:color w:val="222222"/>
          <w:sz w:val="18"/>
          <w:szCs w:val="18"/>
          <w:shd w:val="clear" w:color="auto" w:fill="FFFFFF"/>
        </w:rPr>
        <w:t>Kesteloot</w:t>
      </w:r>
      <w:proofErr w:type="spellEnd"/>
      <w:r w:rsidRPr="002076C1">
        <w:rPr>
          <w:rFonts w:ascii="Times New Roman" w:hAnsi="Times New Roman" w:cs="Times New Roman"/>
          <w:color w:val="222222"/>
          <w:sz w:val="18"/>
          <w:szCs w:val="18"/>
          <w:shd w:val="clear" w:color="auto" w:fill="FFFFFF"/>
        </w:rPr>
        <w:t xml:space="preserve"> H, Sans S, </w:t>
      </w:r>
      <w:proofErr w:type="spellStart"/>
      <w:r w:rsidRPr="002076C1">
        <w:rPr>
          <w:rFonts w:ascii="Times New Roman" w:hAnsi="Times New Roman" w:cs="Times New Roman"/>
          <w:color w:val="222222"/>
          <w:sz w:val="18"/>
          <w:szCs w:val="18"/>
          <w:shd w:val="clear" w:color="auto" w:fill="FFFFFF"/>
        </w:rPr>
        <w:t>Kromhout</w:t>
      </w:r>
      <w:proofErr w:type="spellEnd"/>
      <w:r w:rsidRPr="002076C1">
        <w:rPr>
          <w:rFonts w:ascii="Times New Roman" w:hAnsi="Times New Roman" w:cs="Times New Roman"/>
          <w:color w:val="222222"/>
          <w:sz w:val="18"/>
          <w:szCs w:val="18"/>
          <w:shd w:val="clear" w:color="auto" w:fill="FFFFFF"/>
        </w:rPr>
        <w:t xml:space="preserve"> D. Dynamics of cardiovascular and all-cause mortality in Western and Eastern Europe between 1970 and 2000. </w:t>
      </w:r>
      <w:proofErr w:type="gramStart"/>
      <w:r w:rsidRPr="002076C1">
        <w:rPr>
          <w:rFonts w:ascii="Times New Roman" w:hAnsi="Times New Roman" w:cs="Times New Roman"/>
          <w:color w:val="222222"/>
          <w:sz w:val="18"/>
          <w:szCs w:val="18"/>
          <w:shd w:val="clear" w:color="auto" w:fill="FFFFFF"/>
        </w:rPr>
        <w:t>European heart journal.</w:t>
      </w:r>
      <w:proofErr w:type="gramEnd"/>
      <w:r w:rsidRPr="002076C1">
        <w:rPr>
          <w:rFonts w:ascii="Times New Roman" w:hAnsi="Times New Roman" w:cs="Times New Roman"/>
          <w:color w:val="222222"/>
          <w:sz w:val="18"/>
          <w:szCs w:val="18"/>
          <w:shd w:val="clear" w:color="auto" w:fill="FFFFFF"/>
        </w:rPr>
        <w:t xml:space="preserve"> 2006</w:t>
      </w:r>
      <w:proofErr w:type="gramStart"/>
      <w:r w:rsidRPr="002076C1">
        <w:rPr>
          <w:rFonts w:ascii="Times New Roman" w:hAnsi="Times New Roman" w:cs="Times New Roman"/>
          <w:color w:val="222222"/>
          <w:sz w:val="18"/>
          <w:szCs w:val="18"/>
          <w:shd w:val="clear" w:color="auto" w:fill="FFFFFF"/>
        </w:rPr>
        <w:t>;27</w:t>
      </w:r>
      <w:proofErr w:type="gramEnd"/>
      <w:r w:rsidRPr="002076C1">
        <w:rPr>
          <w:rFonts w:ascii="Times New Roman" w:hAnsi="Times New Roman" w:cs="Times New Roman"/>
          <w:color w:val="222222"/>
          <w:sz w:val="18"/>
          <w:szCs w:val="18"/>
          <w:shd w:val="clear" w:color="auto" w:fill="FFFFFF"/>
        </w:rPr>
        <w:t>(1):107-13.</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t xml:space="preserve">11. </w:t>
      </w:r>
      <w:proofErr w:type="spellStart"/>
      <w:r w:rsidRPr="002076C1">
        <w:rPr>
          <w:rFonts w:ascii="Times New Roman" w:hAnsi="Times New Roman" w:cs="Times New Roman"/>
          <w:color w:val="222222"/>
          <w:sz w:val="18"/>
          <w:szCs w:val="18"/>
          <w:shd w:val="clear" w:color="auto" w:fill="FFFFFF"/>
        </w:rPr>
        <w:t>Rossouw</w:t>
      </w:r>
      <w:proofErr w:type="spellEnd"/>
      <w:r w:rsidRPr="002076C1">
        <w:rPr>
          <w:rFonts w:ascii="Times New Roman" w:hAnsi="Times New Roman" w:cs="Times New Roman"/>
          <w:color w:val="222222"/>
          <w:sz w:val="18"/>
          <w:szCs w:val="18"/>
          <w:shd w:val="clear" w:color="auto" w:fill="FFFFFF"/>
        </w:rPr>
        <w:t xml:space="preserve"> JE. </w:t>
      </w:r>
      <w:proofErr w:type="gramStart"/>
      <w:r w:rsidRPr="002076C1">
        <w:rPr>
          <w:rFonts w:ascii="Times New Roman" w:hAnsi="Times New Roman" w:cs="Times New Roman"/>
          <w:color w:val="222222"/>
          <w:sz w:val="18"/>
          <w:szCs w:val="18"/>
          <w:shd w:val="clear" w:color="auto" w:fill="FFFFFF"/>
        </w:rPr>
        <w:t>Writing Group for the Women's Health Initiative Investigators.</w:t>
      </w:r>
      <w:proofErr w:type="gramEnd"/>
      <w:r w:rsidRPr="002076C1">
        <w:rPr>
          <w:rFonts w:ascii="Times New Roman" w:hAnsi="Times New Roman" w:cs="Times New Roman"/>
          <w:color w:val="222222"/>
          <w:sz w:val="18"/>
          <w:szCs w:val="18"/>
          <w:shd w:val="clear" w:color="auto" w:fill="FFFFFF"/>
        </w:rPr>
        <w:t xml:space="preserve"> Risks and benefits of estrogen plus progestin in healthy postmenopausal women: principal results from the Women's Health Initiative randomized controlled trial. </w:t>
      </w:r>
      <w:proofErr w:type="spellStart"/>
      <w:proofErr w:type="gramStart"/>
      <w:r w:rsidRPr="002076C1">
        <w:rPr>
          <w:rFonts w:ascii="Times New Roman" w:hAnsi="Times New Roman" w:cs="Times New Roman"/>
          <w:color w:val="222222"/>
          <w:sz w:val="18"/>
          <w:szCs w:val="18"/>
          <w:shd w:val="clear" w:color="auto" w:fill="FFFFFF"/>
        </w:rPr>
        <w:t>Jama</w:t>
      </w:r>
      <w:proofErr w:type="spellEnd"/>
      <w:r w:rsidRPr="002076C1">
        <w:rPr>
          <w:rFonts w:ascii="Times New Roman" w:hAnsi="Times New Roman" w:cs="Times New Roman"/>
          <w:color w:val="222222"/>
          <w:sz w:val="18"/>
          <w:szCs w:val="18"/>
          <w:shd w:val="clear" w:color="auto" w:fill="FFFFFF"/>
        </w:rPr>
        <w:t>.</w:t>
      </w:r>
      <w:proofErr w:type="gramEnd"/>
      <w:r w:rsidRPr="002076C1">
        <w:rPr>
          <w:rFonts w:ascii="Times New Roman" w:hAnsi="Times New Roman" w:cs="Times New Roman"/>
          <w:color w:val="222222"/>
          <w:sz w:val="18"/>
          <w:szCs w:val="18"/>
          <w:shd w:val="clear" w:color="auto" w:fill="FFFFFF"/>
        </w:rPr>
        <w:t xml:space="preserve"> 2002</w:t>
      </w:r>
      <w:proofErr w:type="gramStart"/>
      <w:r w:rsidRPr="002076C1">
        <w:rPr>
          <w:rFonts w:ascii="Times New Roman" w:hAnsi="Times New Roman" w:cs="Times New Roman"/>
          <w:color w:val="222222"/>
          <w:sz w:val="18"/>
          <w:szCs w:val="18"/>
          <w:shd w:val="clear" w:color="auto" w:fill="FFFFFF"/>
        </w:rPr>
        <w:t>;288:321</w:t>
      </w:r>
      <w:proofErr w:type="gramEnd"/>
      <w:r w:rsidRPr="002076C1">
        <w:rPr>
          <w:rFonts w:ascii="Times New Roman" w:hAnsi="Times New Roman" w:cs="Times New Roman"/>
          <w:color w:val="222222"/>
          <w:sz w:val="18"/>
          <w:szCs w:val="18"/>
          <w:shd w:val="clear" w:color="auto" w:fill="FFFFFF"/>
        </w:rPr>
        <w:t>-33.</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t xml:space="preserve">12. </w:t>
      </w:r>
      <w:proofErr w:type="spellStart"/>
      <w:r w:rsidRPr="002076C1">
        <w:rPr>
          <w:rFonts w:ascii="Times New Roman" w:hAnsi="Times New Roman" w:cs="Times New Roman"/>
          <w:color w:val="222222"/>
          <w:sz w:val="18"/>
          <w:szCs w:val="18"/>
          <w:shd w:val="clear" w:color="auto" w:fill="FFFFFF"/>
        </w:rPr>
        <w:t>Mascitelli</w:t>
      </w:r>
      <w:proofErr w:type="spellEnd"/>
      <w:r w:rsidRPr="002076C1">
        <w:rPr>
          <w:rFonts w:ascii="Times New Roman" w:hAnsi="Times New Roman" w:cs="Times New Roman"/>
          <w:color w:val="222222"/>
          <w:sz w:val="18"/>
          <w:szCs w:val="18"/>
          <w:shd w:val="clear" w:color="auto" w:fill="FFFFFF"/>
        </w:rPr>
        <w:t xml:space="preserve"> L, </w:t>
      </w:r>
      <w:proofErr w:type="spellStart"/>
      <w:r w:rsidRPr="002076C1">
        <w:rPr>
          <w:rFonts w:ascii="Times New Roman" w:hAnsi="Times New Roman" w:cs="Times New Roman"/>
          <w:color w:val="222222"/>
          <w:sz w:val="18"/>
          <w:szCs w:val="18"/>
          <w:shd w:val="clear" w:color="auto" w:fill="FFFFFF"/>
        </w:rPr>
        <w:t>Pezzetta</w:t>
      </w:r>
      <w:proofErr w:type="spellEnd"/>
      <w:r w:rsidRPr="002076C1">
        <w:rPr>
          <w:rFonts w:ascii="Times New Roman" w:hAnsi="Times New Roman" w:cs="Times New Roman"/>
          <w:color w:val="222222"/>
          <w:sz w:val="18"/>
          <w:szCs w:val="18"/>
          <w:shd w:val="clear" w:color="auto" w:fill="FFFFFF"/>
        </w:rPr>
        <w:t xml:space="preserve"> F. High-density lipoprotein cholesterol and sex difference in coronary heart disease risk. </w:t>
      </w:r>
      <w:proofErr w:type="gramStart"/>
      <w:r w:rsidRPr="002076C1">
        <w:rPr>
          <w:rFonts w:ascii="Times New Roman" w:hAnsi="Times New Roman" w:cs="Times New Roman"/>
          <w:color w:val="222222"/>
          <w:sz w:val="18"/>
          <w:szCs w:val="18"/>
          <w:shd w:val="clear" w:color="auto" w:fill="FFFFFF"/>
        </w:rPr>
        <w:t>The American journal of medicine.</w:t>
      </w:r>
      <w:proofErr w:type="gramEnd"/>
      <w:r w:rsidRPr="002076C1">
        <w:rPr>
          <w:rFonts w:ascii="Times New Roman" w:hAnsi="Times New Roman" w:cs="Times New Roman"/>
          <w:color w:val="222222"/>
          <w:sz w:val="18"/>
          <w:szCs w:val="18"/>
          <w:shd w:val="clear" w:color="auto" w:fill="FFFFFF"/>
        </w:rPr>
        <w:t xml:space="preserve"> 2006</w:t>
      </w:r>
      <w:proofErr w:type="gramStart"/>
      <w:r w:rsidRPr="002076C1">
        <w:rPr>
          <w:rFonts w:ascii="Times New Roman" w:hAnsi="Times New Roman" w:cs="Times New Roman"/>
          <w:color w:val="222222"/>
          <w:sz w:val="18"/>
          <w:szCs w:val="18"/>
          <w:shd w:val="clear" w:color="auto" w:fill="FFFFFF"/>
        </w:rPr>
        <w:t>;119</w:t>
      </w:r>
      <w:proofErr w:type="gramEnd"/>
      <w:r w:rsidRPr="002076C1">
        <w:rPr>
          <w:rFonts w:ascii="Times New Roman" w:hAnsi="Times New Roman" w:cs="Times New Roman"/>
          <w:color w:val="222222"/>
          <w:sz w:val="18"/>
          <w:szCs w:val="18"/>
          <w:shd w:val="clear" w:color="auto" w:fill="FFFFFF"/>
        </w:rPr>
        <w:t>(5):e17.</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t xml:space="preserve">13. Mendelsohn ME, </w:t>
      </w:r>
      <w:proofErr w:type="spellStart"/>
      <w:r w:rsidRPr="002076C1">
        <w:rPr>
          <w:rFonts w:ascii="Times New Roman" w:hAnsi="Times New Roman" w:cs="Times New Roman"/>
          <w:color w:val="222222"/>
          <w:sz w:val="18"/>
          <w:szCs w:val="18"/>
          <w:shd w:val="clear" w:color="auto" w:fill="FFFFFF"/>
        </w:rPr>
        <w:t>Karas</w:t>
      </w:r>
      <w:proofErr w:type="spellEnd"/>
      <w:r w:rsidRPr="002076C1">
        <w:rPr>
          <w:rFonts w:ascii="Times New Roman" w:hAnsi="Times New Roman" w:cs="Times New Roman"/>
          <w:color w:val="222222"/>
          <w:sz w:val="18"/>
          <w:szCs w:val="18"/>
          <w:shd w:val="clear" w:color="auto" w:fill="FFFFFF"/>
        </w:rPr>
        <w:t xml:space="preserve"> RH. </w:t>
      </w:r>
      <w:proofErr w:type="gramStart"/>
      <w:r w:rsidRPr="002076C1">
        <w:rPr>
          <w:rFonts w:ascii="Times New Roman" w:hAnsi="Times New Roman" w:cs="Times New Roman"/>
          <w:color w:val="222222"/>
          <w:sz w:val="18"/>
          <w:szCs w:val="18"/>
          <w:shd w:val="clear" w:color="auto" w:fill="FFFFFF"/>
        </w:rPr>
        <w:t>Molecular and cellular basis of cardiovascular gender differences.</w:t>
      </w:r>
      <w:proofErr w:type="gramEnd"/>
      <w:r w:rsidRPr="002076C1">
        <w:rPr>
          <w:rFonts w:ascii="Times New Roman" w:hAnsi="Times New Roman" w:cs="Times New Roman"/>
          <w:color w:val="222222"/>
          <w:sz w:val="18"/>
          <w:szCs w:val="18"/>
          <w:shd w:val="clear" w:color="auto" w:fill="FFFFFF"/>
        </w:rPr>
        <w:t xml:space="preserve"> </w:t>
      </w:r>
      <w:proofErr w:type="gramStart"/>
      <w:r w:rsidRPr="002076C1">
        <w:rPr>
          <w:rFonts w:ascii="Times New Roman" w:hAnsi="Times New Roman" w:cs="Times New Roman"/>
          <w:color w:val="222222"/>
          <w:sz w:val="18"/>
          <w:szCs w:val="18"/>
          <w:shd w:val="clear" w:color="auto" w:fill="FFFFFF"/>
        </w:rPr>
        <w:t>Science.</w:t>
      </w:r>
      <w:proofErr w:type="gramEnd"/>
      <w:r w:rsidRPr="002076C1">
        <w:rPr>
          <w:rFonts w:ascii="Times New Roman" w:hAnsi="Times New Roman" w:cs="Times New Roman"/>
          <w:color w:val="222222"/>
          <w:sz w:val="18"/>
          <w:szCs w:val="18"/>
          <w:shd w:val="clear" w:color="auto" w:fill="FFFFFF"/>
        </w:rPr>
        <w:t xml:space="preserve"> </w:t>
      </w:r>
      <w:proofErr w:type="gramStart"/>
      <w:r w:rsidRPr="002076C1">
        <w:rPr>
          <w:rFonts w:ascii="Times New Roman" w:hAnsi="Times New Roman" w:cs="Times New Roman"/>
          <w:color w:val="222222"/>
          <w:sz w:val="18"/>
          <w:szCs w:val="18"/>
          <w:shd w:val="clear" w:color="auto" w:fill="FFFFFF"/>
        </w:rPr>
        <w:t>2005 ;308</w:t>
      </w:r>
      <w:proofErr w:type="gramEnd"/>
      <w:r w:rsidRPr="002076C1">
        <w:rPr>
          <w:rFonts w:ascii="Times New Roman" w:hAnsi="Times New Roman" w:cs="Times New Roman"/>
          <w:color w:val="222222"/>
          <w:sz w:val="18"/>
          <w:szCs w:val="18"/>
          <w:shd w:val="clear" w:color="auto" w:fill="FFFFFF"/>
        </w:rPr>
        <w:t>(5728):1583-7.</w:t>
      </w:r>
    </w:p>
    <w:p w:rsidR="002076C1" w:rsidRDefault="00EB6374" w:rsidP="002076C1">
      <w:pPr>
        <w:shd w:val="clear" w:color="auto" w:fill="FFFFFF"/>
        <w:spacing w:after="0" w:line="360" w:lineRule="auto"/>
        <w:jc w:val="both"/>
        <w:rPr>
          <w:rFonts w:ascii="Times New Roman" w:eastAsia="Times New Roman" w:hAnsi="Times New Roman" w:cs="Times New Roman"/>
          <w:color w:val="1C1D1E"/>
          <w:sz w:val="18"/>
          <w:szCs w:val="18"/>
        </w:rPr>
      </w:pPr>
      <w:r w:rsidRPr="002076C1">
        <w:rPr>
          <w:rFonts w:ascii="Times New Roman" w:hAnsi="Times New Roman" w:cs="Times New Roman"/>
          <w:color w:val="222222"/>
          <w:sz w:val="18"/>
          <w:szCs w:val="18"/>
          <w:shd w:val="clear" w:color="auto" w:fill="FFFFFF"/>
        </w:rPr>
        <w:t xml:space="preserve">14. </w:t>
      </w:r>
      <w:proofErr w:type="spellStart"/>
      <w:r w:rsidRPr="002076C1">
        <w:rPr>
          <w:rFonts w:ascii="Times New Roman" w:hAnsi="Times New Roman" w:cs="Times New Roman"/>
          <w:color w:val="222222"/>
          <w:sz w:val="18"/>
          <w:szCs w:val="18"/>
          <w:shd w:val="clear" w:color="auto" w:fill="FFFFFF"/>
        </w:rPr>
        <w:t>Stampfer</w:t>
      </w:r>
      <w:proofErr w:type="spellEnd"/>
      <w:r w:rsidRPr="002076C1">
        <w:rPr>
          <w:rFonts w:ascii="Times New Roman" w:hAnsi="Times New Roman" w:cs="Times New Roman"/>
          <w:color w:val="222222"/>
          <w:sz w:val="18"/>
          <w:szCs w:val="18"/>
          <w:shd w:val="clear" w:color="auto" w:fill="FFFFFF"/>
        </w:rPr>
        <w:t xml:space="preserve"> MJ, </w:t>
      </w:r>
      <w:proofErr w:type="spellStart"/>
      <w:r w:rsidRPr="002076C1">
        <w:rPr>
          <w:rFonts w:ascii="Times New Roman" w:hAnsi="Times New Roman" w:cs="Times New Roman"/>
          <w:color w:val="222222"/>
          <w:sz w:val="18"/>
          <w:szCs w:val="18"/>
          <w:shd w:val="clear" w:color="auto" w:fill="FFFFFF"/>
        </w:rPr>
        <w:t>Colditz</w:t>
      </w:r>
      <w:proofErr w:type="spellEnd"/>
      <w:r w:rsidRPr="002076C1">
        <w:rPr>
          <w:rFonts w:ascii="Times New Roman" w:hAnsi="Times New Roman" w:cs="Times New Roman"/>
          <w:color w:val="222222"/>
          <w:sz w:val="18"/>
          <w:szCs w:val="18"/>
          <w:shd w:val="clear" w:color="auto" w:fill="FFFFFF"/>
        </w:rPr>
        <w:t xml:space="preserve"> GA. Estrogen replacement therapy and coronary heart disease: a quantitative assessment of the epidemiologic evidence. </w:t>
      </w:r>
      <w:proofErr w:type="gramStart"/>
      <w:r w:rsidRPr="002076C1">
        <w:rPr>
          <w:rFonts w:ascii="Times New Roman" w:hAnsi="Times New Roman" w:cs="Times New Roman"/>
          <w:color w:val="222222"/>
          <w:sz w:val="18"/>
          <w:szCs w:val="18"/>
          <w:shd w:val="clear" w:color="auto" w:fill="FFFFFF"/>
        </w:rPr>
        <w:t>Preventive medicine.</w:t>
      </w:r>
      <w:proofErr w:type="gramEnd"/>
      <w:r w:rsidRPr="002076C1">
        <w:rPr>
          <w:rFonts w:ascii="Times New Roman" w:hAnsi="Times New Roman" w:cs="Times New Roman"/>
          <w:color w:val="222222"/>
          <w:sz w:val="18"/>
          <w:szCs w:val="18"/>
          <w:shd w:val="clear" w:color="auto" w:fill="FFFFFF"/>
        </w:rPr>
        <w:t xml:space="preserve"> </w:t>
      </w:r>
      <w:proofErr w:type="gramStart"/>
      <w:r w:rsidRPr="002076C1">
        <w:rPr>
          <w:rFonts w:ascii="Times New Roman" w:hAnsi="Times New Roman" w:cs="Times New Roman"/>
          <w:color w:val="222222"/>
          <w:sz w:val="18"/>
          <w:szCs w:val="18"/>
          <w:shd w:val="clear" w:color="auto" w:fill="FFFFFF"/>
        </w:rPr>
        <w:t>1991 ;20</w:t>
      </w:r>
      <w:proofErr w:type="gramEnd"/>
      <w:r w:rsidRPr="002076C1">
        <w:rPr>
          <w:rFonts w:ascii="Times New Roman" w:hAnsi="Times New Roman" w:cs="Times New Roman"/>
          <w:color w:val="222222"/>
          <w:sz w:val="18"/>
          <w:szCs w:val="18"/>
          <w:shd w:val="clear" w:color="auto" w:fill="FFFFFF"/>
        </w:rPr>
        <w:t>(1):47-63.</w:t>
      </w:r>
    </w:p>
    <w:p w:rsidR="00D264F5" w:rsidRDefault="00EB6374" w:rsidP="002076C1">
      <w:pPr>
        <w:shd w:val="clear" w:color="auto" w:fill="FFFFFF"/>
        <w:spacing w:after="0" w:line="360" w:lineRule="auto"/>
        <w:jc w:val="both"/>
        <w:rPr>
          <w:rFonts w:ascii="Times New Roman" w:hAnsi="Times New Roman" w:cs="Times New Roman"/>
          <w:color w:val="222222"/>
          <w:sz w:val="18"/>
          <w:szCs w:val="18"/>
          <w:shd w:val="clear" w:color="auto" w:fill="FFFFFF"/>
        </w:rPr>
      </w:pPr>
      <w:r w:rsidRPr="002076C1">
        <w:rPr>
          <w:rFonts w:ascii="Times New Roman" w:hAnsi="Times New Roman" w:cs="Times New Roman"/>
          <w:color w:val="222222"/>
          <w:sz w:val="18"/>
          <w:szCs w:val="18"/>
          <w:shd w:val="clear" w:color="auto" w:fill="FFFFFF"/>
        </w:rPr>
        <w:t xml:space="preserve">15. Kirkland RT, Keenan BS, </w:t>
      </w:r>
      <w:proofErr w:type="spellStart"/>
      <w:r w:rsidRPr="002076C1">
        <w:rPr>
          <w:rFonts w:ascii="Times New Roman" w:hAnsi="Times New Roman" w:cs="Times New Roman"/>
          <w:color w:val="222222"/>
          <w:sz w:val="18"/>
          <w:szCs w:val="18"/>
          <w:shd w:val="clear" w:color="auto" w:fill="FFFFFF"/>
        </w:rPr>
        <w:t>Probstfield</w:t>
      </w:r>
      <w:proofErr w:type="spellEnd"/>
      <w:r w:rsidRPr="002076C1">
        <w:rPr>
          <w:rFonts w:ascii="Times New Roman" w:hAnsi="Times New Roman" w:cs="Times New Roman"/>
          <w:color w:val="222222"/>
          <w:sz w:val="18"/>
          <w:szCs w:val="18"/>
          <w:shd w:val="clear" w:color="auto" w:fill="FFFFFF"/>
        </w:rPr>
        <w:t xml:space="preserve"> JL. Decrease in plasma HDL cholesterol levels at puberty in boys with delayed adolescence: Correlation with plasma testosterone levels. J. Am. Med. Assoc. 1987</w:t>
      </w:r>
      <w:proofErr w:type="gramStart"/>
      <w:r w:rsidRPr="002076C1">
        <w:rPr>
          <w:rFonts w:ascii="Times New Roman" w:hAnsi="Times New Roman" w:cs="Times New Roman"/>
          <w:color w:val="222222"/>
          <w:sz w:val="18"/>
          <w:szCs w:val="18"/>
          <w:shd w:val="clear" w:color="auto" w:fill="FFFFFF"/>
        </w:rPr>
        <w:t>;257:502</w:t>
      </w:r>
      <w:proofErr w:type="gramEnd"/>
      <w:r w:rsidRPr="002076C1">
        <w:rPr>
          <w:rFonts w:ascii="Times New Roman" w:hAnsi="Times New Roman" w:cs="Times New Roman"/>
          <w:color w:val="222222"/>
          <w:sz w:val="18"/>
          <w:szCs w:val="18"/>
          <w:shd w:val="clear" w:color="auto" w:fill="FFFFFF"/>
        </w:rPr>
        <w:t>-7.</w:t>
      </w:r>
    </w:p>
    <w:p w:rsidR="006C148D" w:rsidRDefault="006C148D" w:rsidP="002076C1">
      <w:pPr>
        <w:shd w:val="clear" w:color="auto" w:fill="FFFFFF"/>
        <w:spacing w:after="0" w:line="360" w:lineRule="auto"/>
        <w:jc w:val="both"/>
        <w:rPr>
          <w:rFonts w:ascii="Times New Roman" w:hAnsi="Times New Roman" w:cs="Times New Roman"/>
          <w:color w:val="222222"/>
          <w:sz w:val="18"/>
          <w:szCs w:val="18"/>
          <w:shd w:val="clear" w:color="auto" w:fill="FFFFFF"/>
        </w:rPr>
      </w:pPr>
    </w:p>
    <w:p w:rsidR="006C148D" w:rsidRDefault="006C148D" w:rsidP="002076C1">
      <w:pPr>
        <w:shd w:val="clear" w:color="auto" w:fill="FFFFFF"/>
        <w:spacing w:after="0" w:line="360" w:lineRule="auto"/>
        <w:jc w:val="both"/>
        <w:rPr>
          <w:rFonts w:ascii="Times New Roman" w:hAnsi="Times New Roman" w:cs="Times New Roman"/>
          <w:color w:val="222222"/>
          <w:sz w:val="18"/>
          <w:szCs w:val="18"/>
          <w:shd w:val="clear" w:color="auto" w:fill="FFFFFF"/>
        </w:rPr>
      </w:pPr>
    </w:p>
    <w:p w:rsidR="006C148D" w:rsidRPr="00C433EB" w:rsidRDefault="006C148D" w:rsidP="006C148D">
      <w:pPr>
        <w:spacing w:after="0"/>
        <w:rPr>
          <w:rFonts w:ascii="Times New Roman" w:hAnsi="Times New Roman" w:cs="Times New Roman"/>
          <w:sz w:val="18"/>
          <w:szCs w:val="18"/>
        </w:rPr>
      </w:pPr>
      <w:r w:rsidRPr="00C433EB">
        <w:rPr>
          <w:rFonts w:ascii="Times New Roman" w:hAnsi="Times New Roman" w:cs="Times New Roman"/>
          <w:sz w:val="18"/>
          <w:szCs w:val="18"/>
        </w:rPr>
        <w:t>Date of Submissi</w:t>
      </w:r>
      <w:r>
        <w:rPr>
          <w:rFonts w:ascii="Times New Roman" w:hAnsi="Times New Roman" w:cs="Times New Roman"/>
          <w:sz w:val="18"/>
          <w:szCs w:val="18"/>
        </w:rPr>
        <w:t>on:  12</w:t>
      </w:r>
      <w:r>
        <w:rPr>
          <w:rFonts w:ascii="Times New Roman" w:hAnsi="Times New Roman" w:cs="Times New Roman"/>
          <w:sz w:val="18"/>
          <w:szCs w:val="18"/>
        </w:rPr>
        <w:t xml:space="preserve"> </w:t>
      </w:r>
      <w:r w:rsidRPr="00C433EB">
        <w:rPr>
          <w:rFonts w:ascii="Times New Roman" w:hAnsi="Times New Roman" w:cs="Times New Roman"/>
          <w:sz w:val="18"/>
          <w:szCs w:val="18"/>
        </w:rPr>
        <w:t xml:space="preserve">August 2020 </w:t>
      </w:r>
      <w:r>
        <w:rPr>
          <w:rFonts w:ascii="Times New Roman" w:hAnsi="Times New Roman" w:cs="Times New Roman"/>
          <w:sz w:val="18"/>
          <w:szCs w:val="18"/>
        </w:rPr>
        <w:t xml:space="preserve">                    </w:t>
      </w:r>
      <w:r w:rsidRPr="00C433EB">
        <w:rPr>
          <w:rFonts w:ascii="Times New Roman" w:hAnsi="Times New Roman" w:cs="Times New Roman"/>
          <w:sz w:val="18"/>
          <w:szCs w:val="18"/>
        </w:rPr>
        <w:t>Date</w:t>
      </w:r>
      <w:r>
        <w:rPr>
          <w:rFonts w:ascii="Times New Roman" w:hAnsi="Times New Roman" w:cs="Times New Roman"/>
          <w:sz w:val="18"/>
          <w:szCs w:val="18"/>
        </w:rPr>
        <w:t xml:space="preserve"> of Publishing: 30 </w:t>
      </w:r>
      <w:r w:rsidRPr="00C433EB">
        <w:rPr>
          <w:rFonts w:ascii="Times New Roman" w:hAnsi="Times New Roman" w:cs="Times New Roman"/>
          <w:sz w:val="18"/>
          <w:szCs w:val="18"/>
        </w:rPr>
        <w:t xml:space="preserve">September 2020 </w:t>
      </w:r>
    </w:p>
    <w:p w:rsidR="006C148D" w:rsidRPr="00C433EB" w:rsidRDefault="006C148D" w:rsidP="006C148D">
      <w:pPr>
        <w:spacing w:after="0"/>
        <w:rPr>
          <w:rFonts w:ascii="Times New Roman" w:hAnsi="Times New Roman" w:cs="Times New Roman"/>
          <w:sz w:val="18"/>
          <w:szCs w:val="18"/>
        </w:rPr>
      </w:pPr>
      <w:r w:rsidRPr="00C433EB">
        <w:rPr>
          <w:rFonts w:ascii="Times New Roman" w:hAnsi="Times New Roman" w:cs="Times New Roman"/>
          <w:sz w:val="18"/>
          <w:szCs w:val="18"/>
        </w:rPr>
        <w:t xml:space="preserve">Author Declaration:  Source of support: Nil, </w:t>
      </w:r>
      <w:r>
        <w:rPr>
          <w:rFonts w:ascii="Times New Roman" w:hAnsi="Times New Roman" w:cs="Times New Roman"/>
          <w:sz w:val="18"/>
          <w:szCs w:val="18"/>
        </w:rPr>
        <w:t xml:space="preserve">          </w:t>
      </w:r>
      <w:r w:rsidRPr="00C433EB">
        <w:rPr>
          <w:rFonts w:ascii="Times New Roman" w:hAnsi="Times New Roman" w:cs="Times New Roman"/>
          <w:sz w:val="18"/>
          <w:szCs w:val="18"/>
        </w:rPr>
        <w:t xml:space="preserve">Conflict of interest: Nil </w:t>
      </w:r>
    </w:p>
    <w:p w:rsidR="006C148D" w:rsidRPr="00C433EB" w:rsidRDefault="006C148D" w:rsidP="006C148D">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C433EB">
        <w:rPr>
          <w:rFonts w:ascii="Times New Roman" w:hAnsi="Times New Roman" w:cs="Times New Roman"/>
          <w:sz w:val="18"/>
          <w:szCs w:val="18"/>
        </w:rPr>
        <w:t>Ethics Committee Approv</w:t>
      </w:r>
      <w:r>
        <w:rPr>
          <w:rFonts w:ascii="Times New Roman" w:hAnsi="Times New Roman" w:cs="Times New Roman"/>
          <w:sz w:val="18"/>
          <w:szCs w:val="18"/>
        </w:rPr>
        <w:t>al obtained for this study?  YES</w:t>
      </w:r>
    </w:p>
    <w:p w:rsidR="006C148D" w:rsidRPr="00C433EB" w:rsidRDefault="006C148D" w:rsidP="006C148D">
      <w:pPr>
        <w:spacing w:after="0"/>
        <w:rPr>
          <w:rFonts w:ascii="Times New Roman" w:hAnsi="Times New Roman" w:cs="Times New Roman"/>
          <w:sz w:val="18"/>
          <w:szCs w:val="18"/>
        </w:rPr>
      </w:pPr>
      <w:r w:rsidRPr="00C433EB">
        <w:rPr>
          <w:rFonts w:ascii="Times New Roman" w:hAnsi="Times New Roman" w:cs="Times New Roman"/>
          <w:sz w:val="18"/>
          <w:szCs w:val="18"/>
        </w:rPr>
        <w:t>Was informed consent obtained from the subjects involved in the study?  YES</w:t>
      </w:r>
    </w:p>
    <w:p w:rsidR="006C148D" w:rsidRPr="00C433EB" w:rsidRDefault="006C148D" w:rsidP="006C148D">
      <w:pPr>
        <w:spacing w:after="0"/>
        <w:rPr>
          <w:rFonts w:ascii="Times New Roman" w:hAnsi="Times New Roman" w:cs="Times New Roman"/>
          <w:sz w:val="18"/>
          <w:szCs w:val="18"/>
        </w:rPr>
      </w:pPr>
      <w:r w:rsidRPr="00C433EB">
        <w:rPr>
          <w:rFonts w:ascii="Times New Roman" w:hAnsi="Times New Roman" w:cs="Times New Roman"/>
          <w:sz w:val="18"/>
          <w:szCs w:val="18"/>
        </w:rPr>
        <w:t xml:space="preserve">For any images presented appropriate consent has been obtained from the subjects:  YES </w:t>
      </w:r>
    </w:p>
    <w:p w:rsidR="006C148D" w:rsidRPr="00C433EB" w:rsidRDefault="006C148D" w:rsidP="006C148D">
      <w:pPr>
        <w:spacing w:after="0"/>
        <w:rPr>
          <w:rFonts w:ascii="Times New Roman" w:hAnsi="Times New Roman" w:cs="Times New Roman"/>
          <w:sz w:val="18"/>
          <w:szCs w:val="18"/>
        </w:rPr>
      </w:pPr>
      <w:r w:rsidRPr="00C433EB">
        <w:rPr>
          <w:rFonts w:ascii="Times New Roman" w:hAnsi="Times New Roman" w:cs="Times New Roman"/>
          <w:sz w:val="18"/>
          <w:szCs w:val="18"/>
        </w:rPr>
        <w:t xml:space="preserve">Plagiarism Checked: YES </w:t>
      </w:r>
    </w:p>
    <w:p w:rsidR="006C148D" w:rsidRPr="00C433EB" w:rsidRDefault="006C148D" w:rsidP="006C148D">
      <w:pPr>
        <w:spacing w:after="0"/>
        <w:rPr>
          <w:rFonts w:ascii="Times New Roman" w:hAnsi="Times New Roman" w:cs="Times New Roman"/>
          <w:spacing w:val="2"/>
          <w:sz w:val="18"/>
          <w:szCs w:val="18"/>
          <w:shd w:val="clear" w:color="auto" w:fill="FFFFFF"/>
        </w:rPr>
      </w:pPr>
      <w:r w:rsidRPr="00C433EB">
        <w:rPr>
          <w:rFonts w:ascii="Times New Roman" w:hAnsi="Times New Roman" w:cs="Times New Roman"/>
          <w:sz w:val="18"/>
          <w:szCs w:val="18"/>
        </w:rPr>
        <w:t xml:space="preserve">Author work published under </w:t>
      </w:r>
      <w:r w:rsidRPr="00C433EB">
        <w:rPr>
          <w:rFonts w:ascii="Times New Roman" w:hAnsi="Times New Roman" w:cs="Times New Roman"/>
          <w:spacing w:val="2"/>
          <w:sz w:val="18"/>
          <w:szCs w:val="18"/>
          <w:shd w:val="clear" w:color="auto" w:fill="FFFFFF"/>
        </w:rPr>
        <w:t>a Creative Commons Attribution 4.0 International License</w:t>
      </w:r>
    </w:p>
    <w:p w:rsidR="006C148D" w:rsidRPr="00C433EB" w:rsidRDefault="006C148D" w:rsidP="006C148D">
      <w:pPr>
        <w:spacing w:after="0"/>
        <w:rPr>
          <w:rFonts w:ascii="Times New Roman" w:hAnsi="Times New Roman" w:cs="Times New Roman"/>
          <w:bCs/>
          <w:sz w:val="20"/>
          <w:shd w:val="clear" w:color="auto" w:fill="FFFFFF"/>
        </w:rPr>
      </w:pPr>
      <w:r w:rsidRPr="00C433EB">
        <w:rPr>
          <w:rFonts w:ascii="Times New Roman" w:hAnsi="Times New Roman" w:cs="Times New Roman"/>
          <w:noProof/>
          <w:sz w:val="18"/>
          <w:szCs w:val="18"/>
          <w:lang w:val="en-IN" w:eastAsia="en-IN"/>
        </w:rPr>
        <w:drawing>
          <wp:inline distT="0" distB="0" distL="0" distR="0" wp14:anchorId="3A3036D0" wp14:editId="66B3A02D">
            <wp:extent cx="533400" cy="398918"/>
            <wp:effectExtent l="19050" t="0" r="0"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6C148D" w:rsidRDefault="006C148D" w:rsidP="006C148D">
      <w:pPr>
        <w:spacing w:after="0"/>
        <w:rPr>
          <w:rFonts w:ascii="Times New Roman" w:hAnsi="Times New Roman" w:cs="Times New Roman"/>
          <w:bCs/>
          <w:sz w:val="20"/>
          <w:shd w:val="clear" w:color="auto" w:fill="FFFFFF"/>
        </w:rPr>
      </w:pPr>
      <w:r w:rsidRPr="00C433EB">
        <w:rPr>
          <w:rFonts w:ascii="Times New Roman" w:hAnsi="Times New Roman" w:cs="Times New Roman"/>
          <w:bCs/>
          <w:sz w:val="20"/>
          <w:shd w:val="clear" w:color="auto" w:fill="FFFFFF"/>
        </w:rPr>
        <w:t xml:space="preserve"> </w:t>
      </w:r>
    </w:p>
    <w:p w:rsidR="006C148D" w:rsidRPr="00290C06" w:rsidRDefault="006C148D" w:rsidP="006C148D">
      <w:pPr>
        <w:spacing w:after="0"/>
        <w:rPr>
          <w:rFonts w:ascii="Times New Roman" w:hAnsi="Times New Roman" w:cs="Times New Roman"/>
          <w:b/>
          <w:sz w:val="20"/>
          <w:szCs w:val="20"/>
        </w:rPr>
      </w:pPr>
      <w:r w:rsidRPr="00C433EB">
        <w:rPr>
          <w:rFonts w:ascii="Times New Roman" w:hAnsi="Times New Roman" w:cs="Times New Roman"/>
          <w:bCs/>
          <w:sz w:val="18"/>
          <w:szCs w:val="18"/>
          <w:shd w:val="clear" w:color="auto" w:fill="FFFFFF"/>
        </w:rPr>
        <w:t>DOI: 10.36848/IJBAMR/2020/18215.560</w:t>
      </w:r>
      <w:r>
        <w:rPr>
          <w:rFonts w:ascii="Times New Roman" w:hAnsi="Times New Roman" w:cs="Times New Roman"/>
          <w:bCs/>
          <w:sz w:val="18"/>
          <w:szCs w:val="18"/>
          <w:shd w:val="clear" w:color="auto" w:fill="FFFFFF"/>
        </w:rPr>
        <w:t>65</w:t>
      </w:r>
    </w:p>
    <w:p w:rsidR="006C148D" w:rsidRPr="002076C1" w:rsidRDefault="006C148D" w:rsidP="002076C1">
      <w:pPr>
        <w:shd w:val="clear" w:color="auto" w:fill="FFFFFF"/>
        <w:spacing w:after="0" w:line="360" w:lineRule="auto"/>
        <w:jc w:val="both"/>
        <w:rPr>
          <w:rFonts w:ascii="Times New Roman" w:eastAsia="Times New Roman" w:hAnsi="Times New Roman" w:cs="Times New Roman"/>
          <w:color w:val="1C1D1E"/>
          <w:sz w:val="18"/>
          <w:szCs w:val="18"/>
        </w:rPr>
      </w:pPr>
    </w:p>
    <w:sectPr w:rsidR="006C148D" w:rsidRPr="002076C1" w:rsidSect="00C43475">
      <w:headerReference w:type="default" r:id="rId9"/>
      <w:footerReference w:type="default" r:id="rId10"/>
      <w:pgSz w:w="12240" w:h="15840"/>
      <w:pgMar w:top="1440" w:right="1440" w:bottom="1440" w:left="1440" w:header="708" w:footer="708" w:gutter="0"/>
      <w:pgNumType w:start="2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80" w:rsidRDefault="00166B80" w:rsidP="00EA2178">
      <w:pPr>
        <w:spacing w:after="0" w:line="240" w:lineRule="auto"/>
      </w:pPr>
      <w:r>
        <w:separator/>
      </w:r>
    </w:p>
  </w:endnote>
  <w:endnote w:type="continuationSeparator" w:id="0">
    <w:p w:rsidR="00166B80" w:rsidRDefault="00166B80" w:rsidP="00EA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C43475">
      <w:trPr>
        <w:trHeight w:val="360"/>
      </w:trPr>
      <w:tc>
        <w:tcPr>
          <w:tcW w:w="3500" w:type="pct"/>
        </w:tcPr>
        <w:sdt>
          <w:sdtPr>
            <w:rPr>
              <w:rFonts w:ascii="Cambria" w:eastAsia="Batang" w:hAnsi="Cambria"/>
              <w:sz w:val="20"/>
              <w:lang w:eastAsia="ko-KR"/>
            </w:rPr>
            <w:alias w:val="Author"/>
            <w:tag w:val=""/>
            <w:id w:val="1534539408"/>
            <w:placeholder>
              <w:docPart w:val="12B918E50E8148708F0629D7A8A716E3"/>
            </w:placeholder>
            <w:dataBinding w:prefixMappings="xmlns:ns0='http://purl.org/dc/elements/1.1/' xmlns:ns1='http://schemas.openxmlformats.org/package/2006/metadata/core-properties' " w:xpath="/ns1:coreProperties[1]/ns0:creator[1]" w:storeItemID="{6C3C8BC8-F283-45AE-878A-BAB7291924A1}"/>
            <w:text/>
          </w:sdtPr>
          <w:sdtContent>
            <w:p w:rsidR="00C43475" w:rsidRDefault="00C43475" w:rsidP="00C43475">
              <w:pPr>
                <w:pStyle w:val="Header"/>
                <w:jc w:val="right"/>
                <w:rPr>
                  <w:rFonts w:ascii="Cambria" w:eastAsia="Batang" w:hAnsi="Cambria"/>
                  <w:sz w:val="20"/>
                  <w:lang w:eastAsia="ko-KR"/>
                </w:rPr>
              </w:pPr>
              <w:r w:rsidRPr="008A32AB">
                <w:rPr>
                  <w:rFonts w:ascii="Cambria" w:eastAsia="Batang" w:hAnsi="Cambria"/>
                  <w:sz w:val="20"/>
                  <w:lang w:eastAsia="ko-KR"/>
                </w:rPr>
                <w:t>www.ijbamr.com   P ISSN: 2250-284X, E ISSN: 2250-2858</w:t>
              </w:r>
            </w:p>
          </w:sdtContent>
        </w:sdt>
        <w:p w:rsidR="00C43475" w:rsidRDefault="00C43475">
          <w:pPr>
            <w:pStyle w:val="Footer"/>
            <w:jc w:val="right"/>
          </w:pPr>
        </w:p>
      </w:tc>
      <w:tc>
        <w:tcPr>
          <w:tcW w:w="1500" w:type="pct"/>
          <w:shd w:val="clear" w:color="auto" w:fill="8064A2" w:themeFill="accent4"/>
        </w:tcPr>
        <w:p w:rsidR="00C43475" w:rsidRDefault="00C43475">
          <w:pPr>
            <w:pStyle w:val="Footer"/>
            <w:jc w:val="right"/>
            <w:rPr>
              <w:color w:val="FFFFFF" w:themeColor="background1"/>
            </w:rPr>
          </w:pPr>
          <w:r>
            <w:fldChar w:fldCharType="begin"/>
          </w:r>
          <w:r>
            <w:instrText xml:space="preserve"> PAGE    \* MERGEFORMAT </w:instrText>
          </w:r>
          <w:r>
            <w:fldChar w:fldCharType="separate"/>
          </w:r>
          <w:r w:rsidR="006C148D" w:rsidRPr="006C148D">
            <w:rPr>
              <w:noProof/>
              <w:color w:val="FFFFFF" w:themeColor="background1"/>
            </w:rPr>
            <w:t>245</w:t>
          </w:r>
          <w:r>
            <w:rPr>
              <w:noProof/>
              <w:color w:val="FFFFFF" w:themeColor="background1"/>
            </w:rPr>
            <w:fldChar w:fldCharType="end"/>
          </w:r>
        </w:p>
      </w:tc>
    </w:tr>
  </w:tbl>
  <w:p w:rsidR="00C43475" w:rsidRDefault="00C4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80" w:rsidRDefault="00166B80" w:rsidP="00EA2178">
      <w:pPr>
        <w:spacing w:after="0" w:line="240" w:lineRule="auto"/>
      </w:pPr>
      <w:r>
        <w:separator/>
      </w:r>
    </w:p>
  </w:footnote>
  <w:footnote w:type="continuationSeparator" w:id="0">
    <w:p w:rsidR="00166B80" w:rsidRDefault="00166B80" w:rsidP="00EA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75" w:rsidRPr="009863D4" w:rsidRDefault="00C43475" w:rsidP="00C43475">
    <w:pPr>
      <w:tabs>
        <w:tab w:val="left" w:pos="496"/>
        <w:tab w:val="center" w:pos="4513"/>
        <w:tab w:val="right" w:pos="9026"/>
      </w:tabs>
      <w:spacing w:after="0" w:line="240" w:lineRule="auto"/>
      <w:ind w:right="-567"/>
      <w:jc w:val="both"/>
      <w:rPr>
        <w:rFonts w:ascii="Cambria" w:eastAsia="Cambria" w:hAnsi="Cambria"/>
        <w:sz w:val="20"/>
        <w:szCs w:val="20"/>
        <w:lang w:val="en-IN"/>
      </w:rPr>
    </w:pPr>
    <w:r w:rsidRPr="009863D4">
      <w:rPr>
        <w:rFonts w:ascii="Cambria" w:eastAsia="Cambria" w:hAnsi="Cambria"/>
        <w:sz w:val="20"/>
        <w:szCs w:val="20"/>
        <w:lang w:val="en-IN"/>
      </w:rPr>
      <w:t>Indian Journal of Basic and Applied Medical Research; September 2020: Vol.-9, Issue- 4, P. 2</w:t>
    </w:r>
    <w:r w:rsidR="006C148D">
      <w:rPr>
        <w:rFonts w:ascii="Cambria" w:eastAsia="Cambria" w:hAnsi="Cambria"/>
        <w:sz w:val="20"/>
        <w:szCs w:val="20"/>
        <w:lang w:val="en-IN"/>
      </w:rPr>
      <w:t>45- 252</w:t>
    </w:r>
  </w:p>
  <w:p w:rsidR="00C43475" w:rsidRPr="00C43475" w:rsidRDefault="00C43475" w:rsidP="00C43475">
    <w:pPr>
      <w:rPr>
        <w:b/>
        <w:sz w:val="20"/>
        <w:szCs w:val="20"/>
        <w:lang w:val="en-IN"/>
      </w:rPr>
    </w:pPr>
    <w:r w:rsidRPr="009863D4">
      <w:rPr>
        <w:rFonts w:ascii="Cambria" w:hAnsi="Cambria" w:cs="Calibri Light"/>
        <w:bCs/>
        <w:sz w:val="20"/>
        <w:szCs w:val="20"/>
        <w:shd w:val="clear" w:color="auto" w:fill="FFFFFF"/>
        <w:lang w:val="en-IN"/>
      </w:rPr>
      <w:t>DOI: 10.36848/IJBAMR/2020/18215.560</w:t>
    </w:r>
    <w:r w:rsidR="006C148D">
      <w:rPr>
        <w:rFonts w:ascii="Cambria" w:hAnsi="Cambria" w:cs="Calibri Light"/>
        <w:bCs/>
        <w:sz w:val="20"/>
        <w:szCs w:val="20"/>
        <w:shd w:val="clear" w:color="auto" w:fill="FFFFFF"/>
        <w:lang w:val="en-IN"/>
      </w:rPr>
      <w:t>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5C08"/>
    <w:multiLevelType w:val="multilevel"/>
    <w:tmpl w:val="B1B8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72A24"/>
    <w:multiLevelType w:val="multilevel"/>
    <w:tmpl w:val="DD64F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9"/>
    <w:rsid w:val="00006D13"/>
    <w:rsid w:val="00043F85"/>
    <w:rsid w:val="0009444C"/>
    <w:rsid w:val="000D066A"/>
    <w:rsid w:val="000D1928"/>
    <w:rsid w:val="000D3BFF"/>
    <w:rsid w:val="000F28E2"/>
    <w:rsid w:val="001133C4"/>
    <w:rsid w:val="00114BB0"/>
    <w:rsid w:val="00137944"/>
    <w:rsid w:val="00145018"/>
    <w:rsid w:val="00166B80"/>
    <w:rsid w:val="00190371"/>
    <w:rsid w:val="001D4BF6"/>
    <w:rsid w:val="001E3786"/>
    <w:rsid w:val="002076C1"/>
    <w:rsid w:val="0022120A"/>
    <w:rsid w:val="00221E7A"/>
    <w:rsid w:val="00222E7E"/>
    <w:rsid w:val="00233BA2"/>
    <w:rsid w:val="00295AF1"/>
    <w:rsid w:val="002E7C5F"/>
    <w:rsid w:val="002F6E97"/>
    <w:rsid w:val="003074CA"/>
    <w:rsid w:val="00367EF8"/>
    <w:rsid w:val="00385FF0"/>
    <w:rsid w:val="00387C11"/>
    <w:rsid w:val="00392FEA"/>
    <w:rsid w:val="003B22AF"/>
    <w:rsid w:val="003C7AD7"/>
    <w:rsid w:val="004832B3"/>
    <w:rsid w:val="00491DCC"/>
    <w:rsid w:val="004A370B"/>
    <w:rsid w:val="004C03B9"/>
    <w:rsid w:val="004C0739"/>
    <w:rsid w:val="00506632"/>
    <w:rsid w:val="00510D83"/>
    <w:rsid w:val="005209BF"/>
    <w:rsid w:val="00521A32"/>
    <w:rsid w:val="0054128D"/>
    <w:rsid w:val="00573209"/>
    <w:rsid w:val="00576864"/>
    <w:rsid w:val="005C48D0"/>
    <w:rsid w:val="005C6ECD"/>
    <w:rsid w:val="005E2BBD"/>
    <w:rsid w:val="006200A9"/>
    <w:rsid w:val="00680C9E"/>
    <w:rsid w:val="00681D8E"/>
    <w:rsid w:val="0069794F"/>
    <w:rsid w:val="006C148D"/>
    <w:rsid w:val="006E4AC5"/>
    <w:rsid w:val="006F27D4"/>
    <w:rsid w:val="007057CC"/>
    <w:rsid w:val="00707EA0"/>
    <w:rsid w:val="00736F15"/>
    <w:rsid w:val="00743C5E"/>
    <w:rsid w:val="00761FF0"/>
    <w:rsid w:val="007C3D1A"/>
    <w:rsid w:val="008024F5"/>
    <w:rsid w:val="00803B62"/>
    <w:rsid w:val="00805C72"/>
    <w:rsid w:val="008438AD"/>
    <w:rsid w:val="0085478C"/>
    <w:rsid w:val="0086159C"/>
    <w:rsid w:val="008C2E9F"/>
    <w:rsid w:val="008D00D0"/>
    <w:rsid w:val="008D4511"/>
    <w:rsid w:val="008E476F"/>
    <w:rsid w:val="00907607"/>
    <w:rsid w:val="009179F9"/>
    <w:rsid w:val="0095669B"/>
    <w:rsid w:val="009605C6"/>
    <w:rsid w:val="00980F0F"/>
    <w:rsid w:val="009938E0"/>
    <w:rsid w:val="009C0582"/>
    <w:rsid w:val="009D1A04"/>
    <w:rsid w:val="009E4C19"/>
    <w:rsid w:val="00A00F34"/>
    <w:rsid w:val="00A06F8A"/>
    <w:rsid w:val="00A25E23"/>
    <w:rsid w:val="00A31345"/>
    <w:rsid w:val="00A75CBD"/>
    <w:rsid w:val="00A83558"/>
    <w:rsid w:val="00AA2C17"/>
    <w:rsid w:val="00AB0971"/>
    <w:rsid w:val="00AB44F6"/>
    <w:rsid w:val="00AC087F"/>
    <w:rsid w:val="00AD2E3B"/>
    <w:rsid w:val="00AD4976"/>
    <w:rsid w:val="00AE2903"/>
    <w:rsid w:val="00AE7E0D"/>
    <w:rsid w:val="00B048C4"/>
    <w:rsid w:val="00B41450"/>
    <w:rsid w:val="00B523C9"/>
    <w:rsid w:val="00B53551"/>
    <w:rsid w:val="00B60CF2"/>
    <w:rsid w:val="00B63166"/>
    <w:rsid w:val="00B7084D"/>
    <w:rsid w:val="00B77467"/>
    <w:rsid w:val="00B8184E"/>
    <w:rsid w:val="00BA63A4"/>
    <w:rsid w:val="00BE3A9E"/>
    <w:rsid w:val="00BE6F83"/>
    <w:rsid w:val="00BF73C0"/>
    <w:rsid w:val="00C06C9D"/>
    <w:rsid w:val="00C12D06"/>
    <w:rsid w:val="00C2146A"/>
    <w:rsid w:val="00C43475"/>
    <w:rsid w:val="00C558CA"/>
    <w:rsid w:val="00C91179"/>
    <w:rsid w:val="00CA3B55"/>
    <w:rsid w:val="00D10BA0"/>
    <w:rsid w:val="00D264F5"/>
    <w:rsid w:val="00D411D6"/>
    <w:rsid w:val="00D91EAC"/>
    <w:rsid w:val="00DB0667"/>
    <w:rsid w:val="00DB1897"/>
    <w:rsid w:val="00DD44F0"/>
    <w:rsid w:val="00DE1E02"/>
    <w:rsid w:val="00DE2759"/>
    <w:rsid w:val="00E10396"/>
    <w:rsid w:val="00E279A4"/>
    <w:rsid w:val="00E319BB"/>
    <w:rsid w:val="00E33AB3"/>
    <w:rsid w:val="00E36A10"/>
    <w:rsid w:val="00E90DF4"/>
    <w:rsid w:val="00E91B1E"/>
    <w:rsid w:val="00E933F6"/>
    <w:rsid w:val="00E94C47"/>
    <w:rsid w:val="00EA1AAC"/>
    <w:rsid w:val="00EA2178"/>
    <w:rsid w:val="00EB6374"/>
    <w:rsid w:val="00ED7F5F"/>
    <w:rsid w:val="00F00640"/>
    <w:rsid w:val="00F00FEC"/>
    <w:rsid w:val="00F220CE"/>
    <w:rsid w:val="00F260E5"/>
    <w:rsid w:val="00F303BA"/>
    <w:rsid w:val="00F4329C"/>
    <w:rsid w:val="00F53C14"/>
    <w:rsid w:val="00F57CE8"/>
    <w:rsid w:val="00F61EA1"/>
    <w:rsid w:val="00F7325F"/>
    <w:rsid w:val="00F94BB3"/>
    <w:rsid w:val="00FA17FB"/>
    <w:rsid w:val="00FE4388"/>
    <w:rsid w:val="00FE5F33"/>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C19"/>
    <w:rPr>
      <w:color w:val="0000FF"/>
      <w:u w:val="single"/>
    </w:rPr>
  </w:style>
  <w:style w:type="table" w:styleId="LightShading">
    <w:name w:val="Light Shading"/>
    <w:basedOn w:val="TableNormal"/>
    <w:uiPriority w:val="60"/>
    <w:rsid w:val="009E4C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57CE8"/>
    <w:pPr>
      <w:spacing w:after="0" w:line="240" w:lineRule="auto"/>
    </w:pPr>
    <w:rPr>
      <w:rFonts w:eastAsiaTheme="minorEastAsia"/>
    </w:rPr>
  </w:style>
  <w:style w:type="paragraph" w:styleId="Header">
    <w:name w:val="header"/>
    <w:basedOn w:val="Normal"/>
    <w:link w:val="HeaderChar"/>
    <w:uiPriority w:val="99"/>
    <w:unhideWhenUsed/>
    <w:rsid w:val="00EA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78"/>
  </w:style>
  <w:style w:type="paragraph" w:styleId="Footer">
    <w:name w:val="footer"/>
    <w:basedOn w:val="Normal"/>
    <w:link w:val="FooterChar"/>
    <w:uiPriority w:val="99"/>
    <w:unhideWhenUsed/>
    <w:rsid w:val="00EA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78"/>
  </w:style>
  <w:style w:type="character" w:customStyle="1" w:styleId="person-group">
    <w:name w:val="person-group"/>
    <w:basedOn w:val="DefaultParagraphFont"/>
    <w:rsid w:val="00DB1897"/>
  </w:style>
  <w:style w:type="paragraph" w:customStyle="1" w:styleId="citation-links-compatibility">
    <w:name w:val="citation-links-compatibility"/>
    <w:basedOn w:val="Normal"/>
    <w:rsid w:val="00DB1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cholar-ref-link">
    <w:name w:val="google-scholar-ref-link"/>
    <w:basedOn w:val="DefaultParagraphFont"/>
    <w:rsid w:val="00DB1897"/>
  </w:style>
  <w:style w:type="paragraph" w:styleId="ListParagraph">
    <w:name w:val="List Paragraph"/>
    <w:basedOn w:val="Normal"/>
    <w:uiPriority w:val="34"/>
    <w:qFormat/>
    <w:rsid w:val="00DB1897"/>
    <w:pPr>
      <w:ind w:left="720"/>
      <w:contextualSpacing/>
    </w:pPr>
  </w:style>
  <w:style w:type="paragraph" w:styleId="BalloonText">
    <w:name w:val="Balloon Text"/>
    <w:basedOn w:val="Normal"/>
    <w:link w:val="BalloonTextChar"/>
    <w:uiPriority w:val="99"/>
    <w:semiHidden/>
    <w:unhideWhenUsed/>
    <w:rsid w:val="00C43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C19"/>
    <w:rPr>
      <w:color w:val="0000FF"/>
      <w:u w:val="single"/>
    </w:rPr>
  </w:style>
  <w:style w:type="table" w:styleId="LightShading">
    <w:name w:val="Light Shading"/>
    <w:basedOn w:val="TableNormal"/>
    <w:uiPriority w:val="60"/>
    <w:rsid w:val="009E4C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57CE8"/>
    <w:pPr>
      <w:spacing w:after="0" w:line="240" w:lineRule="auto"/>
    </w:pPr>
    <w:rPr>
      <w:rFonts w:eastAsiaTheme="minorEastAsia"/>
    </w:rPr>
  </w:style>
  <w:style w:type="paragraph" w:styleId="Header">
    <w:name w:val="header"/>
    <w:basedOn w:val="Normal"/>
    <w:link w:val="HeaderChar"/>
    <w:uiPriority w:val="99"/>
    <w:unhideWhenUsed/>
    <w:rsid w:val="00EA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78"/>
  </w:style>
  <w:style w:type="paragraph" w:styleId="Footer">
    <w:name w:val="footer"/>
    <w:basedOn w:val="Normal"/>
    <w:link w:val="FooterChar"/>
    <w:uiPriority w:val="99"/>
    <w:unhideWhenUsed/>
    <w:rsid w:val="00EA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78"/>
  </w:style>
  <w:style w:type="character" w:customStyle="1" w:styleId="person-group">
    <w:name w:val="person-group"/>
    <w:basedOn w:val="DefaultParagraphFont"/>
    <w:rsid w:val="00DB1897"/>
  </w:style>
  <w:style w:type="paragraph" w:customStyle="1" w:styleId="citation-links-compatibility">
    <w:name w:val="citation-links-compatibility"/>
    <w:basedOn w:val="Normal"/>
    <w:rsid w:val="00DB1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cholar-ref-link">
    <w:name w:val="google-scholar-ref-link"/>
    <w:basedOn w:val="DefaultParagraphFont"/>
    <w:rsid w:val="00DB1897"/>
  </w:style>
  <w:style w:type="paragraph" w:styleId="ListParagraph">
    <w:name w:val="List Paragraph"/>
    <w:basedOn w:val="Normal"/>
    <w:uiPriority w:val="34"/>
    <w:qFormat/>
    <w:rsid w:val="00DB1897"/>
    <w:pPr>
      <w:ind w:left="720"/>
      <w:contextualSpacing/>
    </w:pPr>
  </w:style>
  <w:style w:type="paragraph" w:styleId="BalloonText">
    <w:name w:val="Balloon Text"/>
    <w:basedOn w:val="Normal"/>
    <w:link w:val="BalloonTextChar"/>
    <w:uiPriority w:val="99"/>
    <w:semiHidden/>
    <w:unhideWhenUsed/>
    <w:rsid w:val="00C43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0603">
      <w:bodyDiv w:val="1"/>
      <w:marLeft w:val="0"/>
      <w:marRight w:val="0"/>
      <w:marTop w:val="0"/>
      <w:marBottom w:val="0"/>
      <w:divBdr>
        <w:top w:val="none" w:sz="0" w:space="0" w:color="auto"/>
        <w:left w:val="none" w:sz="0" w:space="0" w:color="auto"/>
        <w:bottom w:val="none" w:sz="0" w:space="0" w:color="auto"/>
        <w:right w:val="none" w:sz="0" w:space="0" w:color="auto"/>
      </w:divBdr>
      <w:divsChild>
        <w:div w:id="395931554">
          <w:marLeft w:val="0"/>
          <w:marRight w:val="0"/>
          <w:marTop w:val="0"/>
          <w:marBottom w:val="0"/>
          <w:divBdr>
            <w:top w:val="none" w:sz="0" w:space="0" w:color="auto"/>
            <w:left w:val="none" w:sz="0" w:space="0" w:color="auto"/>
            <w:bottom w:val="none" w:sz="0" w:space="0" w:color="auto"/>
            <w:right w:val="none" w:sz="0" w:space="0" w:color="auto"/>
          </w:divBdr>
          <w:divsChild>
            <w:div w:id="882211745">
              <w:marLeft w:val="0"/>
              <w:marRight w:val="0"/>
              <w:marTop w:val="0"/>
              <w:marBottom w:val="0"/>
              <w:divBdr>
                <w:top w:val="none" w:sz="0" w:space="0" w:color="auto"/>
                <w:left w:val="none" w:sz="0" w:space="0" w:color="auto"/>
                <w:bottom w:val="none" w:sz="0" w:space="0" w:color="auto"/>
                <w:right w:val="none" w:sz="0" w:space="0" w:color="auto"/>
              </w:divBdr>
            </w:div>
            <w:div w:id="2039970044">
              <w:marLeft w:val="0"/>
              <w:marRight w:val="0"/>
              <w:marTop w:val="0"/>
              <w:marBottom w:val="0"/>
              <w:divBdr>
                <w:top w:val="none" w:sz="0" w:space="0" w:color="auto"/>
                <w:left w:val="none" w:sz="0" w:space="0" w:color="auto"/>
                <w:bottom w:val="none" w:sz="0" w:space="0" w:color="auto"/>
                <w:right w:val="none" w:sz="0" w:space="0" w:color="auto"/>
              </w:divBdr>
            </w:div>
          </w:divsChild>
        </w:div>
        <w:div w:id="1507984406">
          <w:marLeft w:val="0"/>
          <w:marRight w:val="0"/>
          <w:marTop w:val="0"/>
          <w:marBottom w:val="0"/>
          <w:divBdr>
            <w:top w:val="none" w:sz="0" w:space="0" w:color="auto"/>
            <w:left w:val="none" w:sz="0" w:space="0" w:color="auto"/>
            <w:bottom w:val="none" w:sz="0" w:space="0" w:color="auto"/>
            <w:right w:val="none" w:sz="0" w:space="0" w:color="auto"/>
          </w:divBdr>
          <w:divsChild>
            <w:div w:id="1283154169">
              <w:marLeft w:val="0"/>
              <w:marRight w:val="0"/>
              <w:marTop w:val="0"/>
              <w:marBottom w:val="0"/>
              <w:divBdr>
                <w:top w:val="none" w:sz="0" w:space="0" w:color="auto"/>
                <w:left w:val="none" w:sz="0" w:space="0" w:color="auto"/>
                <w:bottom w:val="none" w:sz="0" w:space="0" w:color="auto"/>
                <w:right w:val="none" w:sz="0" w:space="0" w:color="auto"/>
              </w:divBdr>
            </w:div>
            <w:div w:id="1726835925">
              <w:marLeft w:val="0"/>
              <w:marRight w:val="0"/>
              <w:marTop w:val="0"/>
              <w:marBottom w:val="0"/>
              <w:divBdr>
                <w:top w:val="none" w:sz="0" w:space="0" w:color="auto"/>
                <w:left w:val="none" w:sz="0" w:space="0" w:color="auto"/>
                <w:bottom w:val="none" w:sz="0" w:space="0" w:color="auto"/>
                <w:right w:val="none" w:sz="0" w:space="0" w:color="auto"/>
              </w:divBdr>
            </w:div>
          </w:divsChild>
        </w:div>
        <w:div w:id="1325008904">
          <w:marLeft w:val="0"/>
          <w:marRight w:val="0"/>
          <w:marTop w:val="0"/>
          <w:marBottom w:val="0"/>
          <w:divBdr>
            <w:top w:val="none" w:sz="0" w:space="0" w:color="auto"/>
            <w:left w:val="none" w:sz="0" w:space="0" w:color="auto"/>
            <w:bottom w:val="none" w:sz="0" w:space="0" w:color="auto"/>
            <w:right w:val="none" w:sz="0" w:space="0" w:color="auto"/>
          </w:divBdr>
        </w:div>
        <w:div w:id="834762735">
          <w:marLeft w:val="0"/>
          <w:marRight w:val="0"/>
          <w:marTop w:val="0"/>
          <w:marBottom w:val="0"/>
          <w:divBdr>
            <w:top w:val="none" w:sz="0" w:space="0" w:color="auto"/>
            <w:left w:val="none" w:sz="0" w:space="0" w:color="auto"/>
            <w:bottom w:val="none" w:sz="0" w:space="0" w:color="auto"/>
            <w:right w:val="none" w:sz="0" w:space="0" w:color="auto"/>
          </w:divBdr>
        </w:div>
        <w:div w:id="684090764">
          <w:marLeft w:val="0"/>
          <w:marRight w:val="0"/>
          <w:marTop w:val="0"/>
          <w:marBottom w:val="0"/>
          <w:divBdr>
            <w:top w:val="none" w:sz="0" w:space="0" w:color="auto"/>
            <w:left w:val="none" w:sz="0" w:space="0" w:color="auto"/>
            <w:bottom w:val="none" w:sz="0" w:space="0" w:color="auto"/>
            <w:right w:val="none" w:sz="0" w:space="0" w:color="auto"/>
          </w:divBdr>
        </w:div>
        <w:div w:id="1440222955">
          <w:marLeft w:val="0"/>
          <w:marRight w:val="0"/>
          <w:marTop w:val="0"/>
          <w:marBottom w:val="0"/>
          <w:divBdr>
            <w:top w:val="none" w:sz="0" w:space="0" w:color="auto"/>
            <w:left w:val="none" w:sz="0" w:space="0" w:color="auto"/>
            <w:bottom w:val="none" w:sz="0" w:space="0" w:color="auto"/>
            <w:right w:val="none" w:sz="0" w:space="0" w:color="auto"/>
          </w:divBdr>
        </w:div>
        <w:div w:id="1687712027">
          <w:marLeft w:val="0"/>
          <w:marRight w:val="0"/>
          <w:marTop w:val="0"/>
          <w:marBottom w:val="0"/>
          <w:divBdr>
            <w:top w:val="none" w:sz="0" w:space="0" w:color="auto"/>
            <w:left w:val="none" w:sz="0" w:space="0" w:color="auto"/>
            <w:bottom w:val="none" w:sz="0" w:space="0" w:color="auto"/>
            <w:right w:val="none" w:sz="0" w:space="0" w:color="auto"/>
          </w:divBdr>
        </w:div>
        <w:div w:id="1073507528">
          <w:marLeft w:val="0"/>
          <w:marRight w:val="0"/>
          <w:marTop w:val="0"/>
          <w:marBottom w:val="0"/>
          <w:divBdr>
            <w:top w:val="none" w:sz="0" w:space="0" w:color="auto"/>
            <w:left w:val="none" w:sz="0" w:space="0" w:color="auto"/>
            <w:bottom w:val="none" w:sz="0" w:space="0" w:color="auto"/>
            <w:right w:val="none" w:sz="0" w:space="0" w:color="auto"/>
          </w:divBdr>
        </w:div>
        <w:div w:id="1855925129">
          <w:marLeft w:val="0"/>
          <w:marRight w:val="0"/>
          <w:marTop w:val="0"/>
          <w:marBottom w:val="0"/>
          <w:divBdr>
            <w:top w:val="none" w:sz="0" w:space="0" w:color="auto"/>
            <w:left w:val="none" w:sz="0" w:space="0" w:color="auto"/>
            <w:bottom w:val="none" w:sz="0" w:space="0" w:color="auto"/>
            <w:right w:val="none" w:sz="0" w:space="0" w:color="auto"/>
          </w:divBdr>
        </w:div>
      </w:divsChild>
    </w:div>
    <w:div w:id="1360352880">
      <w:bodyDiv w:val="1"/>
      <w:marLeft w:val="0"/>
      <w:marRight w:val="0"/>
      <w:marTop w:val="0"/>
      <w:marBottom w:val="0"/>
      <w:divBdr>
        <w:top w:val="none" w:sz="0" w:space="0" w:color="auto"/>
        <w:left w:val="none" w:sz="0" w:space="0" w:color="auto"/>
        <w:bottom w:val="none" w:sz="0" w:space="0" w:color="auto"/>
        <w:right w:val="none" w:sz="0" w:space="0" w:color="auto"/>
      </w:divBdr>
    </w:div>
    <w:div w:id="1454976676">
      <w:bodyDiv w:val="1"/>
      <w:marLeft w:val="0"/>
      <w:marRight w:val="0"/>
      <w:marTop w:val="0"/>
      <w:marBottom w:val="0"/>
      <w:divBdr>
        <w:top w:val="none" w:sz="0" w:space="0" w:color="auto"/>
        <w:left w:val="none" w:sz="0" w:space="0" w:color="auto"/>
        <w:bottom w:val="none" w:sz="0" w:space="0" w:color="auto"/>
        <w:right w:val="none" w:sz="0" w:space="0" w:color="auto"/>
      </w:divBdr>
      <w:divsChild>
        <w:div w:id="902790953">
          <w:marLeft w:val="0"/>
          <w:marRight w:val="0"/>
          <w:marTop w:val="0"/>
          <w:marBottom w:val="0"/>
          <w:divBdr>
            <w:top w:val="none" w:sz="0" w:space="0" w:color="auto"/>
            <w:left w:val="none" w:sz="0" w:space="0" w:color="auto"/>
            <w:bottom w:val="none" w:sz="0" w:space="0" w:color="auto"/>
            <w:right w:val="none" w:sz="0" w:space="0" w:color="auto"/>
          </w:divBdr>
          <w:divsChild>
            <w:div w:id="1535533101">
              <w:marLeft w:val="0"/>
              <w:marRight w:val="0"/>
              <w:marTop w:val="0"/>
              <w:marBottom w:val="0"/>
              <w:divBdr>
                <w:top w:val="none" w:sz="0" w:space="0" w:color="auto"/>
                <w:left w:val="none" w:sz="0" w:space="0" w:color="auto"/>
                <w:bottom w:val="none" w:sz="0" w:space="0" w:color="auto"/>
                <w:right w:val="none" w:sz="0" w:space="0" w:color="auto"/>
              </w:divBdr>
            </w:div>
            <w:div w:id="1367292089">
              <w:marLeft w:val="0"/>
              <w:marRight w:val="0"/>
              <w:marTop w:val="0"/>
              <w:marBottom w:val="0"/>
              <w:divBdr>
                <w:top w:val="none" w:sz="0" w:space="0" w:color="auto"/>
                <w:left w:val="none" w:sz="0" w:space="0" w:color="auto"/>
                <w:bottom w:val="none" w:sz="0" w:space="0" w:color="auto"/>
                <w:right w:val="none" w:sz="0" w:space="0" w:color="auto"/>
              </w:divBdr>
            </w:div>
          </w:divsChild>
        </w:div>
        <w:div w:id="132407401">
          <w:marLeft w:val="0"/>
          <w:marRight w:val="0"/>
          <w:marTop w:val="0"/>
          <w:marBottom w:val="0"/>
          <w:divBdr>
            <w:top w:val="none" w:sz="0" w:space="0" w:color="auto"/>
            <w:left w:val="none" w:sz="0" w:space="0" w:color="auto"/>
            <w:bottom w:val="none" w:sz="0" w:space="0" w:color="auto"/>
            <w:right w:val="none" w:sz="0" w:space="0" w:color="auto"/>
          </w:divBdr>
          <w:divsChild>
            <w:div w:id="1713771843">
              <w:marLeft w:val="0"/>
              <w:marRight w:val="0"/>
              <w:marTop w:val="0"/>
              <w:marBottom w:val="0"/>
              <w:divBdr>
                <w:top w:val="none" w:sz="0" w:space="0" w:color="auto"/>
                <w:left w:val="none" w:sz="0" w:space="0" w:color="auto"/>
                <w:bottom w:val="none" w:sz="0" w:space="0" w:color="auto"/>
                <w:right w:val="none" w:sz="0" w:space="0" w:color="auto"/>
              </w:divBdr>
            </w:div>
            <w:div w:id="726925429">
              <w:marLeft w:val="0"/>
              <w:marRight w:val="0"/>
              <w:marTop w:val="0"/>
              <w:marBottom w:val="0"/>
              <w:divBdr>
                <w:top w:val="none" w:sz="0" w:space="0" w:color="auto"/>
                <w:left w:val="none" w:sz="0" w:space="0" w:color="auto"/>
                <w:bottom w:val="none" w:sz="0" w:space="0" w:color="auto"/>
                <w:right w:val="none" w:sz="0" w:space="0" w:color="auto"/>
              </w:divBdr>
            </w:div>
          </w:divsChild>
        </w:div>
        <w:div w:id="1111314525">
          <w:marLeft w:val="0"/>
          <w:marRight w:val="0"/>
          <w:marTop w:val="0"/>
          <w:marBottom w:val="0"/>
          <w:divBdr>
            <w:top w:val="none" w:sz="0" w:space="0" w:color="auto"/>
            <w:left w:val="none" w:sz="0" w:space="0" w:color="auto"/>
            <w:bottom w:val="none" w:sz="0" w:space="0" w:color="auto"/>
            <w:right w:val="none" w:sz="0" w:space="0" w:color="auto"/>
          </w:divBdr>
        </w:div>
        <w:div w:id="527333623">
          <w:marLeft w:val="0"/>
          <w:marRight w:val="0"/>
          <w:marTop w:val="0"/>
          <w:marBottom w:val="0"/>
          <w:divBdr>
            <w:top w:val="none" w:sz="0" w:space="0" w:color="auto"/>
            <w:left w:val="none" w:sz="0" w:space="0" w:color="auto"/>
            <w:bottom w:val="none" w:sz="0" w:space="0" w:color="auto"/>
            <w:right w:val="none" w:sz="0" w:space="0" w:color="auto"/>
          </w:divBdr>
        </w:div>
        <w:div w:id="886723086">
          <w:marLeft w:val="0"/>
          <w:marRight w:val="0"/>
          <w:marTop w:val="0"/>
          <w:marBottom w:val="0"/>
          <w:divBdr>
            <w:top w:val="none" w:sz="0" w:space="0" w:color="auto"/>
            <w:left w:val="none" w:sz="0" w:space="0" w:color="auto"/>
            <w:bottom w:val="none" w:sz="0" w:space="0" w:color="auto"/>
            <w:right w:val="none" w:sz="0" w:space="0" w:color="auto"/>
          </w:divBdr>
        </w:div>
        <w:div w:id="1932005400">
          <w:marLeft w:val="0"/>
          <w:marRight w:val="0"/>
          <w:marTop w:val="0"/>
          <w:marBottom w:val="0"/>
          <w:divBdr>
            <w:top w:val="none" w:sz="0" w:space="0" w:color="auto"/>
            <w:left w:val="none" w:sz="0" w:space="0" w:color="auto"/>
            <w:bottom w:val="none" w:sz="0" w:space="0" w:color="auto"/>
            <w:right w:val="none" w:sz="0" w:space="0" w:color="auto"/>
          </w:divBdr>
        </w:div>
        <w:div w:id="1968122784">
          <w:marLeft w:val="0"/>
          <w:marRight w:val="0"/>
          <w:marTop w:val="0"/>
          <w:marBottom w:val="0"/>
          <w:divBdr>
            <w:top w:val="none" w:sz="0" w:space="0" w:color="auto"/>
            <w:left w:val="none" w:sz="0" w:space="0" w:color="auto"/>
            <w:bottom w:val="none" w:sz="0" w:space="0" w:color="auto"/>
            <w:right w:val="none" w:sz="0" w:space="0" w:color="auto"/>
          </w:divBdr>
        </w:div>
        <w:div w:id="674966461">
          <w:marLeft w:val="0"/>
          <w:marRight w:val="0"/>
          <w:marTop w:val="0"/>
          <w:marBottom w:val="0"/>
          <w:divBdr>
            <w:top w:val="none" w:sz="0" w:space="0" w:color="auto"/>
            <w:left w:val="none" w:sz="0" w:space="0" w:color="auto"/>
            <w:bottom w:val="none" w:sz="0" w:space="0" w:color="auto"/>
            <w:right w:val="none" w:sz="0" w:space="0" w:color="auto"/>
          </w:divBdr>
        </w:div>
        <w:div w:id="207185776">
          <w:marLeft w:val="0"/>
          <w:marRight w:val="0"/>
          <w:marTop w:val="0"/>
          <w:marBottom w:val="0"/>
          <w:divBdr>
            <w:top w:val="none" w:sz="0" w:space="0" w:color="auto"/>
            <w:left w:val="none" w:sz="0" w:space="0" w:color="auto"/>
            <w:bottom w:val="none" w:sz="0" w:space="0" w:color="auto"/>
            <w:right w:val="none" w:sz="0" w:space="0" w:color="auto"/>
          </w:divBdr>
        </w:div>
      </w:divsChild>
    </w:div>
    <w:div w:id="17767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B918E50E8148708F0629D7A8A716E3"/>
        <w:category>
          <w:name w:val="General"/>
          <w:gallery w:val="placeholder"/>
        </w:category>
        <w:types>
          <w:type w:val="bbPlcHdr"/>
        </w:types>
        <w:behaviors>
          <w:behavior w:val="content"/>
        </w:behaviors>
        <w:guid w:val="{21A831F3-D21B-4088-85D5-4546196D04C4}"/>
      </w:docPartPr>
      <w:docPartBody>
        <w:p w:rsidR="00374EA1" w:rsidRDefault="00374EA1" w:rsidP="00374EA1">
          <w:pPr>
            <w:pStyle w:val="12B918E50E8148708F0629D7A8A716E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A1"/>
    <w:rsid w:val="00374E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918E50E8148708F0629D7A8A716E3">
    <w:name w:val="12B918E50E8148708F0629D7A8A716E3"/>
    <w:rsid w:val="00374E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918E50E8148708F0629D7A8A716E3">
    <w:name w:val="12B918E50E8148708F0629D7A8A716E3"/>
    <w:rsid w:val="00374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www.ijbamr.com   P ISSN: 2250-284X, E ISSN: 2250-2858</dc:creator>
  <cp:lastModifiedBy>RDRL</cp:lastModifiedBy>
  <cp:revision>3</cp:revision>
  <dcterms:created xsi:type="dcterms:W3CDTF">2020-10-26T04:05:00Z</dcterms:created>
  <dcterms:modified xsi:type="dcterms:W3CDTF">2020-10-26T06:02:00Z</dcterms:modified>
</cp:coreProperties>
</file>