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9A" w:rsidRPr="0003218B" w:rsidRDefault="004E639A" w:rsidP="0003218B">
      <w:pPr>
        <w:shd w:val="clear" w:color="auto" w:fill="FFFFFF"/>
        <w:spacing w:after="0" w:line="360" w:lineRule="auto"/>
        <w:rPr>
          <w:rFonts w:asciiTheme="majorHAnsi" w:hAnsiTheme="majorHAnsi" w:cs="Times New Roman"/>
          <w:b/>
          <w:sz w:val="24"/>
          <w:szCs w:val="24"/>
        </w:rPr>
      </w:pPr>
      <w:r w:rsidRPr="0003218B">
        <w:rPr>
          <w:rFonts w:asciiTheme="majorHAnsi" w:hAnsiTheme="majorHAnsi" w:cs="Times New Roman"/>
          <w:b/>
          <w:sz w:val="24"/>
          <w:szCs w:val="24"/>
          <w:highlight w:val="lightGray"/>
        </w:rPr>
        <w:t>Original article:</w:t>
      </w:r>
      <w:bookmarkStart w:id="0" w:name="_GoBack"/>
      <w:bookmarkEnd w:id="0"/>
    </w:p>
    <w:p w:rsidR="00A23478" w:rsidRPr="0003218B" w:rsidRDefault="00A23478" w:rsidP="0003218B">
      <w:pPr>
        <w:shd w:val="clear" w:color="auto" w:fill="FFFFFF"/>
        <w:spacing w:after="0" w:line="360" w:lineRule="auto"/>
        <w:rPr>
          <w:rFonts w:asciiTheme="majorHAnsi" w:eastAsia="Times New Roman" w:hAnsiTheme="majorHAnsi" w:cs="Times New Roman"/>
          <w:b/>
          <w:color w:val="0070C0"/>
          <w:sz w:val="28"/>
          <w:szCs w:val="28"/>
          <w:lang w:eastAsia="en-IN"/>
        </w:rPr>
      </w:pPr>
      <w:r w:rsidRPr="0003218B">
        <w:rPr>
          <w:rFonts w:asciiTheme="majorHAnsi" w:hAnsiTheme="majorHAnsi" w:cs="Times New Roman"/>
          <w:b/>
          <w:color w:val="0070C0"/>
          <w:sz w:val="28"/>
          <w:szCs w:val="28"/>
        </w:rPr>
        <w:t xml:space="preserve">Study of CT scan coronary calcium score in high risk </w:t>
      </w:r>
      <w:r w:rsidR="004E639A" w:rsidRPr="0003218B">
        <w:rPr>
          <w:rFonts w:asciiTheme="majorHAnsi" w:hAnsiTheme="majorHAnsi" w:cs="Times New Roman"/>
          <w:b/>
          <w:color w:val="0070C0"/>
          <w:sz w:val="28"/>
          <w:szCs w:val="28"/>
        </w:rPr>
        <w:t xml:space="preserve">stroke </w:t>
      </w:r>
      <w:r w:rsidRPr="0003218B">
        <w:rPr>
          <w:rFonts w:asciiTheme="majorHAnsi" w:hAnsiTheme="majorHAnsi" w:cs="Times New Roman"/>
          <w:b/>
          <w:color w:val="0070C0"/>
          <w:sz w:val="28"/>
          <w:szCs w:val="28"/>
        </w:rPr>
        <w:t xml:space="preserve">patients at tertiary care hospital </w:t>
      </w:r>
    </w:p>
    <w:p w:rsidR="002651B2" w:rsidRPr="0003218B" w:rsidRDefault="002651B2" w:rsidP="0003218B">
      <w:pPr>
        <w:spacing w:after="0" w:line="360" w:lineRule="auto"/>
        <w:rPr>
          <w:rFonts w:asciiTheme="majorHAnsi" w:hAnsiTheme="majorHAnsi" w:cs="Times New Roman"/>
          <w:b/>
          <w:sz w:val="20"/>
          <w:szCs w:val="20"/>
        </w:rPr>
      </w:pPr>
      <w:r w:rsidRPr="0003218B">
        <w:rPr>
          <w:rFonts w:asciiTheme="majorHAnsi" w:hAnsiTheme="majorHAnsi" w:cs="Times New Roman"/>
          <w:b/>
          <w:sz w:val="20"/>
          <w:szCs w:val="20"/>
        </w:rPr>
        <w:t>*</w:t>
      </w:r>
      <w:proofErr w:type="spellStart"/>
      <w:r w:rsidRPr="0003218B">
        <w:rPr>
          <w:rFonts w:asciiTheme="majorHAnsi" w:hAnsiTheme="majorHAnsi" w:cs="Times New Roman"/>
          <w:b/>
          <w:sz w:val="20"/>
          <w:szCs w:val="20"/>
        </w:rPr>
        <w:t>Dr.</w:t>
      </w:r>
      <w:proofErr w:type="spellEnd"/>
      <w:r w:rsidRPr="0003218B">
        <w:rPr>
          <w:rFonts w:asciiTheme="majorHAnsi" w:hAnsiTheme="majorHAnsi" w:cs="Times New Roman"/>
          <w:b/>
          <w:sz w:val="20"/>
          <w:szCs w:val="20"/>
        </w:rPr>
        <w:t xml:space="preserve"> </w:t>
      </w:r>
      <w:proofErr w:type="spellStart"/>
      <w:r w:rsidRPr="0003218B">
        <w:rPr>
          <w:rFonts w:asciiTheme="majorHAnsi" w:hAnsiTheme="majorHAnsi" w:cs="Times New Roman"/>
          <w:b/>
          <w:sz w:val="20"/>
          <w:szCs w:val="20"/>
        </w:rPr>
        <w:t>Sanket</w:t>
      </w:r>
      <w:proofErr w:type="spellEnd"/>
      <w:r w:rsidRPr="0003218B">
        <w:rPr>
          <w:rFonts w:asciiTheme="majorHAnsi" w:hAnsiTheme="majorHAnsi" w:cs="Times New Roman"/>
          <w:b/>
          <w:sz w:val="20"/>
          <w:szCs w:val="20"/>
        </w:rPr>
        <w:t xml:space="preserve"> </w:t>
      </w:r>
      <w:proofErr w:type="spellStart"/>
      <w:r w:rsidRPr="0003218B">
        <w:rPr>
          <w:rFonts w:asciiTheme="majorHAnsi" w:hAnsiTheme="majorHAnsi" w:cs="Times New Roman"/>
          <w:b/>
          <w:sz w:val="20"/>
          <w:szCs w:val="20"/>
        </w:rPr>
        <w:t>Tajane</w:t>
      </w:r>
      <w:proofErr w:type="spellEnd"/>
      <w:proofErr w:type="gramStart"/>
      <w:r w:rsidRPr="0003218B">
        <w:rPr>
          <w:rFonts w:asciiTheme="majorHAnsi" w:hAnsiTheme="majorHAnsi" w:cs="Times New Roman"/>
          <w:b/>
          <w:sz w:val="20"/>
          <w:szCs w:val="20"/>
        </w:rPr>
        <w:t>,*</w:t>
      </w:r>
      <w:proofErr w:type="gramEnd"/>
      <w:r w:rsidRPr="0003218B">
        <w:rPr>
          <w:rFonts w:asciiTheme="majorHAnsi" w:hAnsiTheme="majorHAnsi" w:cs="Times New Roman"/>
          <w:b/>
          <w:sz w:val="20"/>
          <w:szCs w:val="20"/>
        </w:rPr>
        <w:t>*</w:t>
      </w:r>
      <w:proofErr w:type="spellStart"/>
      <w:r w:rsidRPr="0003218B">
        <w:rPr>
          <w:rFonts w:asciiTheme="majorHAnsi" w:hAnsiTheme="majorHAnsi" w:cs="Times New Roman"/>
          <w:b/>
          <w:sz w:val="20"/>
          <w:szCs w:val="20"/>
        </w:rPr>
        <w:t>Dr.</w:t>
      </w:r>
      <w:proofErr w:type="spellEnd"/>
      <w:r w:rsidRPr="0003218B">
        <w:rPr>
          <w:rFonts w:asciiTheme="majorHAnsi" w:hAnsiTheme="majorHAnsi" w:cs="Times New Roman"/>
          <w:b/>
          <w:sz w:val="20"/>
          <w:szCs w:val="20"/>
        </w:rPr>
        <w:t xml:space="preserve"> Y.P. </w:t>
      </w:r>
      <w:proofErr w:type="spellStart"/>
      <w:r w:rsidRPr="0003218B">
        <w:rPr>
          <w:rFonts w:asciiTheme="majorHAnsi" w:hAnsiTheme="majorHAnsi" w:cs="Times New Roman"/>
          <w:b/>
          <w:sz w:val="20"/>
          <w:szCs w:val="20"/>
        </w:rPr>
        <w:t>Sachdev</w:t>
      </w:r>
      <w:proofErr w:type="spellEnd"/>
      <w:r w:rsidRPr="0003218B">
        <w:rPr>
          <w:rFonts w:asciiTheme="majorHAnsi" w:hAnsiTheme="majorHAnsi" w:cs="Times New Roman"/>
          <w:b/>
          <w:sz w:val="20"/>
          <w:szCs w:val="20"/>
        </w:rPr>
        <w:t>, ***</w:t>
      </w:r>
      <w:proofErr w:type="spellStart"/>
      <w:r w:rsidRPr="0003218B">
        <w:rPr>
          <w:rFonts w:asciiTheme="majorHAnsi" w:hAnsiTheme="majorHAnsi" w:cs="Times New Roman"/>
          <w:b/>
          <w:sz w:val="20"/>
          <w:szCs w:val="20"/>
        </w:rPr>
        <w:t>Dr.</w:t>
      </w:r>
      <w:proofErr w:type="spellEnd"/>
      <w:r w:rsidRPr="0003218B">
        <w:rPr>
          <w:rFonts w:asciiTheme="majorHAnsi" w:hAnsiTheme="majorHAnsi" w:cs="Times New Roman"/>
          <w:b/>
          <w:sz w:val="20"/>
          <w:szCs w:val="20"/>
        </w:rPr>
        <w:t xml:space="preserve"> Ganesh </w:t>
      </w:r>
      <w:proofErr w:type="spellStart"/>
      <w:r w:rsidRPr="0003218B">
        <w:rPr>
          <w:rFonts w:asciiTheme="majorHAnsi" w:hAnsiTheme="majorHAnsi" w:cs="Times New Roman"/>
          <w:b/>
          <w:sz w:val="20"/>
          <w:szCs w:val="20"/>
        </w:rPr>
        <w:t>Vikhe</w:t>
      </w:r>
      <w:proofErr w:type="spellEnd"/>
    </w:p>
    <w:p w:rsidR="0003218B" w:rsidRDefault="0003218B" w:rsidP="0003218B">
      <w:pPr>
        <w:spacing w:after="0" w:line="360" w:lineRule="auto"/>
        <w:rPr>
          <w:rFonts w:asciiTheme="majorHAnsi" w:hAnsiTheme="majorHAnsi" w:cs="Times New Roman"/>
          <w:b/>
          <w:sz w:val="20"/>
          <w:szCs w:val="20"/>
        </w:rPr>
      </w:pPr>
    </w:p>
    <w:p w:rsidR="0003218B" w:rsidRPr="0003218B" w:rsidRDefault="0003218B" w:rsidP="0003218B">
      <w:pPr>
        <w:spacing w:after="0" w:line="360" w:lineRule="auto"/>
        <w:rPr>
          <w:rFonts w:asciiTheme="majorHAnsi" w:hAnsiTheme="majorHAnsi" w:cs="Times New Roman"/>
          <w:sz w:val="18"/>
          <w:szCs w:val="18"/>
        </w:rPr>
      </w:pPr>
      <w:r w:rsidRPr="0003218B">
        <w:rPr>
          <w:rFonts w:asciiTheme="majorHAnsi" w:hAnsiTheme="majorHAnsi" w:cs="Times New Roman"/>
          <w:sz w:val="18"/>
          <w:szCs w:val="18"/>
        </w:rPr>
        <w:t>*Junior R</w:t>
      </w:r>
      <w:r w:rsidR="002651B2" w:rsidRPr="0003218B">
        <w:rPr>
          <w:rFonts w:asciiTheme="majorHAnsi" w:hAnsiTheme="majorHAnsi" w:cs="Times New Roman"/>
          <w:sz w:val="18"/>
          <w:szCs w:val="18"/>
        </w:rPr>
        <w:t xml:space="preserve">esident, **Prof. and HOD, *** </w:t>
      </w:r>
      <w:r w:rsidRPr="0003218B">
        <w:rPr>
          <w:rFonts w:asciiTheme="majorHAnsi" w:hAnsiTheme="majorHAnsi" w:cs="Times New Roman"/>
          <w:sz w:val="18"/>
          <w:szCs w:val="18"/>
        </w:rPr>
        <w:t>Assistant P</w:t>
      </w:r>
      <w:r w:rsidR="002651B2" w:rsidRPr="0003218B">
        <w:rPr>
          <w:rFonts w:asciiTheme="majorHAnsi" w:hAnsiTheme="majorHAnsi" w:cs="Times New Roman"/>
          <w:sz w:val="18"/>
          <w:szCs w:val="18"/>
        </w:rPr>
        <w:t xml:space="preserve">rof. </w:t>
      </w:r>
    </w:p>
    <w:p w:rsidR="002651B2" w:rsidRPr="0003218B" w:rsidRDefault="002651B2" w:rsidP="0003218B">
      <w:pPr>
        <w:spacing w:after="0" w:line="360" w:lineRule="auto"/>
        <w:rPr>
          <w:rFonts w:asciiTheme="majorHAnsi" w:hAnsiTheme="majorHAnsi" w:cs="Times New Roman"/>
          <w:sz w:val="18"/>
          <w:szCs w:val="18"/>
        </w:rPr>
      </w:pPr>
      <w:r w:rsidRPr="0003218B">
        <w:rPr>
          <w:rFonts w:asciiTheme="majorHAnsi" w:hAnsiTheme="majorHAnsi" w:cs="Times New Roman"/>
          <w:sz w:val="18"/>
          <w:szCs w:val="18"/>
        </w:rPr>
        <w:t xml:space="preserve">Department of </w:t>
      </w:r>
      <w:r w:rsidR="0003218B" w:rsidRPr="0003218B">
        <w:rPr>
          <w:rFonts w:asciiTheme="majorHAnsi" w:hAnsiTheme="majorHAnsi" w:cs="Times New Roman"/>
          <w:sz w:val="18"/>
          <w:szCs w:val="18"/>
        </w:rPr>
        <w:t xml:space="preserve">Radio </w:t>
      </w:r>
      <w:proofErr w:type="gramStart"/>
      <w:r w:rsidR="0003218B" w:rsidRPr="0003218B">
        <w:rPr>
          <w:rFonts w:asciiTheme="majorHAnsi" w:hAnsiTheme="majorHAnsi" w:cs="Times New Roman"/>
          <w:sz w:val="18"/>
          <w:szCs w:val="18"/>
        </w:rPr>
        <w:t>diagnosis</w:t>
      </w:r>
      <w:r w:rsidRPr="0003218B">
        <w:rPr>
          <w:rFonts w:asciiTheme="majorHAnsi" w:hAnsiTheme="majorHAnsi" w:cs="Times New Roman"/>
          <w:sz w:val="18"/>
          <w:szCs w:val="18"/>
        </w:rPr>
        <w:t xml:space="preserve"> </w:t>
      </w:r>
      <w:r w:rsidR="0003218B" w:rsidRPr="0003218B">
        <w:rPr>
          <w:rFonts w:asciiTheme="majorHAnsi" w:hAnsiTheme="majorHAnsi" w:cs="Times New Roman"/>
          <w:sz w:val="18"/>
          <w:szCs w:val="18"/>
        </w:rPr>
        <w:t>,</w:t>
      </w:r>
      <w:proofErr w:type="gramEnd"/>
      <w:r w:rsidR="0003218B" w:rsidRPr="0003218B">
        <w:rPr>
          <w:rFonts w:asciiTheme="majorHAnsi" w:hAnsiTheme="majorHAnsi" w:cs="Times New Roman"/>
          <w:sz w:val="18"/>
          <w:szCs w:val="18"/>
        </w:rPr>
        <w:t xml:space="preserve"> Rural Medical College, L</w:t>
      </w:r>
      <w:r w:rsidRPr="0003218B">
        <w:rPr>
          <w:rFonts w:asciiTheme="majorHAnsi" w:hAnsiTheme="majorHAnsi" w:cs="Times New Roman"/>
          <w:sz w:val="18"/>
          <w:szCs w:val="18"/>
        </w:rPr>
        <w:t>oni</w:t>
      </w:r>
    </w:p>
    <w:p w:rsidR="0003218B" w:rsidRPr="0003218B" w:rsidRDefault="0003218B" w:rsidP="0003218B">
      <w:pPr>
        <w:spacing w:after="0" w:line="360" w:lineRule="auto"/>
        <w:rPr>
          <w:rFonts w:asciiTheme="majorHAnsi" w:hAnsiTheme="majorHAnsi" w:cs="Times New Roman"/>
          <w:sz w:val="18"/>
          <w:szCs w:val="18"/>
        </w:rPr>
      </w:pPr>
      <w:r w:rsidRPr="0003218B">
        <w:rPr>
          <w:rFonts w:asciiTheme="majorHAnsi" w:hAnsiTheme="majorHAnsi" w:cs="Times New Roman"/>
          <w:sz w:val="18"/>
          <w:szCs w:val="18"/>
        </w:rPr>
        <w:t>Corresponding author **</w:t>
      </w:r>
    </w:p>
    <w:p w:rsidR="004E639A" w:rsidRPr="0003218B" w:rsidRDefault="004E639A" w:rsidP="0003218B">
      <w:pPr>
        <w:spacing w:after="0" w:line="360" w:lineRule="auto"/>
        <w:jc w:val="both"/>
        <w:rPr>
          <w:rFonts w:ascii="Times New Roman" w:hAnsi="Times New Roman" w:cs="Times New Roman"/>
          <w:b/>
          <w:sz w:val="20"/>
          <w:szCs w:val="20"/>
        </w:rPr>
      </w:pPr>
    </w:p>
    <w:p w:rsidR="004E639A" w:rsidRPr="0003218B" w:rsidRDefault="004E639A" w:rsidP="0003218B">
      <w:pPr>
        <w:widowControl w:val="0"/>
        <w:autoSpaceDE w:val="0"/>
        <w:autoSpaceDN w:val="0"/>
        <w:spacing w:after="0" w:line="360" w:lineRule="auto"/>
        <w:ind w:right="497"/>
        <w:jc w:val="both"/>
        <w:rPr>
          <w:rFonts w:ascii="Times New Roman" w:eastAsia="Times New Roman" w:hAnsi="Times New Roman" w:cs="Times New Roman"/>
          <w:b/>
          <w:sz w:val="20"/>
          <w:szCs w:val="20"/>
          <w:lang w:val="en-US"/>
        </w:rPr>
      </w:pPr>
      <w:r w:rsidRPr="0003218B">
        <w:rPr>
          <w:rFonts w:ascii="Times New Roman" w:eastAsia="Times New Roman" w:hAnsi="Times New Roman" w:cs="Times New Roman"/>
          <w:b/>
          <w:sz w:val="20"/>
          <w:szCs w:val="20"/>
          <w:lang w:val="en-US"/>
        </w:rPr>
        <w:t>Abstract:</w:t>
      </w:r>
    </w:p>
    <w:p w:rsidR="004E639A" w:rsidRPr="0003218B" w:rsidRDefault="004E639A" w:rsidP="0003218B">
      <w:pPr>
        <w:widowControl w:val="0"/>
        <w:autoSpaceDE w:val="0"/>
        <w:autoSpaceDN w:val="0"/>
        <w:spacing w:after="0" w:line="360" w:lineRule="auto"/>
        <w:ind w:right="510"/>
        <w:jc w:val="both"/>
        <w:rPr>
          <w:rFonts w:ascii="Times New Roman" w:eastAsia="Times New Roman" w:hAnsi="Times New Roman" w:cs="Times New Roman"/>
          <w:b/>
          <w:sz w:val="18"/>
          <w:szCs w:val="18"/>
          <w:lang w:val="en-US"/>
        </w:rPr>
      </w:pPr>
      <w:r w:rsidRPr="0003218B">
        <w:rPr>
          <w:rFonts w:ascii="Times New Roman" w:eastAsia="Times New Roman" w:hAnsi="Times New Roman" w:cs="Times New Roman"/>
          <w:b/>
          <w:sz w:val="18"/>
          <w:szCs w:val="18"/>
          <w:lang w:val="en-US"/>
        </w:rPr>
        <w:t xml:space="preserve">Introduction: </w:t>
      </w:r>
      <w:r w:rsidRPr="0003218B">
        <w:rPr>
          <w:rFonts w:ascii="Times New Roman" w:hAnsi="Times New Roman" w:cs="Times New Roman"/>
          <w:sz w:val="18"/>
          <w:szCs w:val="18"/>
        </w:rPr>
        <w:t>Stroke is one of the most important cause of death and the greatest cause of disability all over the world.</w:t>
      </w:r>
    </w:p>
    <w:p w:rsidR="004E639A" w:rsidRPr="0003218B" w:rsidRDefault="004E639A" w:rsidP="0003218B">
      <w:pPr>
        <w:pStyle w:val="BodyText"/>
        <w:spacing w:line="360" w:lineRule="auto"/>
        <w:ind w:right="510"/>
        <w:jc w:val="both"/>
        <w:rPr>
          <w:sz w:val="18"/>
          <w:szCs w:val="18"/>
        </w:rPr>
      </w:pPr>
      <w:r w:rsidRPr="0003218B">
        <w:rPr>
          <w:b/>
          <w:sz w:val="18"/>
          <w:szCs w:val="18"/>
        </w:rPr>
        <w:t xml:space="preserve">Material and methodology:  </w:t>
      </w:r>
      <w:r w:rsidRPr="0003218B">
        <w:rPr>
          <w:sz w:val="18"/>
          <w:szCs w:val="18"/>
        </w:rPr>
        <w:t xml:space="preserve">The present descriptive study was carried out on 622 patients in the department of Radio-diagnosis, RMC, PIMS (D.U), </w:t>
      </w:r>
      <w:proofErr w:type="gramStart"/>
      <w:r w:rsidRPr="0003218B">
        <w:rPr>
          <w:sz w:val="18"/>
          <w:szCs w:val="18"/>
        </w:rPr>
        <w:t>Loni</w:t>
      </w:r>
      <w:proofErr w:type="gramEnd"/>
      <w:r w:rsidRPr="0003218B">
        <w:rPr>
          <w:sz w:val="18"/>
          <w:szCs w:val="18"/>
        </w:rPr>
        <w:t xml:space="preserve"> from September 2018 to September 2020. All</w:t>
      </w:r>
      <w:r w:rsidRPr="0003218B">
        <w:rPr>
          <w:spacing w:val="26"/>
          <w:sz w:val="18"/>
          <w:szCs w:val="18"/>
        </w:rPr>
        <w:t xml:space="preserve"> </w:t>
      </w:r>
      <w:r w:rsidRPr="0003218B">
        <w:rPr>
          <w:sz w:val="18"/>
          <w:szCs w:val="18"/>
        </w:rPr>
        <w:t>patients</w:t>
      </w:r>
      <w:r w:rsidRPr="0003218B">
        <w:rPr>
          <w:spacing w:val="28"/>
          <w:sz w:val="18"/>
          <w:szCs w:val="18"/>
        </w:rPr>
        <w:t xml:space="preserve"> </w:t>
      </w:r>
      <w:r w:rsidRPr="0003218B">
        <w:rPr>
          <w:sz w:val="18"/>
          <w:szCs w:val="18"/>
        </w:rPr>
        <w:t>referred</w:t>
      </w:r>
      <w:r w:rsidRPr="0003218B">
        <w:rPr>
          <w:spacing w:val="26"/>
          <w:sz w:val="18"/>
          <w:szCs w:val="18"/>
        </w:rPr>
        <w:t xml:space="preserve"> </w:t>
      </w:r>
      <w:r w:rsidRPr="0003218B">
        <w:rPr>
          <w:sz w:val="18"/>
          <w:szCs w:val="18"/>
        </w:rPr>
        <w:t>to</w:t>
      </w:r>
      <w:r w:rsidRPr="0003218B">
        <w:rPr>
          <w:spacing w:val="25"/>
          <w:sz w:val="18"/>
          <w:szCs w:val="18"/>
        </w:rPr>
        <w:t xml:space="preserve"> </w:t>
      </w:r>
      <w:r w:rsidRPr="0003218B">
        <w:rPr>
          <w:sz w:val="18"/>
          <w:szCs w:val="18"/>
        </w:rPr>
        <w:t>Department</w:t>
      </w:r>
      <w:r w:rsidRPr="0003218B">
        <w:rPr>
          <w:spacing w:val="26"/>
          <w:sz w:val="18"/>
          <w:szCs w:val="18"/>
        </w:rPr>
        <w:t xml:space="preserve"> </w:t>
      </w:r>
      <w:r w:rsidRPr="0003218B">
        <w:rPr>
          <w:sz w:val="18"/>
          <w:szCs w:val="18"/>
        </w:rPr>
        <w:t>of</w:t>
      </w:r>
      <w:r w:rsidRPr="0003218B">
        <w:rPr>
          <w:spacing w:val="24"/>
          <w:sz w:val="18"/>
          <w:szCs w:val="18"/>
        </w:rPr>
        <w:t xml:space="preserve"> </w:t>
      </w:r>
      <w:proofErr w:type="spellStart"/>
      <w:r w:rsidRPr="0003218B">
        <w:rPr>
          <w:sz w:val="18"/>
          <w:szCs w:val="18"/>
        </w:rPr>
        <w:t>Radiodiagnosis</w:t>
      </w:r>
      <w:proofErr w:type="spellEnd"/>
      <w:r w:rsidRPr="0003218B">
        <w:rPr>
          <w:spacing w:val="28"/>
          <w:sz w:val="18"/>
          <w:szCs w:val="18"/>
        </w:rPr>
        <w:t xml:space="preserve"> </w:t>
      </w:r>
      <w:r w:rsidRPr="0003218B">
        <w:rPr>
          <w:sz w:val="18"/>
          <w:szCs w:val="18"/>
        </w:rPr>
        <w:t>for CT scan coronary calcium score were enrolled for the study.</w:t>
      </w:r>
    </w:p>
    <w:p w:rsidR="004E639A" w:rsidRPr="0003218B" w:rsidRDefault="004E639A" w:rsidP="0003218B">
      <w:pPr>
        <w:pStyle w:val="BodyText"/>
        <w:spacing w:line="360" w:lineRule="auto"/>
        <w:ind w:right="510"/>
        <w:jc w:val="both"/>
        <w:rPr>
          <w:sz w:val="18"/>
          <w:szCs w:val="18"/>
        </w:rPr>
      </w:pPr>
      <w:r w:rsidRPr="0003218B">
        <w:rPr>
          <w:b/>
          <w:sz w:val="18"/>
          <w:szCs w:val="18"/>
        </w:rPr>
        <w:t xml:space="preserve">Results: </w:t>
      </w:r>
      <w:r w:rsidRPr="0003218B">
        <w:rPr>
          <w:sz w:val="18"/>
          <w:szCs w:val="18"/>
        </w:rPr>
        <w:t>In this study hypertensive patients with calcium score between 11-100 were100 (26.9%) and with calcium score &gt; 400 were 188 (50.5%). Comparison of HT and calcium score showed statistically significant results.</w:t>
      </w:r>
    </w:p>
    <w:p w:rsidR="004E639A" w:rsidRPr="0003218B" w:rsidRDefault="004E639A" w:rsidP="0003218B">
      <w:pPr>
        <w:widowControl w:val="0"/>
        <w:autoSpaceDE w:val="0"/>
        <w:autoSpaceDN w:val="0"/>
        <w:spacing w:after="0" w:line="360" w:lineRule="auto"/>
        <w:ind w:right="510"/>
        <w:jc w:val="both"/>
        <w:rPr>
          <w:rFonts w:ascii="Times New Roman" w:hAnsi="Times New Roman" w:cs="Times New Roman"/>
          <w:sz w:val="18"/>
          <w:szCs w:val="18"/>
        </w:rPr>
      </w:pPr>
      <w:r w:rsidRPr="0003218B">
        <w:rPr>
          <w:rFonts w:ascii="Times New Roman" w:eastAsia="Times New Roman" w:hAnsi="Times New Roman" w:cs="Times New Roman"/>
          <w:b/>
          <w:sz w:val="18"/>
          <w:szCs w:val="18"/>
          <w:lang w:val="en-US"/>
        </w:rPr>
        <w:t xml:space="preserve">Conclusion: </w:t>
      </w:r>
      <w:r w:rsidRPr="0003218B">
        <w:rPr>
          <w:rFonts w:ascii="Times New Roman" w:hAnsi="Times New Roman" w:cs="Times New Roman"/>
          <w:sz w:val="18"/>
          <w:szCs w:val="18"/>
        </w:rPr>
        <w:t>Our study assessed subclinical atherosclerosis as defined by CIMT and CACs to develop simple, non-invasive yet sensitive risk-prediction tools to promptly identify those individuals at risk of CVD as valuable clinical strategy that can be more widely implemented in everyday primary care practice.</w:t>
      </w:r>
    </w:p>
    <w:p w:rsidR="004E639A" w:rsidRPr="0003218B" w:rsidRDefault="004E639A" w:rsidP="0003218B">
      <w:pPr>
        <w:widowControl w:val="0"/>
        <w:autoSpaceDE w:val="0"/>
        <w:autoSpaceDN w:val="0"/>
        <w:spacing w:after="0" w:line="360" w:lineRule="auto"/>
        <w:ind w:right="510"/>
        <w:jc w:val="both"/>
        <w:rPr>
          <w:rFonts w:ascii="Times New Roman" w:eastAsia="Times New Roman" w:hAnsi="Times New Roman" w:cs="Times New Roman"/>
          <w:b/>
          <w:sz w:val="18"/>
          <w:szCs w:val="18"/>
          <w:lang w:val="en-US"/>
        </w:rPr>
      </w:pPr>
      <w:r w:rsidRPr="0003218B">
        <w:rPr>
          <w:rFonts w:ascii="Times New Roman" w:hAnsi="Times New Roman" w:cs="Times New Roman"/>
          <w:b/>
          <w:sz w:val="18"/>
          <w:szCs w:val="18"/>
        </w:rPr>
        <w:t>Keywords:</w:t>
      </w:r>
      <w:r w:rsidRPr="0003218B">
        <w:rPr>
          <w:rFonts w:ascii="Times New Roman" w:hAnsi="Times New Roman" w:cs="Times New Roman"/>
          <w:sz w:val="18"/>
          <w:szCs w:val="18"/>
        </w:rPr>
        <w:t xml:space="preserve"> Computed Tomography, stroke </w:t>
      </w:r>
    </w:p>
    <w:p w:rsidR="004E639A" w:rsidRPr="0003218B" w:rsidRDefault="004E639A" w:rsidP="0003218B">
      <w:pPr>
        <w:spacing w:after="0" w:line="360" w:lineRule="auto"/>
        <w:jc w:val="both"/>
        <w:rPr>
          <w:rFonts w:ascii="Times New Roman" w:hAnsi="Times New Roman" w:cs="Times New Roman"/>
          <w:b/>
          <w:sz w:val="20"/>
          <w:szCs w:val="20"/>
        </w:rPr>
      </w:pPr>
    </w:p>
    <w:p w:rsidR="004E639A" w:rsidRPr="0003218B" w:rsidRDefault="004E639A" w:rsidP="0003218B">
      <w:pPr>
        <w:spacing w:after="0" w:line="360" w:lineRule="auto"/>
        <w:jc w:val="both"/>
        <w:rPr>
          <w:rFonts w:ascii="Times New Roman" w:hAnsi="Times New Roman" w:cs="Times New Roman"/>
          <w:b/>
          <w:sz w:val="20"/>
          <w:szCs w:val="20"/>
        </w:rPr>
      </w:pPr>
      <w:r w:rsidRPr="0003218B">
        <w:rPr>
          <w:rFonts w:ascii="Times New Roman" w:hAnsi="Times New Roman" w:cs="Times New Roman"/>
          <w:b/>
          <w:sz w:val="20"/>
          <w:szCs w:val="20"/>
        </w:rPr>
        <w:t>Introduction:</w:t>
      </w:r>
    </w:p>
    <w:p w:rsidR="004E639A" w:rsidRPr="0003218B" w:rsidRDefault="004E639A" w:rsidP="0003218B">
      <w:pPr>
        <w:pStyle w:val="BodyText"/>
        <w:spacing w:line="360" w:lineRule="auto"/>
        <w:ind w:right="634"/>
        <w:jc w:val="both"/>
        <w:rPr>
          <w:sz w:val="20"/>
          <w:szCs w:val="20"/>
        </w:rPr>
      </w:pPr>
      <w:r w:rsidRPr="0003218B">
        <w:rPr>
          <w:sz w:val="20"/>
          <w:szCs w:val="20"/>
        </w:rPr>
        <w:t>Stroke is one of the most important cause of death and the greatest cause of disability all over the world. Approximately 20% to 30% of the strokes can be related to carotid artery stenosis (CAS).</w:t>
      </w:r>
      <w:r w:rsidRPr="0003218B">
        <w:rPr>
          <w:sz w:val="20"/>
          <w:szCs w:val="20"/>
          <w:vertAlign w:val="superscript"/>
        </w:rPr>
        <w:t>1</w:t>
      </w:r>
      <w:r w:rsidRPr="0003218B">
        <w:rPr>
          <w:sz w:val="20"/>
          <w:szCs w:val="20"/>
        </w:rPr>
        <w:t xml:space="preserve"> Moreover, due to the aging of the population, the global burden of atherosclerosis, and thereby its clinical consequences will continue to rise in the coming decades.</w:t>
      </w:r>
      <w:r w:rsidR="00F13977" w:rsidRPr="0003218B">
        <w:rPr>
          <w:sz w:val="20"/>
          <w:szCs w:val="20"/>
          <w:vertAlign w:val="superscript"/>
        </w:rPr>
        <w:t>2</w:t>
      </w:r>
      <w:r w:rsidRPr="0003218B">
        <w:rPr>
          <w:sz w:val="20"/>
          <w:szCs w:val="20"/>
        </w:rPr>
        <w:t xml:space="preserve"> Computed tomography (CT) and magnetic resonance (MR) are the main non- invasive tools for plaque analysis both in carotid and coronary arteries, whereas other methods such as optical coherence tomography (OCT), and intravascular ultrasound (IVUS) are the main invasive intravascular methods for the assessment of coronary atherosclerosis; conventional </w:t>
      </w:r>
      <w:proofErr w:type="spellStart"/>
      <w:r w:rsidRPr="0003218B">
        <w:rPr>
          <w:sz w:val="20"/>
          <w:szCs w:val="20"/>
        </w:rPr>
        <w:t>doppler</w:t>
      </w:r>
      <w:proofErr w:type="spellEnd"/>
      <w:r w:rsidRPr="0003218B">
        <w:rPr>
          <w:sz w:val="20"/>
          <w:szCs w:val="20"/>
        </w:rPr>
        <w:t>-ultrasound (US) also plays a major role in the assessment of carotid artery atherosclerotic disease. A minor but very intriguing role might be played by nuclear medicine techniques and in particular by positron emission tomography (PET), which is the tool that at this point of time can bring us closest to actual molecular/metabolic imaging of carotid and eventually coronary atherosclerosis.</w:t>
      </w:r>
      <w:r w:rsidR="00F13977" w:rsidRPr="0003218B">
        <w:rPr>
          <w:sz w:val="20"/>
          <w:szCs w:val="20"/>
          <w:vertAlign w:val="superscript"/>
        </w:rPr>
        <w:t>3,4,5</w:t>
      </w:r>
      <w:r w:rsidRPr="0003218B">
        <w:rPr>
          <w:sz w:val="20"/>
          <w:szCs w:val="20"/>
        </w:rPr>
        <w:t xml:space="preserve"> In simple words, PET might soon be able to provide information about metabolic activity of atherosclerotic plaques through the application of highly specific probes able to indicate plaque activity/vulnerability; this particular and very demanding application might also be in the future a territory that CT and MR might explore with probes developed with the same</w:t>
      </w:r>
      <w:r w:rsidRPr="0003218B">
        <w:rPr>
          <w:spacing w:val="-1"/>
          <w:sz w:val="20"/>
          <w:szCs w:val="20"/>
        </w:rPr>
        <w:t xml:space="preserve"> </w:t>
      </w:r>
      <w:r w:rsidRPr="0003218B">
        <w:rPr>
          <w:sz w:val="20"/>
          <w:szCs w:val="20"/>
        </w:rPr>
        <w:t>strategy.</w:t>
      </w:r>
      <w:r w:rsidR="00F13977" w:rsidRPr="0003218B">
        <w:rPr>
          <w:sz w:val="20"/>
          <w:szCs w:val="20"/>
          <w:vertAlign w:val="superscript"/>
        </w:rPr>
        <w:t>6</w:t>
      </w:r>
      <w:r w:rsidRPr="0003218B">
        <w:rPr>
          <w:sz w:val="20"/>
          <w:szCs w:val="20"/>
        </w:rPr>
        <w:t xml:space="preserve"> Currently, an accurate clinical diagnosis of coronary heart disease (CHD) relies on coronary artery computed tomography angiography (CCTA) and coronary arteriography (CAG), which are limited by high cost and other factors in clinical application.</w:t>
      </w:r>
      <w:r w:rsidR="00F13977" w:rsidRPr="0003218B">
        <w:rPr>
          <w:sz w:val="20"/>
          <w:szCs w:val="20"/>
          <w:vertAlign w:val="superscript"/>
        </w:rPr>
        <w:t>7</w:t>
      </w:r>
    </w:p>
    <w:p w:rsidR="004E639A" w:rsidRPr="0003218B" w:rsidRDefault="004E639A" w:rsidP="0003218B">
      <w:pPr>
        <w:pStyle w:val="BodyText"/>
        <w:spacing w:line="360" w:lineRule="auto"/>
        <w:ind w:right="634"/>
        <w:jc w:val="both"/>
        <w:rPr>
          <w:b/>
          <w:sz w:val="20"/>
          <w:szCs w:val="20"/>
        </w:rPr>
      </w:pPr>
      <w:r w:rsidRPr="0003218B">
        <w:rPr>
          <w:b/>
          <w:sz w:val="20"/>
          <w:szCs w:val="20"/>
        </w:rPr>
        <w:lastRenderedPageBreak/>
        <w:t>Material and methodology:</w:t>
      </w:r>
    </w:p>
    <w:p w:rsidR="004E639A" w:rsidRPr="0003218B" w:rsidRDefault="004E639A" w:rsidP="0003218B">
      <w:pPr>
        <w:pStyle w:val="BodyText"/>
        <w:spacing w:line="360" w:lineRule="auto"/>
        <w:ind w:right="113"/>
        <w:jc w:val="both"/>
        <w:rPr>
          <w:sz w:val="20"/>
          <w:szCs w:val="20"/>
        </w:rPr>
      </w:pPr>
      <w:r w:rsidRPr="0003218B">
        <w:rPr>
          <w:sz w:val="20"/>
          <w:szCs w:val="20"/>
        </w:rPr>
        <w:t xml:space="preserve">The present descriptive study was carried out on 622 patients in the department of Radio-diagnosis, RMC, PIMS (D.U), </w:t>
      </w:r>
      <w:proofErr w:type="gramStart"/>
      <w:r w:rsidRPr="0003218B">
        <w:rPr>
          <w:sz w:val="20"/>
          <w:szCs w:val="20"/>
        </w:rPr>
        <w:t>Loni</w:t>
      </w:r>
      <w:proofErr w:type="gramEnd"/>
      <w:r w:rsidRPr="0003218B">
        <w:rPr>
          <w:sz w:val="20"/>
          <w:szCs w:val="20"/>
        </w:rPr>
        <w:t xml:space="preserve"> from September 2018 to September 2020. All</w:t>
      </w:r>
      <w:r w:rsidRPr="0003218B">
        <w:rPr>
          <w:spacing w:val="26"/>
          <w:sz w:val="20"/>
          <w:szCs w:val="20"/>
        </w:rPr>
        <w:t xml:space="preserve"> </w:t>
      </w:r>
      <w:r w:rsidRPr="0003218B">
        <w:rPr>
          <w:sz w:val="20"/>
          <w:szCs w:val="20"/>
        </w:rPr>
        <w:t>patients</w:t>
      </w:r>
      <w:r w:rsidRPr="0003218B">
        <w:rPr>
          <w:spacing w:val="28"/>
          <w:sz w:val="20"/>
          <w:szCs w:val="20"/>
        </w:rPr>
        <w:t xml:space="preserve"> </w:t>
      </w:r>
      <w:r w:rsidRPr="0003218B">
        <w:rPr>
          <w:sz w:val="20"/>
          <w:szCs w:val="20"/>
        </w:rPr>
        <w:t>referred</w:t>
      </w:r>
      <w:r w:rsidRPr="0003218B">
        <w:rPr>
          <w:spacing w:val="26"/>
          <w:sz w:val="20"/>
          <w:szCs w:val="20"/>
        </w:rPr>
        <w:t xml:space="preserve"> </w:t>
      </w:r>
      <w:r w:rsidRPr="0003218B">
        <w:rPr>
          <w:sz w:val="20"/>
          <w:szCs w:val="20"/>
        </w:rPr>
        <w:t>to</w:t>
      </w:r>
      <w:r w:rsidRPr="0003218B">
        <w:rPr>
          <w:spacing w:val="25"/>
          <w:sz w:val="20"/>
          <w:szCs w:val="20"/>
        </w:rPr>
        <w:t xml:space="preserve"> </w:t>
      </w:r>
      <w:r w:rsidRPr="0003218B">
        <w:rPr>
          <w:sz w:val="20"/>
          <w:szCs w:val="20"/>
        </w:rPr>
        <w:t>Department</w:t>
      </w:r>
      <w:r w:rsidRPr="0003218B">
        <w:rPr>
          <w:spacing w:val="26"/>
          <w:sz w:val="20"/>
          <w:szCs w:val="20"/>
        </w:rPr>
        <w:t xml:space="preserve"> </w:t>
      </w:r>
      <w:r w:rsidRPr="0003218B">
        <w:rPr>
          <w:sz w:val="20"/>
          <w:szCs w:val="20"/>
        </w:rPr>
        <w:t>of</w:t>
      </w:r>
      <w:r w:rsidRPr="0003218B">
        <w:rPr>
          <w:spacing w:val="24"/>
          <w:sz w:val="20"/>
          <w:szCs w:val="20"/>
        </w:rPr>
        <w:t xml:space="preserve"> </w:t>
      </w:r>
      <w:proofErr w:type="spellStart"/>
      <w:r w:rsidRPr="0003218B">
        <w:rPr>
          <w:sz w:val="20"/>
          <w:szCs w:val="20"/>
        </w:rPr>
        <w:t>Radiodiagnosis</w:t>
      </w:r>
      <w:proofErr w:type="spellEnd"/>
      <w:r w:rsidRPr="0003218B">
        <w:rPr>
          <w:spacing w:val="28"/>
          <w:sz w:val="20"/>
          <w:szCs w:val="20"/>
        </w:rPr>
        <w:t xml:space="preserve"> </w:t>
      </w:r>
      <w:r w:rsidRPr="0003218B">
        <w:rPr>
          <w:sz w:val="20"/>
          <w:szCs w:val="20"/>
        </w:rPr>
        <w:t>for CT scan coronary calcium score were enrolled for the study.</w:t>
      </w:r>
      <w:r w:rsidR="0003218B">
        <w:rPr>
          <w:sz w:val="20"/>
          <w:szCs w:val="20"/>
        </w:rPr>
        <w:t xml:space="preserve"> </w:t>
      </w:r>
      <w:r w:rsidRPr="0003218B">
        <w:rPr>
          <w:sz w:val="20"/>
          <w:szCs w:val="20"/>
        </w:rPr>
        <w:t>All</w:t>
      </w:r>
      <w:r w:rsidRPr="0003218B">
        <w:rPr>
          <w:spacing w:val="35"/>
          <w:sz w:val="20"/>
          <w:szCs w:val="20"/>
        </w:rPr>
        <w:t xml:space="preserve"> </w:t>
      </w:r>
      <w:r w:rsidRPr="0003218B">
        <w:rPr>
          <w:sz w:val="20"/>
          <w:szCs w:val="20"/>
        </w:rPr>
        <w:t>patients</w:t>
      </w:r>
      <w:r w:rsidRPr="0003218B">
        <w:rPr>
          <w:spacing w:val="37"/>
          <w:sz w:val="20"/>
          <w:szCs w:val="20"/>
        </w:rPr>
        <w:t xml:space="preserve"> </w:t>
      </w:r>
      <w:r w:rsidRPr="0003218B">
        <w:rPr>
          <w:sz w:val="20"/>
          <w:szCs w:val="20"/>
        </w:rPr>
        <w:t>referred</w:t>
      </w:r>
      <w:r w:rsidRPr="0003218B">
        <w:rPr>
          <w:spacing w:val="37"/>
          <w:sz w:val="20"/>
          <w:szCs w:val="20"/>
        </w:rPr>
        <w:t xml:space="preserve"> </w:t>
      </w:r>
      <w:r w:rsidRPr="0003218B">
        <w:rPr>
          <w:sz w:val="20"/>
          <w:szCs w:val="20"/>
        </w:rPr>
        <w:t>to</w:t>
      </w:r>
      <w:r w:rsidRPr="0003218B">
        <w:rPr>
          <w:spacing w:val="37"/>
          <w:sz w:val="20"/>
          <w:szCs w:val="20"/>
        </w:rPr>
        <w:t xml:space="preserve"> </w:t>
      </w:r>
      <w:r w:rsidRPr="0003218B">
        <w:rPr>
          <w:sz w:val="20"/>
          <w:szCs w:val="20"/>
        </w:rPr>
        <w:t>Department</w:t>
      </w:r>
      <w:r w:rsidRPr="0003218B">
        <w:rPr>
          <w:spacing w:val="37"/>
          <w:sz w:val="20"/>
          <w:szCs w:val="20"/>
        </w:rPr>
        <w:t xml:space="preserve"> </w:t>
      </w:r>
      <w:r w:rsidRPr="0003218B">
        <w:rPr>
          <w:sz w:val="20"/>
          <w:szCs w:val="20"/>
        </w:rPr>
        <w:t>of</w:t>
      </w:r>
      <w:r w:rsidRPr="0003218B">
        <w:rPr>
          <w:spacing w:val="36"/>
          <w:sz w:val="20"/>
          <w:szCs w:val="20"/>
        </w:rPr>
        <w:t xml:space="preserve"> </w:t>
      </w:r>
      <w:proofErr w:type="spellStart"/>
      <w:r w:rsidRPr="0003218B">
        <w:rPr>
          <w:sz w:val="20"/>
          <w:szCs w:val="20"/>
        </w:rPr>
        <w:t>Radiodiagnosis</w:t>
      </w:r>
      <w:proofErr w:type="spellEnd"/>
      <w:r w:rsidRPr="0003218B">
        <w:rPr>
          <w:spacing w:val="37"/>
          <w:sz w:val="20"/>
          <w:szCs w:val="20"/>
        </w:rPr>
        <w:t xml:space="preserve"> </w:t>
      </w:r>
      <w:r w:rsidRPr="0003218B">
        <w:rPr>
          <w:sz w:val="20"/>
          <w:szCs w:val="20"/>
        </w:rPr>
        <w:t>for</w:t>
      </w:r>
      <w:r w:rsidRPr="0003218B">
        <w:rPr>
          <w:spacing w:val="35"/>
          <w:sz w:val="20"/>
          <w:szCs w:val="20"/>
        </w:rPr>
        <w:t xml:space="preserve"> </w:t>
      </w:r>
      <w:r w:rsidRPr="0003218B">
        <w:rPr>
          <w:sz w:val="20"/>
          <w:szCs w:val="20"/>
        </w:rPr>
        <w:t>Carotid artery Doppler ultrasound and CT scan coronary calcium score were enrolled for the study. The enrolled cases were subjected for the following selection criteria.</w:t>
      </w:r>
    </w:p>
    <w:p w:rsidR="004E639A" w:rsidRPr="0003218B" w:rsidRDefault="004E639A" w:rsidP="0003218B">
      <w:pPr>
        <w:pStyle w:val="ListParagraph"/>
        <w:tabs>
          <w:tab w:val="left" w:pos="821"/>
        </w:tabs>
        <w:spacing w:line="360" w:lineRule="auto"/>
        <w:ind w:left="0" w:firstLine="0"/>
        <w:rPr>
          <w:b/>
          <w:sz w:val="20"/>
          <w:szCs w:val="20"/>
        </w:rPr>
      </w:pPr>
      <w:r w:rsidRPr="0003218B">
        <w:rPr>
          <w:b/>
          <w:sz w:val="20"/>
          <w:szCs w:val="20"/>
        </w:rPr>
        <w:t>I</w:t>
      </w:r>
      <w:r w:rsidR="0003218B" w:rsidRPr="0003218B">
        <w:rPr>
          <w:b/>
          <w:sz w:val="20"/>
          <w:szCs w:val="20"/>
        </w:rPr>
        <w:t>nclusion</w:t>
      </w:r>
      <w:r w:rsidR="0003218B" w:rsidRPr="0003218B">
        <w:rPr>
          <w:b/>
          <w:spacing w:val="-1"/>
          <w:sz w:val="20"/>
          <w:szCs w:val="20"/>
        </w:rPr>
        <w:t xml:space="preserve"> </w:t>
      </w:r>
      <w:r w:rsidR="0003218B" w:rsidRPr="0003218B">
        <w:rPr>
          <w:b/>
          <w:sz w:val="20"/>
          <w:szCs w:val="20"/>
        </w:rPr>
        <w:t>criteria:</w:t>
      </w:r>
    </w:p>
    <w:p w:rsidR="004E639A" w:rsidRPr="0003218B" w:rsidRDefault="004E639A" w:rsidP="0003218B">
      <w:pPr>
        <w:pStyle w:val="ListParagraph"/>
        <w:numPr>
          <w:ilvl w:val="1"/>
          <w:numId w:val="1"/>
        </w:numPr>
        <w:tabs>
          <w:tab w:val="left" w:pos="1121"/>
        </w:tabs>
        <w:spacing w:line="360" w:lineRule="auto"/>
        <w:ind w:left="397" w:right="57" w:hanging="361"/>
        <w:jc w:val="both"/>
        <w:rPr>
          <w:sz w:val="20"/>
          <w:szCs w:val="20"/>
        </w:rPr>
      </w:pPr>
      <w:r w:rsidRPr="0003218B">
        <w:rPr>
          <w:sz w:val="20"/>
          <w:szCs w:val="20"/>
        </w:rPr>
        <w:t>Patients who are consenting for</w:t>
      </w:r>
      <w:r w:rsidRPr="0003218B">
        <w:rPr>
          <w:spacing w:val="-6"/>
          <w:sz w:val="20"/>
          <w:szCs w:val="20"/>
        </w:rPr>
        <w:t xml:space="preserve"> </w:t>
      </w:r>
      <w:r w:rsidRPr="0003218B">
        <w:rPr>
          <w:sz w:val="20"/>
          <w:szCs w:val="20"/>
        </w:rPr>
        <w:t>study.</w:t>
      </w:r>
    </w:p>
    <w:p w:rsidR="004E639A" w:rsidRPr="0003218B" w:rsidRDefault="004E639A" w:rsidP="0003218B">
      <w:pPr>
        <w:pStyle w:val="ListParagraph"/>
        <w:numPr>
          <w:ilvl w:val="1"/>
          <w:numId w:val="1"/>
        </w:numPr>
        <w:tabs>
          <w:tab w:val="left" w:pos="1121"/>
        </w:tabs>
        <w:spacing w:line="360" w:lineRule="auto"/>
        <w:ind w:left="397" w:right="57"/>
        <w:jc w:val="both"/>
        <w:rPr>
          <w:sz w:val="20"/>
          <w:szCs w:val="20"/>
        </w:rPr>
      </w:pPr>
      <w:r w:rsidRPr="0003218B">
        <w:rPr>
          <w:sz w:val="20"/>
          <w:szCs w:val="20"/>
        </w:rPr>
        <w:t xml:space="preserve">All patients referred to Department of </w:t>
      </w:r>
      <w:proofErr w:type="spellStart"/>
      <w:r w:rsidRPr="0003218B">
        <w:rPr>
          <w:sz w:val="20"/>
          <w:szCs w:val="20"/>
        </w:rPr>
        <w:t>Radiodiagnosis</w:t>
      </w:r>
      <w:proofErr w:type="spellEnd"/>
      <w:r w:rsidRPr="0003218B">
        <w:rPr>
          <w:sz w:val="20"/>
          <w:szCs w:val="20"/>
        </w:rPr>
        <w:t xml:space="preserve"> for Carotid artery Doppler ultrasound and CT scan coronary calcium score at Pravara Rural Hospital,</w:t>
      </w:r>
      <w:r w:rsidRPr="0003218B">
        <w:rPr>
          <w:spacing w:val="-9"/>
          <w:sz w:val="20"/>
          <w:szCs w:val="20"/>
        </w:rPr>
        <w:t xml:space="preserve"> </w:t>
      </w:r>
      <w:r w:rsidRPr="0003218B">
        <w:rPr>
          <w:sz w:val="20"/>
          <w:szCs w:val="20"/>
        </w:rPr>
        <w:t>Loni.</w:t>
      </w:r>
    </w:p>
    <w:p w:rsidR="004E639A" w:rsidRPr="0003218B" w:rsidRDefault="004E639A" w:rsidP="0003218B">
      <w:pPr>
        <w:pStyle w:val="ListParagraph"/>
        <w:numPr>
          <w:ilvl w:val="1"/>
          <w:numId w:val="1"/>
        </w:numPr>
        <w:tabs>
          <w:tab w:val="left" w:pos="1121"/>
        </w:tabs>
        <w:spacing w:line="360" w:lineRule="auto"/>
        <w:ind w:left="397" w:right="57"/>
        <w:jc w:val="both"/>
        <w:rPr>
          <w:sz w:val="20"/>
          <w:szCs w:val="20"/>
        </w:rPr>
      </w:pPr>
      <w:r w:rsidRPr="0003218B">
        <w:rPr>
          <w:sz w:val="20"/>
          <w:szCs w:val="20"/>
        </w:rPr>
        <w:t>Patients with history of Hypertension, diabetes, hypercholesterolemia or smoking. (High risk patients of coronary artery</w:t>
      </w:r>
      <w:r w:rsidRPr="0003218B">
        <w:rPr>
          <w:spacing w:val="-9"/>
          <w:sz w:val="20"/>
          <w:szCs w:val="20"/>
        </w:rPr>
        <w:t xml:space="preserve"> </w:t>
      </w:r>
      <w:r w:rsidRPr="0003218B">
        <w:rPr>
          <w:sz w:val="20"/>
          <w:szCs w:val="20"/>
        </w:rPr>
        <w:t>disease)</w:t>
      </w:r>
    </w:p>
    <w:p w:rsidR="004E639A" w:rsidRPr="0003218B" w:rsidRDefault="004E639A" w:rsidP="0003218B">
      <w:pPr>
        <w:pStyle w:val="ListParagraph"/>
        <w:numPr>
          <w:ilvl w:val="1"/>
          <w:numId w:val="1"/>
        </w:numPr>
        <w:tabs>
          <w:tab w:val="left" w:pos="1121"/>
        </w:tabs>
        <w:spacing w:line="360" w:lineRule="auto"/>
        <w:ind w:left="418" w:right="170" w:hanging="361"/>
        <w:jc w:val="both"/>
        <w:rPr>
          <w:sz w:val="20"/>
          <w:szCs w:val="20"/>
        </w:rPr>
      </w:pPr>
      <w:r w:rsidRPr="0003218B">
        <w:rPr>
          <w:sz w:val="20"/>
          <w:szCs w:val="20"/>
        </w:rPr>
        <w:t>All</w:t>
      </w:r>
      <w:r w:rsidRPr="0003218B">
        <w:rPr>
          <w:spacing w:val="-1"/>
          <w:sz w:val="20"/>
          <w:szCs w:val="20"/>
        </w:rPr>
        <w:t xml:space="preserve"> </w:t>
      </w:r>
      <w:r w:rsidRPr="0003218B">
        <w:rPr>
          <w:sz w:val="20"/>
          <w:szCs w:val="20"/>
        </w:rPr>
        <w:t>genders.</w:t>
      </w:r>
    </w:p>
    <w:p w:rsidR="004E639A" w:rsidRPr="0003218B" w:rsidRDefault="004E639A" w:rsidP="0003218B">
      <w:pPr>
        <w:pStyle w:val="ListParagraph"/>
        <w:tabs>
          <w:tab w:val="left" w:pos="821"/>
        </w:tabs>
        <w:spacing w:line="360" w:lineRule="auto"/>
        <w:ind w:left="0" w:firstLine="0"/>
        <w:rPr>
          <w:b/>
          <w:sz w:val="20"/>
          <w:szCs w:val="20"/>
        </w:rPr>
      </w:pPr>
      <w:r w:rsidRPr="0003218B">
        <w:rPr>
          <w:b/>
          <w:sz w:val="20"/>
          <w:szCs w:val="20"/>
        </w:rPr>
        <w:t>E</w:t>
      </w:r>
      <w:r w:rsidR="0003218B" w:rsidRPr="0003218B">
        <w:rPr>
          <w:b/>
          <w:sz w:val="20"/>
          <w:szCs w:val="20"/>
        </w:rPr>
        <w:t>xclusion</w:t>
      </w:r>
      <w:r w:rsidR="0003218B" w:rsidRPr="0003218B">
        <w:rPr>
          <w:b/>
          <w:spacing w:val="-1"/>
          <w:sz w:val="20"/>
          <w:szCs w:val="20"/>
        </w:rPr>
        <w:t xml:space="preserve"> </w:t>
      </w:r>
      <w:r w:rsidR="0003218B" w:rsidRPr="0003218B">
        <w:rPr>
          <w:b/>
          <w:sz w:val="20"/>
          <w:szCs w:val="20"/>
        </w:rPr>
        <w:t>criteria:</w:t>
      </w:r>
    </w:p>
    <w:p w:rsidR="004E639A" w:rsidRPr="0003218B" w:rsidRDefault="004E639A" w:rsidP="0003218B">
      <w:pPr>
        <w:pStyle w:val="ListParagraph"/>
        <w:numPr>
          <w:ilvl w:val="0"/>
          <w:numId w:val="2"/>
        </w:numPr>
        <w:tabs>
          <w:tab w:val="left" w:pos="1301"/>
        </w:tabs>
        <w:spacing w:line="360" w:lineRule="auto"/>
        <w:ind w:left="417"/>
        <w:rPr>
          <w:sz w:val="20"/>
          <w:szCs w:val="20"/>
        </w:rPr>
      </w:pPr>
      <w:r w:rsidRPr="0003218B">
        <w:rPr>
          <w:sz w:val="20"/>
          <w:szCs w:val="20"/>
        </w:rPr>
        <w:t>Patient not consenting for</w:t>
      </w:r>
      <w:r w:rsidRPr="0003218B">
        <w:rPr>
          <w:spacing w:val="-4"/>
          <w:sz w:val="20"/>
          <w:szCs w:val="20"/>
        </w:rPr>
        <w:t xml:space="preserve"> </w:t>
      </w:r>
      <w:r w:rsidRPr="0003218B">
        <w:rPr>
          <w:sz w:val="20"/>
          <w:szCs w:val="20"/>
        </w:rPr>
        <w:t>study.</w:t>
      </w:r>
    </w:p>
    <w:p w:rsidR="004E639A" w:rsidRPr="0003218B" w:rsidRDefault="004E639A" w:rsidP="0003218B">
      <w:pPr>
        <w:pStyle w:val="ListParagraph"/>
        <w:numPr>
          <w:ilvl w:val="0"/>
          <w:numId w:val="2"/>
        </w:numPr>
        <w:tabs>
          <w:tab w:val="left" w:pos="1301"/>
        </w:tabs>
        <w:spacing w:line="360" w:lineRule="auto"/>
        <w:ind w:left="417"/>
        <w:rPr>
          <w:sz w:val="20"/>
          <w:szCs w:val="20"/>
        </w:rPr>
      </w:pPr>
      <w:r w:rsidRPr="0003218B">
        <w:rPr>
          <w:sz w:val="20"/>
          <w:szCs w:val="20"/>
        </w:rPr>
        <w:t>Pregnant women. (CT scan</w:t>
      </w:r>
      <w:r w:rsidRPr="0003218B">
        <w:rPr>
          <w:spacing w:val="-1"/>
          <w:sz w:val="20"/>
          <w:szCs w:val="20"/>
        </w:rPr>
        <w:t xml:space="preserve"> </w:t>
      </w:r>
      <w:r w:rsidRPr="0003218B">
        <w:rPr>
          <w:sz w:val="20"/>
          <w:szCs w:val="20"/>
        </w:rPr>
        <w:t>contraindication)</w:t>
      </w:r>
    </w:p>
    <w:p w:rsidR="004E639A" w:rsidRPr="0003218B" w:rsidRDefault="004E639A" w:rsidP="0003218B">
      <w:pPr>
        <w:pStyle w:val="ListParagraph"/>
        <w:numPr>
          <w:ilvl w:val="0"/>
          <w:numId w:val="2"/>
        </w:numPr>
        <w:tabs>
          <w:tab w:val="left" w:pos="1301"/>
        </w:tabs>
        <w:spacing w:line="360" w:lineRule="auto"/>
        <w:ind w:left="417"/>
        <w:rPr>
          <w:sz w:val="20"/>
          <w:szCs w:val="20"/>
        </w:rPr>
      </w:pPr>
      <w:r w:rsidRPr="0003218B">
        <w:rPr>
          <w:sz w:val="20"/>
          <w:szCs w:val="20"/>
        </w:rPr>
        <w:t xml:space="preserve">Patient having </w:t>
      </w:r>
      <w:proofErr w:type="spellStart"/>
      <w:r w:rsidRPr="0003218B">
        <w:rPr>
          <w:sz w:val="20"/>
          <w:szCs w:val="20"/>
        </w:rPr>
        <w:t>persistant</w:t>
      </w:r>
      <w:proofErr w:type="spellEnd"/>
      <w:r w:rsidRPr="0003218B">
        <w:rPr>
          <w:spacing w:val="-4"/>
          <w:sz w:val="20"/>
          <w:szCs w:val="20"/>
        </w:rPr>
        <w:t xml:space="preserve"> </w:t>
      </w:r>
      <w:r w:rsidRPr="0003218B">
        <w:rPr>
          <w:sz w:val="20"/>
          <w:szCs w:val="20"/>
        </w:rPr>
        <w:t>tachycardia.</w:t>
      </w:r>
    </w:p>
    <w:p w:rsidR="004E639A" w:rsidRPr="0003218B" w:rsidRDefault="004E639A" w:rsidP="0003218B">
      <w:pPr>
        <w:tabs>
          <w:tab w:val="left" w:pos="1301"/>
        </w:tabs>
        <w:spacing w:after="0" w:line="360" w:lineRule="auto"/>
        <w:jc w:val="both"/>
        <w:rPr>
          <w:rFonts w:ascii="Times New Roman" w:hAnsi="Times New Roman" w:cs="Times New Roman"/>
          <w:sz w:val="20"/>
          <w:szCs w:val="20"/>
        </w:rPr>
      </w:pPr>
      <w:r w:rsidRPr="0003218B">
        <w:rPr>
          <w:rFonts w:ascii="Times New Roman" w:hAnsi="Times New Roman" w:cs="Times New Roman"/>
          <w:sz w:val="20"/>
          <w:szCs w:val="20"/>
        </w:rPr>
        <w:t>CT scan coronary artery calcium score was performed on ―SIEMENS-</w:t>
      </w:r>
      <w:proofErr w:type="spellStart"/>
      <w:r w:rsidRPr="0003218B">
        <w:rPr>
          <w:rFonts w:ascii="Times New Roman" w:hAnsi="Times New Roman" w:cs="Times New Roman"/>
          <w:sz w:val="20"/>
          <w:szCs w:val="20"/>
        </w:rPr>
        <w:t>Multislice</w:t>
      </w:r>
      <w:proofErr w:type="spellEnd"/>
      <w:r w:rsidRPr="0003218B">
        <w:rPr>
          <w:rFonts w:ascii="Times New Roman" w:hAnsi="Times New Roman" w:cs="Times New Roman"/>
          <w:sz w:val="20"/>
          <w:szCs w:val="20"/>
        </w:rPr>
        <w:t xml:space="preserve"> SOMATOM Perspective 64 rows 128 slice MACHINE</w:t>
      </w:r>
    </w:p>
    <w:p w:rsidR="004E639A" w:rsidRPr="0003218B" w:rsidRDefault="004E639A" w:rsidP="0003218B">
      <w:pPr>
        <w:pStyle w:val="BodyText"/>
        <w:spacing w:line="360" w:lineRule="auto"/>
        <w:ind w:right="774"/>
        <w:jc w:val="both"/>
        <w:rPr>
          <w:b/>
          <w:sz w:val="20"/>
          <w:szCs w:val="20"/>
        </w:rPr>
      </w:pPr>
      <w:r w:rsidRPr="0003218B">
        <w:rPr>
          <w:b/>
          <w:sz w:val="20"/>
          <w:szCs w:val="20"/>
        </w:rPr>
        <w:t>Results:</w:t>
      </w:r>
    </w:p>
    <w:p w:rsidR="004E639A" w:rsidRPr="0003218B" w:rsidRDefault="004E639A" w:rsidP="0003218B">
      <w:pPr>
        <w:pStyle w:val="BodyText"/>
        <w:spacing w:line="360" w:lineRule="auto"/>
        <w:jc w:val="both"/>
        <w:rPr>
          <w:sz w:val="20"/>
          <w:szCs w:val="20"/>
        </w:rPr>
      </w:pPr>
      <w:r w:rsidRPr="0003218B">
        <w:rPr>
          <w:sz w:val="20"/>
          <w:szCs w:val="20"/>
        </w:rPr>
        <w:t>In this study the mean age was 56.56 years, mean IMT was 0.88 mm, mean calcium score was 286.18 and AP diameter was 7.44 mm.</w:t>
      </w:r>
    </w:p>
    <w:p w:rsidR="004E639A" w:rsidRPr="0003218B" w:rsidRDefault="004E639A" w:rsidP="0003218B">
      <w:pPr>
        <w:pStyle w:val="BodyText"/>
        <w:spacing w:line="360" w:lineRule="auto"/>
        <w:jc w:val="both"/>
        <w:rPr>
          <w:sz w:val="20"/>
          <w:szCs w:val="20"/>
        </w:rPr>
      </w:pPr>
      <w:r w:rsidRPr="0003218B">
        <w:rPr>
          <w:sz w:val="20"/>
          <w:szCs w:val="20"/>
        </w:rPr>
        <w:t xml:space="preserve">In this study incidence of patients in age group of 50-60 years was 365 (58.7%) showed highest </w:t>
      </w:r>
      <w:proofErr w:type="gramStart"/>
      <w:r w:rsidRPr="0003218B">
        <w:rPr>
          <w:sz w:val="20"/>
          <w:szCs w:val="20"/>
        </w:rPr>
        <w:t>predominance</w:t>
      </w:r>
      <w:proofErr w:type="gramEnd"/>
      <w:r w:rsidRPr="0003218B">
        <w:rPr>
          <w:sz w:val="20"/>
          <w:szCs w:val="20"/>
        </w:rPr>
        <w:t>. In this study male patients 499 (80.2%) were more in number as compared to female patients 123 (19.8%). In this study incidence of HTN was present in 372 (59.3%) patients.</w:t>
      </w:r>
    </w:p>
    <w:p w:rsidR="004E639A" w:rsidRPr="0003218B" w:rsidRDefault="004E639A" w:rsidP="0003218B">
      <w:pPr>
        <w:pStyle w:val="Heading2"/>
        <w:spacing w:line="360" w:lineRule="auto"/>
        <w:ind w:left="0" w:right="359"/>
        <w:jc w:val="both"/>
        <w:rPr>
          <w:sz w:val="20"/>
          <w:szCs w:val="20"/>
        </w:rPr>
      </w:pPr>
      <w:r w:rsidRPr="0003218B">
        <w:rPr>
          <w:sz w:val="20"/>
          <w:szCs w:val="20"/>
        </w:rPr>
        <w:t>Table 1: Calcium Score wise distribution of the study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2204"/>
        <w:gridCol w:w="1601"/>
      </w:tblGrid>
      <w:tr w:rsidR="004E639A" w:rsidRPr="0003218B" w:rsidTr="004E639A">
        <w:trPr>
          <w:trHeight w:val="534"/>
        </w:trPr>
        <w:tc>
          <w:tcPr>
            <w:tcW w:w="4895" w:type="dxa"/>
          </w:tcPr>
          <w:p w:rsidR="004E639A" w:rsidRPr="0003218B" w:rsidRDefault="004E639A" w:rsidP="0003218B">
            <w:pPr>
              <w:pStyle w:val="TableParagraph"/>
              <w:spacing w:line="360" w:lineRule="auto"/>
              <w:jc w:val="both"/>
              <w:rPr>
                <w:sz w:val="20"/>
                <w:szCs w:val="20"/>
              </w:rPr>
            </w:pPr>
          </w:p>
        </w:tc>
        <w:tc>
          <w:tcPr>
            <w:tcW w:w="2204" w:type="dxa"/>
          </w:tcPr>
          <w:p w:rsidR="004E639A" w:rsidRPr="0003218B" w:rsidRDefault="004E639A" w:rsidP="0003218B">
            <w:pPr>
              <w:pStyle w:val="TableParagraph"/>
              <w:spacing w:line="360" w:lineRule="auto"/>
              <w:ind w:left="532" w:right="528"/>
              <w:jc w:val="both"/>
              <w:rPr>
                <w:b/>
                <w:sz w:val="20"/>
                <w:szCs w:val="20"/>
              </w:rPr>
            </w:pPr>
            <w:r w:rsidRPr="0003218B">
              <w:rPr>
                <w:b/>
                <w:sz w:val="20"/>
                <w:szCs w:val="20"/>
              </w:rPr>
              <w:t>Frequency</w:t>
            </w:r>
          </w:p>
        </w:tc>
        <w:tc>
          <w:tcPr>
            <w:tcW w:w="1601" w:type="dxa"/>
          </w:tcPr>
          <w:p w:rsidR="004E639A" w:rsidRPr="0003218B" w:rsidRDefault="004E639A" w:rsidP="0003218B">
            <w:pPr>
              <w:pStyle w:val="TableParagraph"/>
              <w:spacing w:line="360" w:lineRule="auto"/>
              <w:ind w:left="383" w:right="380"/>
              <w:jc w:val="both"/>
              <w:rPr>
                <w:b/>
                <w:sz w:val="20"/>
                <w:szCs w:val="20"/>
              </w:rPr>
            </w:pPr>
            <w:r w:rsidRPr="0003218B">
              <w:rPr>
                <w:b/>
                <w:sz w:val="20"/>
                <w:szCs w:val="20"/>
              </w:rPr>
              <w:t>Percent</w:t>
            </w:r>
          </w:p>
        </w:tc>
      </w:tr>
      <w:tr w:rsidR="004E639A" w:rsidRPr="0003218B" w:rsidTr="004E639A">
        <w:trPr>
          <w:trHeight w:val="532"/>
        </w:trPr>
        <w:tc>
          <w:tcPr>
            <w:tcW w:w="4895" w:type="dxa"/>
          </w:tcPr>
          <w:p w:rsidR="004E639A" w:rsidRPr="0003218B" w:rsidRDefault="004E639A" w:rsidP="0003218B">
            <w:pPr>
              <w:pStyle w:val="TableParagraph"/>
              <w:spacing w:line="360" w:lineRule="auto"/>
              <w:ind w:left="28"/>
              <w:jc w:val="both"/>
              <w:rPr>
                <w:sz w:val="20"/>
                <w:szCs w:val="20"/>
              </w:rPr>
            </w:pPr>
            <w:r w:rsidRPr="0003218B">
              <w:rPr>
                <w:sz w:val="20"/>
                <w:szCs w:val="20"/>
              </w:rPr>
              <w:t>0 (no evidence of CAD)</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124</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19.9</w:t>
            </w:r>
          </w:p>
        </w:tc>
      </w:tr>
      <w:tr w:rsidR="004E639A" w:rsidRPr="0003218B" w:rsidTr="004E639A">
        <w:trPr>
          <w:trHeight w:val="534"/>
        </w:trPr>
        <w:tc>
          <w:tcPr>
            <w:tcW w:w="4895" w:type="dxa"/>
          </w:tcPr>
          <w:p w:rsidR="004E639A" w:rsidRPr="0003218B" w:rsidRDefault="004E639A" w:rsidP="0003218B">
            <w:pPr>
              <w:pStyle w:val="TableParagraph"/>
              <w:spacing w:line="360" w:lineRule="auto"/>
              <w:ind w:left="28"/>
              <w:jc w:val="both"/>
              <w:rPr>
                <w:sz w:val="20"/>
                <w:szCs w:val="20"/>
              </w:rPr>
            </w:pPr>
            <w:r w:rsidRPr="0003218B">
              <w:rPr>
                <w:sz w:val="20"/>
                <w:szCs w:val="20"/>
              </w:rPr>
              <w:t>1-10 (minimal)</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23</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3.7</w:t>
            </w:r>
          </w:p>
        </w:tc>
      </w:tr>
      <w:tr w:rsidR="004E639A" w:rsidRPr="0003218B" w:rsidTr="004E639A">
        <w:trPr>
          <w:trHeight w:val="534"/>
        </w:trPr>
        <w:tc>
          <w:tcPr>
            <w:tcW w:w="4895" w:type="dxa"/>
          </w:tcPr>
          <w:p w:rsidR="004E639A" w:rsidRPr="0003218B" w:rsidRDefault="004E639A" w:rsidP="0003218B">
            <w:pPr>
              <w:pStyle w:val="TableParagraph"/>
              <w:spacing w:line="360" w:lineRule="auto"/>
              <w:ind w:left="28"/>
              <w:jc w:val="both"/>
              <w:rPr>
                <w:sz w:val="20"/>
                <w:szCs w:val="20"/>
              </w:rPr>
            </w:pPr>
            <w:r w:rsidRPr="0003218B">
              <w:rPr>
                <w:sz w:val="20"/>
                <w:szCs w:val="20"/>
              </w:rPr>
              <w:t>11-100 (mild)</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101</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16.2</w:t>
            </w:r>
          </w:p>
        </w:tc>
      </w:tr>
      <w:tr w:rsidR="004E639A" w:rsidRPr="0003218B" w:rsidTr="004E639A">
        <w:trPr>
          <w:trHeight w:val="532"/>
        </w:trPr>
        <w:tc>
          <w:tcPr>
            <w:tcW w:w="4895" w:type="dxa"/>
          </w:tcPr>
          <w:p w:rsidR="004E639A" w:rsidRPr="0003218B" w:rsidRDefault="004E639A" w:rsidP="0003218B">
            <w:pPr>
              <w:pStyle w:val="TableParagraph"/>
              <w:spacing w:line="360" w:lineRule="auto"/>
              <w:ind w:left="28"/>
              <w:jc w:val="both"/>
              <w:rPr>
                <w:sz w:val="20"/>
                <w:szCs w:val="20"/>
              </w:rPr>
            </w:pPr>
            <w:r w:rsidRPr="0003218B">
              <w:rPr>
                <w:sz w:val="20"/>
                <w:szCs w:val="20"/>
              </w:rPr>
              <w:t>101-400 (moderate)</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186</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29.9</w:t>
            </w:r>
          </w:p>
        </w:tc>
      </w:tr>
      <w:tr w:rsidR="004E639A" w:rsidRPr="0003218B" w:rsidTr="004E639A">
        <w:trPr>
          <w:trHeight w:val="534"/>
        </w:trPr>
        <w:tc>
          <w:tcPr>
            <w:tcW w:w="4895" w:type="dxa"/>
          </w:tcPr>
          <w:p w:rsidR="004E639A" w:rsidRPr="0003218B" w:rsidRDefault="004E639A" w:rsidP="0003218B">
            <w:pPr>
              <w:pStyle w:val="TableParagraph"/>
              <w:spacing w:line="360" w:lineRule="auto"/>
              <w:ind w:left="28"/>
              <w:jc w:val="both"/>
              <w:rPr>
                <w:sz w:val="20"/>
                <w:szCs w:val="20"/>
              </w:rPr>
            </w:pPr>
            <w:r w:rsidRPr="0003218B">
              <w:rPr>
                <w:sz w:val="20"/>
                <w:szCs w:val="20"/>
              </w:rPr>
              <w:t>&gt;400 (severe)</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188</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30.2</w:t>
            </w:r>
          </w:p>
        </w:tc>
      </w:tr>
      <w:tr w:rsidR="004E639A" w:rsidRPr="0003218B" w:rsidTr="004E639A">
        <w:trPr>
          <w:trHeight w:val="534"/>
        </w:trPr>
        <w:tc>
          <w:tcPr>
            <w:tcW w:w="4895" w:type="dxa"/>
          </w:tcPr>
          <w:p w:rsidR="004E639A" w:rsidRPr="0003218B" w:rsidRDefault="004E639A" w:rsidP="0003218B">
            <w:pPr>
              <w:pStyle w:val="TableParagraph"/>
              <w:spacing w:line="360" w:lineRule="auto"/>
              <w:ind w:left="2152" w:right="2146"/>
              <w:jc w:val="both"/>
              <w:rPr>
                <w:b/>
                <w:sz w:val="20"/>
                <w:szCs w:val="20"/>
              </w:rPr>
            </w:pPr>
            <w:r w:rsidRPr="0003218B">
              <w:rPr>
                <w:b/>
                <w:sz w:val="20"/>
                <w:szCs w:val="20"/>
              </w:rPr>
              <w:t>Total</w:t>
            </w:r>
          </w:p>
        </w:tc>
        <w:tc>
          <w:tcPr>
            <w:tcW w:w="2204" w:type="dxa"/>
          </w:tcPr>
          <w:p w:rsidR="004E639A" w:rsidRPr="0003218B" w:rsidRDefault="004E639A" w:rsidP="0003218B">
            <w:pPr>
              <w:pStyle w:val="TableParagraph"/>
              <w:spacing w:line="360" w:lineRule="auto"/>
              <w:ind w:left="532" w:right="524"/>
              <w:jc w:val="both"/>
              <w:rPr>
                <w:sz w:val="20"/>
                <w:szCs w:val="20"/>
              </w:rPr>
            </w:pPr>
            <w:r w:rsidRPr="0003218B">
              <w:rPr>
                <w:sz w:val="20"/>
                <w:szCs w:val="20"/>
              </w:rPr>
              <w:t>622</w:t>
            </w:r>
          </w:p>
        </w:tc>
        <w:tc>
          <w:tcPr>
            <w:tcW w:w="1601" w:type="dxa"/>
          </w:tcPr>
          <w:p w:rsidR="004E639A" w:rsidRPr="0003218B" w:rsidRDefault="004E639A" w:rsidP="0003218B">
            <w:pPr>
              <w:pStyle w:val="TableParagraph"/>
              <w:spacing w:line="360" w:lineRule="auto"/>
              <w:ind w:left="383" w:right="375"/>
              <w:jc w:val="both"/>
              <w:rPr>
                <w:sz w:val="20"/>
                <w:szCs w:val="20"/>
              </w:rPr>
            </w:pPr>
            <w:r w:rsidRPr="0003218B">
              <w:rPr>
                <w:sz w:val="20"/>
                <w:szCs w:val="20"/>
              </w:rPr>
              <w:t>100.0</w:t>
            </w:r>
          </w:p>
        </w:tc>
      </w:tr>
    </w:tbl>
    <w:p w:rsidR="004E639A" w:rsidRPr="0003218B" w:rsidRDefault="004E639A" w:rsidP="0003218B">
      <w:pPr>
        <w:pStyle w:val="BodyText"/>
        <w:spacing w:line="360" w:lineRule="auto"/>
        <w:jc w:val="both"/>
        <w:rPr>
          <w:sz w:val="20"/>
          <w:szCs w:val="20"/>
        </w:rPr>
      </w:pPr>
      <w:r w:rsidRPr="0003218B">
        <w:rPr>
          <w:sz w:val="20"/>
          <w:szCs w:val="20"/>
        </w:rPr>
        <w:t xml:space="preserve">      </w:t>
      </w:r>
    </w:p>
    <w:p w:rsidR="004E639A" w:rsidRPr="0003218B" w:rsidRDefault="004E639A" w:rsidP="0003218B">
      <w:pPr>
        <w:pStyle w:val="BodyText"/>
        <w:spacing w:line="360" w:lineRule="auto"/>
        <w:jc w:val="both"/>
        <w:rPr>
          <w:sz w:val="20"/>
          <w:szCs w:val="20"/>
        </w:rPr>
      </w:pPr>
      <w:r w:rsidRPr="0003218B">
        <w:rPr>
          <w:sz w:val="20"/>
          <w:szCs w:val="20"/>
        </w:rPr>
        <w:t xml:space="preserve">In this study total 124 (19.9%) patients do not have any evidence of CAD while </w:t>
      </w:r>
      <w:r w:rsidRPr="0003218B">
        <w:rPr>
          <w:noProof/>
          <w:sz w:val="20"/>
          <w:szCs w:val="20"/>
          <w:lang w:val="en-IN" w:eastAsia="en-IN"/>
        </w:rPr>
        <mc:AlternateContent>
          <mc:Choice Requires="wps">
            <w:drawing>
              <wp:anchor distT="0" distB="0" distL="114300" distR="114300" simplePos="0" relativeHeight="251663360" behindDoc="0" locked="0" layoutInCell="1" allowOverlap="1" wp14:anchorId="26897D63" wp14:editId="039C1164">
                <wp:simplePos x="0" y="0"/>
                <wp:positionH relativeFrom="page">
                  <wp:posOffset>1637665</wp:posOffset>
                </wp:positionH>
                <wp:positionV relativeFrom="paragraph">
                  <wp:posOffset>-3386455</wp:posOffset>
                </wp:positionV>
                <wp:extent cx="180975" cy="10725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39A" w:rsidRDefault="004E639A" w:rsidP="004E639A">
                            <w:pPr>
                              <w:spacing w:before="11"/>
                              <w:ind w:left="20"/>
                              <w:rPr>
                                <w:b/>
                              </w:rPr>
                            </w:pPr>
                            <w:r>
                              <w:rPr>
                                <w:b/>
                                <w:color w:val="D9D9D9"/>
                              </w:rPr>
                              <w:t>PERCENTAGES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8.95pt;margin-top:-266.65pt;width:14.25pt;height:8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vJrQIAAK4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" filled="f" stroked="f">
                <v:textbox style="layout-flow:vertical;mso-layout-flow-alt:bottom-to-top" inset="0,0,0,0">
                  <w:txbxContent>
                    <w:p w:rsidR="004E639A" w:rsidRDefault="004E639A" w:rsidP="004E639A">
                      <w:pPr>
                        <w:spacing w:before="11"/>
                        <w:ind w:left="20"/>
                        <w:rPr>
                          <w:b/>
                        </w:rPr>
                      </w:pPr>
                      <w:r>
                        <w:rPr>
                          <w:b/>
                          <w:color w:val="D9D9D9"/>
                        </w:rPr>
                        <w:t>PERCENTAGES</w:t>
                      </w:r>
                    </w:p>
                  </w:txbxContent>
                </v:textbox>
                <w10:wrap anchorx="page"/>
              </v:shape>
            </w:pict>
          </mc:Fallback>
        </mc:AlternateContent>
      </w:r>
      <w:r w:rsidRPr="0003218B">
        <w:rPr>
          <w:sz w:val="20"/>
          <w:szCs w:val="20"/>
        </w:rPr>
        <w:t>186 (29.9%) and 188 (30.2%) patients had moderate (101-400) and severe (&gt;400) calcium score</w:t>
      </w:r>
      <w:r w:rsidRPr="0003218B">
        <w:rPr>
          <w:spacing w:val="-1"/>
          <w:sz w:val="20"/>
          <w:szCs w:val="20"/>
        </w:rPr>
        <w:t xml:space="preserve"> </w:t>
      </w:r>
      <w:r w:rsidRPr="0003218B">
        <w:rPr>
          <w:sz w:val="20"/>
          <w:szCs w:val="20"/>
        </w:rPr>
        <w:t>respectively.</w:t>
      </w:r>
    </w:p>
    <w:p w:rsidR="004E639A" w:rsidRPr="0003218B" w:rsidRDefault="004E639A" w:rsidP="0003218B">
      <w:pPr>
        <w:pStyle w:val="Heading2"/>
        <w:spacing w:line="360" w:lineRule="auto"/>
        <w:ind w:left="300" w:right="358"/>
        <w:jc w:val="both"/>
        <w:rPr>
          <w:sz w:val="20"/>
          <w:szCs w:val="20"/>
        </w:rPr>
      </w:pPr>
      <w:r w:rsidRPr="0003218B">
        <w:rPr>
          <w:sz w:val="20"/>
          <w:szCs w:val="20"/>
        </w:rPr>
        <w:lastRenderedPageBreak/>
        <w:t>Table 2: Comparison of HTN and calcium score</w:t>
      </w:r>
    </w:p>
    <w:tbl>
      <w:tblPr>
        <w:tblpPr w:leftFromText="180" w:rightFromText="180" w:vertAnchor="text" w:horzAnchor="margin"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1134"/>
        <w:gridCol w:w="382"/>
        <w:gridCol w:w="1004"/>
        <w:gridCol w:w="827"/>
        <w:gridCol w:w="1091"/>
        <w:gridCol w:w="1272"/>
        <w:gridCol w:w="1005"/>
        <w:gridCol w:w="1181"/>
      </w:tblGrid>
      <w:tr w:rsidR="004E639A" w:rsidRPr="0003218B" w:rsidTr="004E639A">
        <w:trPr>
          <w:trHeight w:val="474"/>
        </w:trPr>
        <w:tc>
          <w:tcPr>
            <w:tcW w:w="2330" w:type="dxa"/>
            <w:gridSpan w:val="3"/>
            <w:vMerge w:val="restart"/>
          </w:tcPr>
          <w:p w:rsidR="004E639A" w:rsidRPr="0003218B" w:rsidRDefault="004E639A" w:rsidP="0003218B">
            <w:pPr>
              <w:pStyle w:val="TableParagraph"/>
              <w:spacing w:line="360" w:lineRule="auto"/>
              <w:jc w:val="both"/>
              <w:rPr>
                <w:sz w:val="20"/>
                <w:szCs w:val="20"/>
              </w:rPr>
            </w:pPr>
          </w:p>
        </w:tc>
        <w:tc>
          <w:tcPr>
            <w:tcW w:w="5199" w:type="dxa"/>
            <w:gridSpan w:val="5"/>
          </w:tcPr>
          <w:p w:rsidR="004E639A" w:rsidRPr="0003218B" w:rsidRDefault="004E639A" w:rsidP="0003218B">
            <w:pPr>
              <w:pStyle w:val="TableParagraph"/>
              <w:spacing w:line="360" w:lineRule="auto"/>
              <w:ind w:left="1843" w:right="1845"/>
              <w:jc w:val="both"/>
              <w:rPr>
                <w:b/>
                <w:sz w:val="20"/>
                <w:szCs w:val="20"/>
              </w:rPr>
            </w:pPr>
            <w:r w:rsidRPr="0003218B">
              <w:rPr>
                <w:b/>
                <w:sz w:val="20"/>
                <w:szCs w:val="20"/>
              </w:rPr>
              <w:t>Calcium score</w:t>
            </w:r>
          </w:p>
        </w:tc>
        <w:tc>
          <w:tcPr>
            <w:tcW w:w="1181" w:type="dxa"/>
            <w:vMerge w:val="restart"/>
          </w:tcPr>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ind w:left="305"/>
              <w:jc w:val="both"/>
              <w:rPr>
                <w:b/>
                <w:sz w:val="20"/>
                <w:szCs w:val="20"/>
              </w:rPr>
            </w:pPr>
            <w:r w:rsidRPr="0003218B">
              <w:rPr>
                <w:b/>
                <w:sz w:val="20"/>
                <w:szCs w:val="20"/>
              </w:rPr>
              <w:t>Total</w:t>
            </w:r>
          </w:p>
        </w:tc>
      </w:tr>
      <w:tr w:rsidR="004E639A" w:rsidRPr="0003218B" w:rsidTr="004E639A">
        <w:trPr>
          <w:trHeight w:val="472"/>
        </w:trPr>
        <w:tc>
          <w:tcPr>
            <w:tcW w:w="2330" w:type="dxa"/>
            <w:gridSpan w:val="3"/>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1004" w:type="dxa"/>
          </w:tcPr>
          <w:p w:rsidR="004E639A" w:rsidRPr="0003218B" w:rsidRDefault="004E639A" w:rsidP="0003218B">
            <w:pPr>
              <w:pStyle w:val="TableParagraph"/>
              <w:spacing w:line="360" w:lineRule="auto"/>
              <w:ind w:left="1"/>
              <w:jc w:val="both"/>
              <w:rPr>
                <w:b/>
                <w:sz w:val="20"/>
                <w:szCs w:val="20"/>
              </w:rPr>
            </w:pPr>
            <w:r w:rsidRPr="0003218B">
              <w:rPr>
                <w:b/>
                <w:sz w:val="20"/>
                <w:szCs w:val="20"/>
              </w:rPr>
              <w:t>0</w:t>
            </w:r>
          </w:p>
        </w:tc>
        <w:tc>
          <w:tcPr>
            <w:tcW w:w="827" w:type="dxa"/>
          </w:tcPr>
          <w:p w:rsidR="004E639A" w:rsidRPr="0003218B" w:rsidRDefault="004E639A" w:rsidP="0003218B">
            <w:pPr>
              <w:pStyle w:val="TableParagraph"/>
              <w:spacing w:line="360" w:lineRule="auto"/>
              <w:ind w:left="137" w:right="136"/>
              <w:jc w:val="both"/>
              <w:rPr>
                <w:b/>
                <w:sz w:val="20"/>
                <w:szCs w:val="20"/>
              </w:rPr>
            </w:pPr>
            <w:r w:rsidRPr="0003218B">
              <w:rPr>
                <w:b/>
                <w:sz w:val="20"/>
                <w:szCs w:val="20"/>
              </w:rPr>
              <w:t>1-10</w:t>
            </w:r>
          </w:p>
        </w:tc>
        <w:tc>
          <w:tcPr>
            <w:tcW w:w="1091" w:type="dxa"/>
          </w:tcPr>
          <w:p w:rsidR="004E639A" w:rsidRPr="0003218B" w:rsidRDefault="004E639A" w:rsidP="0003218B">
            <w:pPr>
              <w:pStyle w:val="TableParagraph"/>
              <w:spacing w:line="360" w:lineRule="auto"/>
              <w:ind w:right="199"/>
              <w:jc w:val="both"/>
              <w:rPr>
                <w:b/>
                <w:sz w:val="20"/>
                <w:szCs w:val="20"/>
              </w:rPr>
            </w:pPr>
            <w:r w:rsidRPr="0003218B">
              <w:rPr>
                <w:b/>
                <w:sz w:val="20"/>
                <w:szCs w:val="20"/>
              </w:rPr>
              <w:t>11-100</w:t>
            </w:r>
          </w:p>
        </w:tc>
        <w:tc>
          <w:tcPr>
            <w:tcW w:w="1272" w:type="dxa"/>
          </w:tcPr>
          <w:p w:rsidR="004E639A" w:rsidRPr="0003218B" w:rsidRDefault="004E639A" w:rsidP="0003218B">
            <w:pPr>
              <w:pStyle w:val="TableParagraph"/>
              <w:spacing w:line="360" w:lineRule="auto"/>
              <w:ind w:left="209" w:right="213"/>
              <w:jc w:val="both"/>
              <w:rPr>
                <w:b/>
                <w:sz w:val="20"/>
                <w:szCs w:val="20"/>
              </w:rPr>
            </w:pPr>
            <w:r w:rsidRPr="0003218B">
              <w:rPr>
                <w:b/>
                <w:sz w:val="20"/>
                <w:szCs w:val="20"/>
              </w:rPr>
              <w:t>101-400</w:t>
            </w:r>
          </w:p>
        </w:tc>
        <w:tc>
          <w:tcPr>
            <w:tcW w:w="1005" w:type="dxa"/>
          </w:tcPr>
          <w:p w:rsidR="004E639A" w:rsidRPr="0003218B" w:rsidRDefault="004E639A" w:rsidP="0003218B">
            <w:pPr>
              <w:pStyle w:val="TableParagraph"/>
              <w:spacing w:line="360" w:lineRule="auto"/>
              <w:ind w:left="163" w:right="168"/>
              <w:jc w:val="both"/>
              <w:rPr>
                <w:b/>
                <w:sz w:val="20"/>
                <w:szCs w:val="20"/>
              </w:rPr>
            </w:pPr>
            <w:r w:rsidRPr="0003218B">
              <w:rPr>
                <w:b/>
                <w:sz w:val="20"/>
                <w:szCs w:val="20"/>
              </w:rPr>
              <w:t>&gt;400</w:t>
            </w:r>
          </w:p>
        </w:tc>
        <w:tc>
          <w:tcPr>
            <w:tcW w:w="1181"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r>
      <w:tr w:rsidR="004E639A" w:rsidRPr="0003218B" w:rsidTr="004E639A">
        <w:trPr>
          <w:trHeight w:val="474"/>
        </w:trPr>
        <w:tc>
          <w:tcPr>
            <w:tcW w:w="814" w:type="dxa"/>
            <w:vMerge w:val="restart"/>
          </w:tcPr>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ind w:left="146"/>
              <w:jc w:val="both"/>
              <w:rPr>
                <w:b/>
                <w:sz w:val="20"/>
                <w:szCs w:val="20"/>
              </w:rPr>
            </w:pPr>
            <w:r w:rsidRPr="0003218B">
              <w:rPr>
                <w:b/>
                <w:sz w:val="20"/>
                <w:szCs w:val="20"/>
              </w:rPr>
              <w:t>HTN</w:t>
            </w:r>
          </w:p>
        </w:tc>
        <w:tc>
          <w:tcPr>
            <w:tcW w:w="1134" w:type="dxa"/>
            <w:vMerge w:val="restart"/>
          </w:tcPr>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ind w:left="203"/>
              <w:jc w:val="both"/>
              <w:rPr>
                <w:b/>
                <w:sz w:val="20"/>
                <w:szCs w:val="20"/>
              </w:rPr>
            </w:pPr>
            <w:r w:rsidRPr="0003218B">
              <w:rPr>
                <w:b/>
                <w:sz w:val="20"/>
                <w:szCs w:val="20"/>
              </w:rPr>
              <w:t>Absent</w:t>
            </w:r>
          </w:p>
        </w:tc>
        <w:tc>
          <w:tcPr>
            <w:tcW w:w="382" w:type="dxa"/>
          </w:tcPr>
          <w:p w:rsidR="004E639A" w:rsidRPr="0003218B" w:rsidRDefault="004E639A" w:rsidP="0003218B">
            <w:pPr>
              <w:pStyle w:val="TableParagraph"/>
              <w:spacing w:line="360" w:lineRule="auto"/>
              <w:ind w:left="101"/>
              <w:jc w:val="both"/>
              <w:rPr>
                <w:sz w:val="20"/>
                <w:szCs w:val="20"/>
              </w:rPr>
            </w:pPr>
            <w:r w:rsidRPr="0003218B">
              <w:rPr>
                <w:w w:val="99"/>
                <w:sz w:val="20"/>
                <w:szCs w:val="20"/>
              </w:rPr>
              <w:t>N</w:t>
            </w:r>
          </w:p>
        </w:tc>
        <w:tc>
          <w:tcPr>
            <w:tcW w:w="1004" w:type="dxa"/>
          </w:tcPr>
          <w:p w:rsidR="004E639A" w:rsidRPr="0003218B" w:rsidRDefault="004E639A" w:rsidP="0003218B">
            <w:pPr>
              <w:pStyle w:val="TableParagraph"/>
              <w:spacing w:line="360" w:lineRule="auto"/>
              <w:ind w:left="167" w:right="166"/>
              <w:jc w:val="both"/>
              <w:rPr>
                <w:sz w:val="20"/>
                <w:szCs w:val="20"/>
              </w:rPr>
            </w:pPr>
            <w:r w:rsidRPr="0003218B">
              <w:rPr>
                <w:sz w:val="20"/>
                <w:szCs w:val="20"/>
              </w:rPr>
              <w:t>124</w:t>
            </w:r>
          </w:p>
        </w:tc>
        <w:tc>
          <w:tcPr>
            <w:tcW w:w="827" w:type="dxa"/>
          </w:tcPr>
          <w:p w:rsidR="004E639A" w:rsidRPr="0003218B" w:rsidRDefault="004E639A" w:rsidP="0003218B">
            <w:pPr>
              <w:pStyle w:val="TableParagraph"/>
              <w:spacing w:line="360" w:lineRule="auto"/>
              <w:ind w:left="4"/>
              <w:jc w:val="both"/>
              <w:rPr>
                <w:sz w:val="20"/>
                <w:szCs w:val="20"/>
              </w:rPr>
            </w:pPr>
            <w:r w:rsidRPr="0003218B">
              <w:rPr>
                <w:sz w:val="20"/>
                <w:szCs w:val="20"/>
              </w:rPr>
              <w:t>1</w:t>
            </w:r>
          </w:p>
        </w:tc>
        <w:tc>
          <w:tcPr>
            <w:tcW w:w="1091" w:type="dxa"/>
          </w:tcPr>
          <w:p w:rsidR="004E639A" w:rsidRPr="0003218B" w:rsidRDefault="004E639A" w:rsidP="0003218B">
            <w:pPr>
              <w:pStyle w:val="TableParagraph"/>
              <w:spacing w:line="360" w:lineRule="auto"/>
              <w:ind w:left="1"/>
              <w:jc w:val="both"/>
              <w:rPr>
                <w:sz w:val="20"/>
                <w:szCs w:val="20"/>
              </w:rPr>
            </w:pPr>
            <w:r w:rsidRPr="0003218B">
              <w:rPr>
                <w:sz w:val="20"/>
                <w:szCs w:val="20"/>
              </w:rPr>
              <w:t>1</w:t>
            </w:r>
          </w:p>
        </w:tc>
        <w:tc>
          <w:tcPr>
            <w:tcW w:w="1272" w:type="dxa"/>
          </w:tcPr>
          <w:p w:rsidR="004E639A" w:rsidRPr="0003218B" w:rsidRDefault="004E639A" w:rsidP="0003218B">
            <w:pPr>
              <w:pStyle w:val="TableParagraph"/>
              <w:spacing w:line="360" w:lineRule="auto"/>
              <w:ind w:left="209" w:right="211"/>
              <w:jc w:val="both"/>
              <w:rPr>
                <w:sz w:val="20"/>
                <w:szCs w:val="20"/>
              </w:rPr>
            </w:pPr>
            <w:r w:rsidRPr="0003218B">
              <w:rPr>
                <w:sz w:val="20"/>
                <w:szCs w:val="20"/>
              </w:rPr>
              <w:t>124</w:t>
            </w:r>
          </w:p>
        </w:tc>
        <w:tc>
          <w:tcPr>
            <w:tcW w:w="1005" w:type="dxa"/>
          </w:tcPr>
          <w:p w:rsidR="004E639A" w:rsidRPr="0003218B" w:rsidRDefault="004E639A" w:rsidP="0003218B">
            <w:pPr>
              <w:pStyle w:val="TableParagraph"/>
              <w:spacing w:line="360" w:lineRule="auto"/>
              <w:ind w:right="4"/>
              <w:jc w:val="both"/>
              <w:rPr>
                <w:sz w:val="20"/>
                <w:szCs w:val="20"/>
              </w:rPr>
            </w:pPr>
            <w:r w:rsidRPr="0003218B">
              <w:rPr>
                <w:sz w:val="20"/>
                <w:szCs w:val="20"/>
              </w:rPr>
              <w:t>0</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250</w:t>
            </w:r>
          </w:p>
        </w:tc>
      </w:tr>
      <w:tr w:rsidR="004E639A" w:rsidRPr="0003218B" w:rsidTr="004E639A">
        <w:trPr>
          <w:trHeight w:val="474"/>
        </w:trPr>
        <w:tc>
          <w:tcPr>
            <w:tcW w:w="814"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1134"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382" w:type="dxa"/>
          </w:tcPr>
          <w:p w:rsidR="004E639A" w:rsidRPr="0003218B" w:rsidRDefault="004E639A" w:rsidP="0003218B">
            <w:pPr>
              <w:pStyle w:val="TableParagraph"/>
              <w:spacing w:line="360" w:lineRule="auto"/>
              <w:ind w:left="90"/>
              <w:jc w:val="both"/>
              <w:rPr>
                <w:sz w:val="20"/>
                <w:szCs w:val="20"/>
              </w:rPr>
            </w:pPr>
            <w:r w:rsidRPr="0003218B">
              <w:rPr>
                <w:w w:val="99"/>
                <w:sz w:val="20"/>
                <w:szCs w:val="20"/>
              </w:rPr>
              <w:t>%</w:t>
            </w:r>
          </w:p>
        </w:tc>
        <w:tc>
          <w:tcPr>
            <w:tcW w:w="1004" w:type="dxa"/>
          </w:tcPr>
          <w:p w:rsidR="004E639A" w:rsidRPr="0003218B" w:rsidRDefault="004E639A" w:rsidP="0003218B">
            <w:pPr>
              <w:pStyle w:val="TableParagraph"/>
              <w:spacing w:line="360" w:lineRule="auto"/>
              <w:ind w:left="167" w:right="166"/>
              <w:jc w:val="both"/>
              <w:rPr>
                <w:sz w:val="20"/>
                <w:szCs w:val="20"/>
              </w:rPr>
            </w:pPr>
            <w:r w:rsidRPr="0003218B">
              <w:rPr>
                <w:sz w:val="20"/>
                <w:szCs w:val="20"/>
              </w:rPr>
              <w:t>49.6%</w:t>
            </w:r>
          </w:p>
        </w:tc>
        <w:tc>
          <w:tcPr>
            <w:tcW w:w="827" w:type="dxa"/>
          </w:tcPr>
          <w:p w:rsidR="004E639A" w:rsidRPr="0003218B" w:rsidRDefault="004E639A" w:rsidP="0003218B">
            <w:pPr>
              <w:pStyle w:val="TableParagraph"/>
              <w:spacing w:line="360" w:lineRule="auto"/>
              <w:ind w:left="140" w:right="136"/>
              <w:jc w:val="both"/>
              <w:rPr>
                <w:sz w:val="20"/>
                <w:szCs w:val="20"/>
              </w:rPr>
            </w:pPr>
            <w:r w:rsidRPr="0003218B">
              <w:rPr>
                <w:sz w:val="20"/>
                <w:szCs w:val="20"/>
              </w:rPr>
              <w:t>0.4%</w:t>
            </w:r>
          </w:p>
        </w:tc>
        <w:tc>
          <w:tcPr>
            <w:tcW w:w="1091" w:type="dxa"/>
          </w:tcPr>
          <w:p w:rsidR="004E639A" w:rsidRPr="0003218B" w:rsidRDefault="004E639A" w:rsidP="0003218B">
            <w:pPr>
              <w:pStyle w:val="TableParagraph"/>
              <w:spacing w:line="360" w:lineRule="auto"/>
              <w:ind w:right="287"/>
              <w:jc w:val="both"/>
              <w:rPr>
                <w:sz w:val="20"/>
                <w:szCs w:val="20"/>
              </w:rPr>
            </w:pPr>
            <w:r w:rsidRPr="0003218B">
              <w:rPr>
                <w:sz w:val="20"/>
                <w:szCs w:val="20"/>
              </w:rPr>
              <w:t>0.4%</w:t>
            </w:r>
          </w:p>
        </w:tc>
        <w:tc>
          <w:tcPr>
            <w:tcW w:w="1272" w:type="dxa"/>
          </w:tcPr>
          <w:p w:rsidR="004E639A" w:rsidRPr="0003218B" w:rsidRDefault="004E639A" w:rsidP="0003218B">
            <w:pPr>
              <w:pStyle w:val="TableParagraph"/>
              <w:spacing w:line="360" w:lineRule="auto"/>
              <w:ind w:left="209" w:right="210"/>
              <w:jc w:val="both"/>
              <w:rPr>
                <w:sz w:val="20"/>
                <w:szCs w:val="20"/>
              </w:rPr>
            </w:pPr>
            <w:r w:rsidRPr="0003218B">
              <w:rPr>
                <w:sz w:val="20"/>
                <w:szCs w:val="20"/>
              </w:rPr>
              <w:t>49.6%</w:t>
            </w:r>
          </w:p>
        </w:tc>
        <w:tc>
          <w:tcPr>
            <w:tcW w:w="1005" w:type="dxa"/>
          </w:tcPr>
          <w:p w:rsidR="004E639A" w:rsidRPr="0003218B" w:rsidRDefault="004E639A" w:rsidP="0003218B">
            <w:pPr>
              <w:pStyle w:val="TableParagraph"/>
              <w:spacing w:line="360" w:lineRule="auto"/>
              <w:ind w:left="166" w:right="168"/>
              <w:jc w:val="both"/>
              <w:rPr>
                <w:sz w:val="20"/>
                <w:szCs w:val="20"/>
              </w:rPr>
            </w:pPr>
            <w:r w:rsidRPr="0003218B">
              <w:rPr>
                <w:sz w:val="20"/>
                <w:szCs w:val="20"/>
              </w:rPr>
              <w:t>0.0%</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100.0%</w:t>
            </w:r>
          </w:p>
        </w:tc>
      </w:tr>
      <w:tr w:rsidR="004E639A" w:rsidRPr="0003218B" w:rsidTr="004E639A">
        <w:trPr>
          <w:trHeight w:val="472"/>
        </w:trPr>
        <w:tc>
          <w:tcPr>
            <w:tcW w:w="814"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1134" w:type="dxa"/>
            <w:vMerge w:val="restart"/>
          </w:tcPr>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ind w:left="176"/>
              <w:jc w:val="both"/>
              <w:rPr>
                <w:b/>
                <w:sz w:val="20"/>
                <w:szCs w:val="20"/>
              </w:rPr>
            </w:pPr>
            <w:r w:rsidRPr="0003218B">
              <w:rPr>
                <w:b/>
                <w:sz w:val="20"/>
                <w:szCs w:val="20"/>
              </w:rPr>
              <w:t>Present</w:t>
            </w:r>
          </w:p>
        </w:tc>
        <w:tc>
          <w:tcPr>
            <w:tcW w:w="382" w:type="dxa"/>
          </w:tcPr>
          <w:p w:rsidR="004E639A" w:rsidRPr="0003218B" w:rsidRDefault="004E639A" w:rsidP="0003218B">
            <w:pPr>
              <w:pStyle w:val="TableParagraph"/>
              <w:spacing w:line="360" w:lineRule="auto"/>
              <w:ind w:left="101"/>
              <w:jc w:val="both"/>
              <w:rPr>
                <w:sz w:val="20"/>
                <w:szCs w:val="20"/>
              </w:rPr>
            </w:pPr>
            <w:r w:rsidRPr="0003218B">
              <w:rPr>
                <w:w w:val="99"/>
                <w:sz w:val="20"/>
                <w:szCs w:val="20"/>
              </w:rPr>
              <w:t>N</w:t>
            </w:r>
          </w:p>
        </w:tc>
        <w:tc>
          <w:tcPr>
            <w:tcW w:w="1004" w:type="dxa"/>
          </w:tcPr>
          <w:p w:rsidR="004E639A" w:rsidRPr="0003218B" w:rsidRDefault="004E639A" w:rsidP="0003218B">
            <w:pPr>
              <w:pStyle w:val="TableParagraph"/>
              <w:spacing w:line="360" w:lineRule="auto"/>
              <w:ind w:left="1"/>
              <w:jc w:val="both"/>
              <w:rPr>
                <w:sz w:val="20"/>
                <w:szCs w:val="20"/>
              </w:rPr>
            </w:pPr>
            <w:r w:rsidRPr="0003218B">
              <w:rPr>
                <w:sz w:val="20"/>
                <w:szCs w:val="20"/>
              </w:rPr>
              <w:t>0</w:t>
            </w:r>
          </w:p>
        </w:tc>
        <w:tc>
          <w:tcPr>
            <w:tcW w:w="827" w:type="dxa"/>
          </w:tcPr>
          <w:p w:rsidR="004E639A" w:rsidRPr="0003218B" w:rsidRDefault="004E639A" w:rsidP="0003218B">
            <w:pPr>
              <w:pStyle w:val="TableParagraph"/>
              <w:spacing w:line="360" w:lineRule="auto"/>
              <w:ind w:left="139" w:right="136"/>
              <w:jc w:val="both"/>
              <w:rPr>
                <w:sz w:val="20"/>
                <w:szCs w:val="20"/>
              </w:rPr>
            </w:pPr>
            <w:r w:rsidRPr="0003218B">
              <w:rPr>
                <w:sz w:val="20"/>
                <w:szCs w:val="20"/>
              </w:rPr>
              <w:t>22</w:t>
            </w:r>
          </w:p>
        </w:tc>
        <w:tc>
          <w:tcPr>
            <w:tcW w:w="1091" w:type="dxa"/>
          </w:tcPr>
          <w:p w:rsidR="004E639A" w:rsidRPr="0003218B" w:rsidRDefault="004E639A" w:rsidP="0003218B">
            <w:pPr>
              <w:pStyle w:val="TableParagraph"/>
              <w:spacing w:line="360" w:lineRule="auto"/>
              <w:ind w:left="361"/>
              <w:jc w:val="both"/>
              <w:rPr>
                <w:sz w:val="20"/>
                <w:szCs w:val="20"/>
              </w:rPr>
            </w:pPr>
            <w:r w:rsidRPr="0003218B">
              <w:rPr>
                <w:sz w:val="20"/>
                <w:szCs w:val="20"/>
              </w:rPr>
              <w:t>100</w:t>
            </w:r>
          </w:p>
        </w:tc>
        <w:tc>
          <w:tcPr>
            <w:tcW w:w="1272" w:type="dxa"/>
          </w:tcPr>
          <w:p w:rsidR="004E639A" w:rsidRPr="0003218B" w:rsidRDefault="004E639A" w:rsidP="0003218B">
            <w:pPr>
              <w:pStyle w:val="TableParagraph"/>
              <w:spacing w:line="360" w:lineRule="auto"/>
              <w:ind w:left="209" w:right="211"/>
              <w:jc w:val="both"/>
              <w:rPr>
                <w:sz w:val="20"/>
                <w:szCs w:val="20"/>
              </w:rPr>
            </w:pPr>
            <w:r w:rsidRPr="0003218B">
              <w:rPr>
                <w:sz w:val="20"/>
                <w:szCs w:val="20"/>
              </w:rPr>
              <w:t>62</w:t>
            </w:r>
          </w:p>
        </w:tc>
        <w:tc>
          <w:tcPr>
            <w:tcW w:w="1005" w:type="dxa"/>
          </w:tcPr>
          <w:p w:rsidR="004E639A" w:rsidRPr="0003218B" w:rsidRDefault="004E639A" w:rsidP="0003218B">
            <w:pPr>
              <w:pStyle w:val="TableParagraph"/>
              <w:spacing w:line="360" w:lineRule="auto"/>
              <w:ind w:left="164" w:right="168"/>
              <w:jc w:val="both"/>
              <w:rPr>
                <w:sz w:val="20"/>
                <w:szCs w:val="20"/>
              </w:rPr>
            </w:pPr>
            <w:r w:rsidRPr="0003218B">
              <w:rPr>
                <w:sz w:val="20"/>
                <w:szCs w:val="20"/>
              </w:rPr>
              <w:t>188</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372</w:t>
            </w:r>
          </w:p>
        </w:tc>
      </w:tr>
      <w:tr w:rsidR="004E639A" w:rsidRPr="0003218B" w:rsidTr="004E639A">
        <w:trPr>
          <w:trHeight w:val="475"/>
        </w:trPr>
        <w:tc>
          <w:tcPr>
            <w:tcW w:w="814"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1134" w:type="dxa"/>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382" w:type="dxa"/>
          </w:tcPr>
          <w:p w:rsidR="004E639A" w:rsidRPr="0003218B" w:rsidRDefault="004E639A" w:rsidP="0003218B">
            <w:pPr>
              <w:pStyle w:val="TableParagraph"/>
              <w:spacing w:line="360" w:lineRule="auto"/>
              <w:ind w:left="90"/>
              <w:jc w:val="both"/>
              <w:rPr>
                <w:sz w:val="20"/>
                <w:szCs w:val="20"/>
              </w:rPr>
            </w:pPr>
            <w:r w:rsidRPr="0003218B">
              <w:rPr>
                <w:w w:val="99"/>
                <w:sz w:val="20"/>
                <w:szCs w:val="20"/>
              </w:rPr>
              <w:t>%</w:t>
            </w:r>
          </w:p>
        </w:tc>
        <w:tc>
          <w:tcPr>
            <w:tcW w:w="1004" w:type="dxa"/>
          </w:tcPr>
          <w:p w:rsidR="004E639A" w:rsidRPr="0003218B" w:rsidRDefault="004E639A" w:rsidP="0003218B">
            <w:pPr>
              <w:pStyle w:val="TableParagraph"/>
              <w:spacing w:line="360" w:lineRule="auto"/>
              <w:ind w:left="167" w:right="166"/>
              <w:jc w:val="both"/>
              <w:rPr>
                <w:sz w:val="20"/>
                <w:szCs w:val="20"/>
              </w:rPr>
            </w:pPr>
            <w:r w:rsidRPr="0003218B">
              <w:rPr>
                <w:sz w:val="20"/>
                <w:szCs w:val="20"/>
              </w:rPr>
              <w:t>0.0%</w:t>
            </w:r>
          </w:p>
        </w:tc>
        <w:tc>
          <w:tcPr>
            <w:tcW w:w="827" w:type="dxa"/>
          </w:tcPr>
          <w:p w:rsidR="004E639A" w:rsidRPr="0003218B" w:rsidRDefault="004E639A" w:rsidP="0003218B">
            <w:pPr>
              <w:pStyle w:val="TableParagraph"/>
              <w:spacing w:line="360" w:lineRule="auto"/>
              <w:ind w:left="140" w:right="136"/>
              <w:jc w:val="both"/>
              <w:rPr>
                <w:sz w:val="20"/>
                <w:szCs w:val="20"/>
              </w:rPr>
            </w:pPr>
            <w:r w:rsidRPr="0003218B">
              <w:rPr>
                <w:sz w:val="20"/>
                <w:szCs w:val="20"/>
              </w:rPr>
              <w:t>5.9%</w:t>
            </w:r>
          </w:p>
        </w:tc>
        <w:tc>
          <w:tcPr>
            <w:tcW w:w="1091" w:type="dxa"/>
          </w:tcPr>
          <w:p w:rsidR="004E639A" w:rsidRPr="0003218B" w:rsidRDefault="004E639A" w:rsidP="0003218B">
            <w:pPr>
              <w:pStyle w:val="TableParagraph"/>
              <w:spacing w:line="360" w:lineRule="auto"/>
              <w:ind w:right="227"/>
              <w:jc w:val="both"/>
              <w:rPr>
                <w:sz w:val="20"/>
                <w:szCs w:val="20"/>
              </w:rPr>
            </w:pPr>
            <w:r w:rsidRPr="0003218B">
              <w:rPr>
                <w:sz w:val="20"/>
                <w:szCs w:val="20"/>
              </w:rPr>
              <w:t>26.9%</w:t>
            </w:r>
          </w:p>
        </w:tc>
        <w:tc>
          <w:tcPr>
            <w:tcW w:w="1272" w:type="dxa"/>
          </w:tcPr>
          <w:p w:rsidR="004E639A" w:rsidRPr="0003218B" w:rsidRDefault="004E639A" w:rsidP="0003218B">
            <w:pPr>
              <w:pStyle w:val="TableParagraph"/>
              <w:spacing w:line="360" w:lineRule="auto"/>
              <w:ind w:left="209" w:right="210"/>
              <w:jc w:val="both"/>
              <w:rPr>
                <w:sz w:val="20"/>
                <w:szCs w:val="20"/>
              </w:rPr>
            </w:pPr>
            <w:r w:rsidRPr="0003218B">
              <w:rPr>
                <w:sz w:val="20"/>
                <w:szCs w:val="20"/>
              </w:rPr>
              <w:t>16.7%</w:t>
            </w:r>
          </w:p>
        </w:tc>
        <w:tc>
          <w:tcPr>
            <w:tcW w:w="1005" w:type="dxa"/>
          </w:tcPr>
          <w:p w:rsidR="004E639A" w:rsidRPr="0003218B" w:rsidRDefault="004E639A" w:rsidP="0003218B">
            <w:pPr>
              <w:pStyle w:val="TableParagraph"/>
              <w:spacing w:line="360" w:lineRule="auto"/>
              <w:ind w:left="166" w:right="168"/>
              <w:jc w:val="both"/>
              <w:rPr>
                <w:sz w:val="20"/>
                <w:szCs w:val="20"/>
              </w:rPr>
            </w:pPr>
            <w:r w:rsidRPr="0003218B">
              <w:rPr>
                <w:sz w:val="20"/>
                <w:szCs w:val="20"/>
              </w:rPr>
              <w:t>50.5%</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100.0%</w:t>
            </w:r>
          </w:p>
        </w:tc>
      </w:tr>
      <w:tr w:rsidR="004E639A" w:rsidRPr="0003218B" w:rsidTr="004E639A">
        <w:trPr>
          <w:trHeight w:val="474"/>
        </w:trPr>
        <w:tc>
          <w:tcPr>
            <w:tcW w:w="1948" w:type="dxa"/>
            <w:gridSpan w:val="2"/>
            <w:vMerge w:val="restart"/>
          </w:tcPr>
          <w:p w:rsidR="004E639A" w:rsidRPr="0003218B" w:rsidRDefault="004E639A" w:rsidP="0003218B">
            <w:pPr>
              <w:pStyle w:val="TableParagraph"/>
              <w:spacing w:line="360" w:lineRule="auto"/>
              <w:jc w:val="both"/>
              <w:rPr>
                <w:b/>
                <w:sz w:val="20"/>
                <w:szCs w:val="20"/>
              </w:rPr>
            </w:pPr>
          </w:p>
          <w:p w:rsidR="004E639A" w:rsidRPr="0003218B" w:rsidRDefault="004E639A" w:rsidP="0003218B">
            <w:pPr>
              <w:pStyle w:val="TableParagraph"/>
              <w:spacing w:line="360" w:lineRule="auto"/>
              <w:ind w:left="677" w:right="673"/>
              <w:jc w:val="both"/>
              <w:rPr>
                <w:b/>
                <w:sz w:val="20"/>
                <w:szCs w:val="20"/>
              </w:rPr>
            </w:pPr>
            <w:r w:rsidRPr="0003218B">
              <w:rPr>
                <w:b/>
                <w:sz w:val="20"/>
                <w:szCs w:val="20"/>
              </w:rPr>
              <w:t>Total</w:t>
            </w:r>
          </w:p>
        </w:tc>
        <w:tc>
          <w:tcPr>
            <w:tcW w:w="382" w:type="dxa"/>
          </w:tcPr>
          <w:p w:rsidR="004E639A" w:rsidRPr="0003218B" w:rsidRDefault="004E639A" w:rsidP="0003218B">
            <w:pPr>
              <w:pStyle w:val="TableParagraph"/>
              <w:spacing w:line="360" w:lineRule="auto"/>
              <w:ind w:left="101"/>
              <w:jc w:val="both"/>
              <w:rPr>
                <w:sz w:val="20"/>
                <w:szCs w:val="20"/>
              </w:rPr>
            </w:pPr>
            <w:r w:rsidRPr="0003218B">
              <w:rPr>
                <w:w w:val="99"/>
                <w:sz w:val="20"/>
                <w:szCs w:val="20"/>
              </w:rPr>
              <w:t>N</w:t>
            </w:r>
          </w:p>
        </w:tc>
        <w:tc>
          <w:tcPr>
            <w:tcW w:w="1004" w:type="dxa"/>
          </w:tcPr>
          <w:p w:rsidR="004E639A" w:rsidRPr="0003218B" w:rsidRDefault="004E639A" w:rsidP="0003218B">
            <w:pPr>
              <w:pStyle w:val="TableParagraph"/>
              <w:spacing w:line="360" w:lineRule="auto"/>
              <w:ind w:left="167" w:right="166"/>
              <w:jc w:val="both"/>
              <w:rPr>
                <w:sz w:val="20"/>
                <w:szCs w:val="20"/>
              </w:rPr>
            </w:pPr>
            <w:r w:rsidRPr="0003218B">
              <w:rPr>
                <w:sz w:val="20"/>
                <w:szCs w:val="20"/>
              </w:rPr>
              <w:t>124</w:t>
            </w:r>
          </w:p>
        </w:tc>
        <w:tc>
          <w:tcPr>
            <w:tcW w:w="827" w:type="dxa"/>
          </w:tcPr>
          <w:p w:rsidR="004E639A" w:rsidRPr="0003218B" w:rsidRDefault="004E639A" w:rsidP="0003218B">
            <w:pPr>
              <w:pStyle w:val="TableParagraph"/>
              <w:spacing w:line="360" w:lineRule="auto"/>
              <w:ind w:left="139" w:right="136"/>
              <w:jc w:val="both"/>
              <w:rPr>
                <w:sz w:val="20"/>
                <w:szCs w:val="20"/>
              </w:rPr>
            </w:pPr>
            <w:r w:rsidRPr="0003218B">
              <w:rPr>
                <w:sz w:val="20"/>
                <w:szCs w:val="20"/>
              </w:rPr>
              <w:t>23</w:t>
            </w:r>
          </w:p>
        </w:tc>
        <w:tc>
          <w:tcPr>
            <w:tcW w:w="1091" w:type="dxa"/>
          </w:tcPr>
          <w:p w:rsidR="004E639A" w:rsidRPr="0003218B" w:rsidRDefault="004E639A" w:rsidP="0003218B">
            <w:pPr>
              <w:pStyle w:val="TableParagraph"/>
              <w:spacing w:line="360" w:lineRule="auto"/>
              <w:ind w:left="361"/>
              <w:jc w:val="both"/>
              <w:rPr>
                <w:sz w:val="20"/>
                <w:szCs w:val="20"/>
              </w:rPr>
            </w:pPr>
            <w:r w:rsidRPr="0003218B">
              <w:rPr>
                <w:sz w:val="20"/>
                <w:szCs w:val="20"/>
              </w:rPr>
              <w:t>101</w:t>
            </w:r>
          </w:p>
        </w:tc>
        <w:tc>
          <w:tcPr>
            <w:tcW w:w="1272" w:type="dxa"/>
          </w:tcPr>
          <w:p w:rsidR="004E639A" w:rsidRPr="0003218B" w:rsidRDefault="004E639A" w:rsidP="0003218B">
            <w:pPr>
              <w:pStyle w:val="TableParagraph"/>
              <w:spacing w:line="360" w:lineRule="auto"/>
              <w:ind w:left="209" w:right="211"/>
              <w:jc w:val="both"/>
              <w:rPr>
                <w:sz w:val="20"/>
                <w:szCs w:val="20"/>
              </w:rPr>
            </w:pPr>
            <w:r w:rsidRPr="0003218B">
              <w:rPr>
                <w:sz w:val="20"/>
                <w:szCs w:val="20"/>
              </w:rPr>
              <w:t>186</w:t>
            </w:r>
          </w:p>
        </w:tc>
        <w:tc>
          <w:tcPr>
            <w:tcW w:w="1005" w:type="dxa"/>
          </w:tcPr>
          <w:p w:rsidR="004E639A" w:rsidRPr="0003218B" w:rsidRDefault="004E639A" w:rsidP="0003218B">
            <w:pPr>
              <w:pStyle w:val="TableParagraph"/>
              <w:spacing w:line="360" w:lineRule="auto"/>
              <w:ind w:left="164" w:right="168"/>
              <w:jc w:val="both"/>
              <w:rPr>
                <w:sz w:val="20"/>
                <w:szCs w:val="20"/>
              </w:rPr>
            </w:pPr>
            <w:r w:rsidRPr="0003218B">
              <w:rPr>
                <w:sz w:val="20"/>
                <w:szCs w:val="20"/>
              </w:rPr>
              <w:t>188</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622</w:t>
            </w:r>
          </w:p>
        </w:tc>
      </w:tr>
      <w:tr w:rsidR="004E639A" w:rsidRPr="0003218B" w:rsidTr="004E639A">
        <w:trPr>
          <w:trHeight w:val="472"/>
        </w:trPr>
        <w:tc>
          <w:tcPr>
            <w:tcW w:w="1948" w:type="dxa"/>
            <w:gridSpan w:val="2"/>
            <w:vMerge/>
            <w:tcBorders>
              <w:top w:val="nil"/>
            </w:tcBorders>
          </w:tcPr>
          <w:p w:rsidR="004E639A" w:rsidRPr="0003218B" w:rsidRDefault="004E639A" w:rsidP="0003218B">
            <w:pPr>
              <w:spacing w:after="0" w:line="360" w:lineRule="auto"/>
              <w:jc w:val="both"/>
              <w:rPr>
                <w:rFonts w:ascii="Times New Roman" w:hAnsi="Times New Roman" w:cs="Times New Roman"/>
                <w:sz w:val="20"/>
                <w:szCs w:val="20"/>
              </w:rPr>
            </w:pPr>
          </w:p>
        </w:tc>
        <w:tc>
          <w:tcPr>
            <w:tcW w:w="382" w:type="dxa"/>
          </w:tcPr>
          <w:p w:rsidR="004E639A" w:rsidRPr="0003218B" w:rsidRDefault="004E639A" w:rsidP="0003218B">
            <w:pPr>
              <w:pStyle w:val="TableParagraph"/>
              <w:spacing w:line="360" w:lineRule="auto"/>
              <w:ind w:left="90"/>
              <w:jc w:val="both"/>
              <w:rPr>
                <w:sz w:val="20"/>
                <w:szCs w:val="20"/>
              </w:rPr>
            </w:pPr>
            <w:r w:rsidRPr="0003218B">
              <w:rPr>
                <w:w w:val="99"/>
                <w:sz w:val="20"/>
                <w:szCs w:val="20"/>
              </w:rPr>
              <w:t>%</w:t>
            </w:r>
          </w:p>
        </w:tc>
        <w:tc>
          <w:tcPr>
            <w:tcW w:w="1004" w:type="dxa"/>
          </w:tcPr>
          <w:p w:rsidR="004E639A" w:rsidRPr="0003218B" w:rsidRDefault="004E639A" w:rsidP="0003218B">
            <w:pPr>
              <w:pStyle w:val="TableParagraph"/>
              <w:spacing w:line="360" w:lineRule="auto"/>
              <w:ind w:left="167" w:right="166"/>
              <w:jc w:val="both"/>
              <w:rPr>
                <w:sz w:val="20"/>
                <w:szCs w:val="20"/>
              </w:rPr>
            </w:pPr>
            <w:r w:rsidRPr="0003218B">
              <w:rPr>
                <w:sz w:val="20"/>
                <w:szCs w:val="20"/>
              </w:rPr>
              <w:t>19.9%</w:t>
            </w:r>
          </w:p>
        </w:tc>
        <w:tc>
          <w:tcPr>
            <w:tcW w:w="827" w:type="dxa"/>
          </w:tcPr>
          <w:p w:rsidR="004E639A" w:rsidRPr="0003218B" w:rsidRDefault="004E639A" w:rsidP="0003218B">
            <w:pPr>
              <w:pStyle w:val="TableParagraph"/>
              <w:spacing w:line="360" w:lineRule="auto"/>
              <w:ind w:left="140" w:right="136"/>
              <w:jc w:val="both"/>
              <w:rPr>
                <w:sz w:val="20"/>
                <w:szCs w:val="20"/>
              </w:rPr>
            </w:pPr>
            <w:r w:rsidRPr="0003218B">
              <w:rPr>
                <w:sz w:val="20"/>
                <w:szCs w:val="20"/>
              </w:rPr>
              <w:t>3.7%</w:t>
            </w:r>
          </w:p>
        </w:tc>
        <w:tc>
          <w:tcPr>
            <w:tcW w:w="1091" w:type="dxa"/>
          </w:tcPr>
          <w:p w:rsidR="004E639A" w:rsidRPr="0003218B" w:rsidRDefault="004E639A" w:rsidP="0003218B">
            <w:pPr>
              <w:pStyle w:val="TableParagraph"/>
              <w:spacing w:line="360" w:lineRule="auto"/>
              <w:ind w:right="227"/>
              <w:jc w:val="both"/>
              <w:rPr>
                <w:sz w:val="20"/>
                <w:szCs w:val="20"/>
              </w:rPr>
            </w:pPr>
            <w:r w:rsidRPr="0003218B">
              <w:rPr>
                <w:sz w:val="20"/>
                <w:szCs w:val="20"/>
              </w:rPr>
              <w:t>16.2%</w:t>
            </w:r>
          </w:p>
        </w:tc>
        <w:tc>
          <w:tcPr>
            <w:tcW w:w="1272" w:type="dxa"/>
          </w:tcPr>
          <w:p w:rsidR="004E639A" w:rsidRPr="0003218B" w:rsidRDefault="004E639A" w:rsidP="0003218B">
            <w:pPr>
              <w:pStyle w:val="TableParagraph"/>
              <w:spacing w:line="360" w:lineRule="auto"/>
              <w:ind w:left="209" w:right="210"/>
              <w:jc w:val="both"/>
              <w:rPr>
                <w:sz w:val="20"/>
                <w:szCs w:val="20"/>
              </w:rPr>
            </w:pPr>
            <w:r w:rsidRPr="0003218B">
              <w:rPr>
                <w:sz w:val="20"/>
                <w:szCs w:val="20"/>
              </w:rPr>
              <w:t>29.9%</w:t>
            </w:r>
          </w:p>
        </w:tc>
        <w:tc>
          <w:tcPr>
            <w:tcW w:w="1005" w:type="dxa"/>
          </w:tcPr>
          <w:p w:rsidR="004E639A" w:rsidRPr="0003218B" w:rsidRDefault="004E639A" w:rsidP="0003218B">
            <w:pPr>
              <w:pStyle w:val="TableParagraph"/>
              <w:spacing w:line="360" w:lineRule="auto"/>
              <w:ind w:left="166" w:right="168"/>
              <w:jc w:val="both"/>
              <w:rPr>
                <w:sz w:val="20"/>
                <w:szCs w:val="20"/>
              </w:rPr>
            </w:pPr>
            <w:r w:rsidRPr="0003218B">
              <w:rPr>
                <w:sz w:val="20"/>
                <w:szCs w:val="20"/>
              </w:rPr>
              <w:t>30.2%</w:t>
            </w:r>
          </w:p>
        </w:tc>
        <w:tc>
          <w:tcPr>
            <w:tcW w:w="1181" w:type="dxa"/>
          </w:tcPr>
          <w:p w:rsidR="004E639A" w:rsidRPr="0003218B" w:rsidRDefault="004E639A" w:rsidP="0003218B">
            <w:pPr>
              <w:pStyle w:val="TableParagraph"/>
              <w:spacing w:line="360" w:lineRule="auto"/>
              <w:ind w:left="191" w:right="200"/>
              <w:jc w:val="both"/>
              <w:rPr>
                <w:sz w:val="20"/>
                <w:szCs w:val="20"/>
              </w:rPr>
            </w:pPr>
            <w:r w:rsidRPr="0003218B">
              <w:rPr>
                <w:sz w:val="20"/>
                <w:szCs w:val="20"/>
              </w:rPr>
              <w:t>100.0%</w:t>
            </w:r>
          </w:p>
        </w:tc>
      </w:tr>
    </w:tbl>
    <w:p w:rsidR="004E639A" w:rsidRPr="0003218B" w:rsidRDefault="004E639A" w:rsidP="0003218B">
      <w:pPr>
        <w:pStyle w:val="BodyText"/>
        <w:spacing w:line="360" w:lineRule="auto"/>
        <w:jc w:val="both"/>
        <w:rPr>
          <w:b/>
          <w:sz w:val="20"/>
          <w:szCs w:val="20"/>
        </w:rPr>
      </w:pPr>
    </w:p>
    <w:p w:rsidR="004E639A" w:rsidRPr="0003218B" w:rsidRDefault="004E639A" w:rsidP="0003218B">
      <w:pPr>
        <w:pStyle w:val="BodyText"/>
        <w:spacing w:line="360" w:lineRule="auto"/>
        <w:ind w:left="580"/>
        <w:jc w:val="both"/>
        <w:rPr>
          <w:sz w:val="20"/>
          <w:szCs w:val="20"/>
        </w:rPr>
      </w:pPr>
      <w:r w:rsidRPr="0003218B">
        <w:rPr>
          <w:sz w:val="20"/>
          <w:szCs w:val="20"/>
        </w:rPr>
        <w:t>P value=0.001 (S)</w:t>
      </w:r>
    </w:p>
    <w:p w:rsidR="004E639A" w:rsidRPr="0003218B" w:rsidRDefault="004E639A" w:rsidP="0003218B">
      <w:pPr>
        <w:pStyle w:val="BodyText"/>
        <w:spacing w:line="360" w:lineRule="auto"/>
        <w:ind w:right="774"/>
        <w:jc w:val="both"/>
        <w:rPr>
          <w:sz w:val="20"/>
          <w:szCs w:val="20"/>
        </w:rPr>
      </w:pPr>
      <w:r w:rsidRPr="0003218B">
        <w:rPr>
          <w:sz w:val="20"/>
          <w:szCs w:val="20"/>
        </w:rPr>
        <w:t>In this study hypertensive patients with calcium score between 11-100 were100 (26.9%) and with calcium score &gt; 400 were 188 (50.5%).</w:t>
      </w:r>
    </w:p>
    <w:p w:rsidR="004E639A" w:rsidRPr="0003218B" w:rsidRDefault="004E639A" w:rsidP="0003218B">
      <w:pPr>
        <w:pStyle w:val="BodyText"/>
        <w:spacing w:line="360" w:lineRule="auto"/>
        <w:jc w:val="both"/>
        <w:rPr>
          <w:sz w:val="20"/>
          <w:szCs w:val="20"/>
        </w:rPr>
      </w:pPr>
      <w:r w:rsidRPr="0003218B">
        <w:rPr>
          <w:sz w:val="20"/>
          <w:szCs w:val="20"/>
        </w:rPr>
        <w:t>Comparison of HT and calcium score showed statistically significant results.</w:t>
      </w:r>
    </w:p>
    <w:p w:rsidR="004E639A" w:rsidRPr="0003218B" w:rsidRDefault="004E639A" w:rsidP="0003218B">
      <w:pPr>
        <w:pStyle w:val="BodyText"/>
        <w:spacing w:line="360" w:lineRule="auto"/>
        <w:jc w:val="both"/>
        <w:rPr>
          <w:b/>
          <w:sz w:val="20"/>
          <w:szCs w:val="20"/>
        </w:rPr>
      </w:pPr>
      <w:r w:rsidRPr="0003218B">
        <w:rPr>
          <w:b/>
          <w:sz w:val="20"/>
          <w:szCs w:val="20"/>
        </w:rPr>
        <w:t>Discussion:</w:t>
      </w:r>
    </w:p>
    <w:p w:rsidR="0003218B" w:rsidRDefault="004E639A" w:rsidP="0003218B">
      <w:pPr>
        <w:pStyle w:val="BodyText"/>
        <w:spacing w:line="360" w:lineRule="auto"/>
        <w:jc w:val="both"/>
        <w:rPr>
          <w:sz w:val="20"/>
          <w:szCs w:val="20"/>
          <w:vertAlign w:val="superscript"/>
        </w:rPr>
      </w:pPr>
      <w:r w:rsidRPr="0003218B">
        <w:rPr>
          <w:sz w:val="20"/>
          <w:szCs w:val="20"/>
        </w:rPr>
        <w:t>Cardiovascular diseases represent the first cause of death in the industrialized western world and in the near future, it will probably be the first all over the world.</w:t>
      </w:r>
      <w:r w:rsidR="00F13977" w:rsidRPr="0003218B">
        <w:rPr>
          <w:sz w:val="20"/>
          <w:szCs w:val="20"/>
          <w:vertAlign w:val="superscript"/>
        </w:rPr>
        <w:t>8,9</w:t>
      </w:r>
      <w:r w:rsidRPr="0003218B">
        <w:rPr>
          <w:sz w:val="20"/>
          <w:szCs w:val="20"/>
        </w:rPr>
        <w:t xml:space="preserve"> In spite of this knowledge an notwithstanding the progress recently made in treating patients with acute cardiovascular diseases, no similar progress has been reached in secondary prevention.</w:t>
      </w:r>
      <w:r w:rsidR="00F13977" w:rsidRPr="0003218B">
        <w:rPr>
          <w:sz w:val="20"/>
          <w:szCs w:val="20"/>
          <w:vertAlign w:val="superscript"/>
        </w:rPr>
        <w:t>10</w:t>
      </w:r>
      <w:r w:rsidR="0003218B">
        <w:rPr>
          <w:sz w:val="20"/>
          <w:szCs w:val="20"/>
          <w:vertAlign w:val="superscript"/>
        </w:rPr>
        <w:t xml:space="preserve"> </w:t>
      </w:r>
      <w:r w:rsidRPr="0003218B">
        <w:rPr>
          <w:sz w:val="20"/>
          <w:szCs w:val="20"/>
        </w:rPr>
        <w:t>Our results showed that Calcium Score value and Carotid Intima Media Thickness had a significant association with diabetes, hypertension, smoker and hypercholesterolemia in the present study.</w:t>
      </w:r>
    </w:p>
    <w:p w:rsidR="0003218B" w:rsidRPr="0003218B" w:rsidRDefault="0003218B" w:rsidP="0003218B">
      <w:pPr>
        <w:pStyle w:val="BodyText"/>
        <w:spacing w:line="360" w:lineRule="auto"/>
        <w:jc w:val="both"/>
        <w:rPr>
          <w:sz w:val="20"/>
          <w:szCs w:val="20"/>
        </w:rPr>
      </w:pPr>
      <w:r>
        <w:rPr>
          <w:sz w:val="20"/>
          <w:szCs w:val="20"/>
          <w:vertAlign w:val="superscript"/>
        </w:rPr>
        <w:t xml:space="preserve">                   </w:t>
      </w:r>
      <w:r w:rsidR="004E639A" w:rsidRPr="0003218B">
        <w:rPr>
          <w:sz w:val="20"/>
          <w:szCs w:val="20"/>
        </w:rPr>
        <w:t>Carotid atherosclerosis is assessed by ultrasonic determined IMT for predicting CVD, in particular cerebrovascular disease.</w:t>
      </w:r>
      <w:r w:rsidR="00F13977" w:rsidRPr="0003218B">
        <w:rPr>
          <w:sz w:val="20"/>
          <w:szCs w:val="20"/>
          <w:vertAlign w:val="superscript"/>
        </w:rPr>
        <w:t>11</w:t>
      </w:r>
      <w:r w:rsidR="004E639A" w:rsidRPr="0003218B">
        <w:rPr>
          <w:sz w:val="20"/>
          <w:szCs w:val="20"/>
        </w:rPr>
        <w:t xml:space="preserve"> </w:t>
      </w:r>
      <w:proofErr w:type="gramStart"/>
      <w:r w:rsidR="004E639A" w:rsidRPr="0003218B">
        <w:rPr>
          <w:sz w:val="20"/>
          <w:szCs w:val="20"/>
        </w:rPr>
        <w:t>Although</w:t>
      </w:r>
      <w:proofErr w:type="gramEnd"/>
      <w:r w:rsidR="004E639A" w:rsidRPr="0003218B">
        <w:rPr>
          <w:sz w:val="20"/>
          <w:szCs w:val="20"/>
        </w:rPr>
        <w:t xml:space="preserve"> assessment of carotid atherosclerosis in the internal carotid artery improves prediction of CVD better than IMT in the common carotid artery, several studies do not include evaluation of IMT in the internal carotid artery due to poor accessibility when using ultrasound. Moreover, scan protocols may vary in terms of visualized segments, scan angles used, definition of carotid plaque, and definitions of cut points for abnormal IMT, and a substantial observer variability has been found.</w:t>
      </w:r>
      <w:r w:rsidR="00F13977" w:rsidRPr="0003218B">
        <w:rPr>
          <w:sz w:val="20"/>
          <w:szCs w:val="20"/>
          <w:vertAlign w:val="superscript"/>
        </w:rPr>
        <w:t>12</w:t>
      </w:r>
      <w:r w:rsidR="004E639A" w:rsidRPr="0003218B">
        <w:rPr>
          <w:sz w:val="20"/>
          <w:szCs w:val="20"/>
        </w:rPr>
        <w:t xml:space="preserve"> Previously, it has been demonstrated that ultrasound is highly accurate in detecting the presence of large calcified plaques.</w:t>
      </w:r>
      <w:r w:rsidR="00F13977" w:rsidRPr="0003218B">
        <w:rPr>
          <w:sz w:val="20"/>
          <w:szCs w:val="20"/>
          <w:vertAlign w:val="superscript"/>
        </w:rPr>
        <w:t>13</w:t>
      </w:r>
      <w:r w:rsidR="004E639A" w:rsidRPr="0003218B">
        <w:rPr>
          <w:sz w:val="20"/>
          <w:szCs w:val="20"/>
        </w:rPr>
        <w:t xml:space="preserve"> </w:t>
      </w:r>
      <w:r w:rsidR="004E639A" w:rsidRPr="0003218B">
        <w:rPr>
          <w:spacing w:val="-3"/>
          <w:sz w:val="20"/>
          <w:szCs w:val="20"/>
        </w:rPr>
        <w:t xml:space="preserve">In </w:t>
      </w:r>
      <w:r w:rsidR="004E639A" w:rsidRPr="0003218B">
        <w:rPr>
          <w:sz w:val="20"/>
          <w:szCs w:val="20"/>
        </w:rPr>
        <w:t>this relation, the non-calcified part of plaques has been associated with carotid ulcerations in vulnerable plaques,</w:t>
      </w:r>
      <w:r w:rsidR="004E639A" w:rsidRPr="0003218B">
        <w:rPr>
          <w:sz w:val="20"/>
          <w:szCs w:val="20"/>
          <w:vertAlign w:val="superscript"/>
        </w:rPr>
        <w:t>71</w:t>
      </w:r>
      <w:r w:rsidR="004E639A" w:rsidRPr="0003218B">
        <w:rPr>
          <w:sz w:val="20"/>
          <w:szCs w:val="20"/>
        </w:rPr>
        <w:t xml:space="preserve"> while multiple calcifications have been associated with intra-plaque hemorrhage. Moreover, studies have documented a discrepancy and a poor correlation between carotid ultrasound features and CTA regarding plaque ulcerations and stenosis grading in symptomatic</w:t>
      </w:r>
      <w:r w:rsidR="004E639A" w:rsidRPr="0003218B">
        <w:rPr>
          <w:spacing w:val="-2"/>
          <w:sz w:val="20"/>
          <w:szCs w:val="20"/>
        </w:rPr>
        <w:t xml:space="preserve"> </w:t>
      </w:r>
      <w:r w:rsidRPr="0003218B">
        <w:rPr>
          <w:sz w:val="20"/>
          <w:szCs w:val="20"/>
        </w:rPr>
        <w:t>patients.</w:t>
      </w:r>
    </w:p>
    <w:p w:rsidR="0003218B" w:rsidRDefault="0003218B" w:rsidP="0003218B">
      <w:pPr>
        <w:pStyle w:val="BodyText"/>
        <w:spacing w:line="360" w:lineRule="auto"/>
        <w:jc w:val="both"/>
        <w:rPr>
          <w:sz w:val="20"/>
          <w:szCs w:val="20"/>
        </w:rPr>
      </w:pPr>
      <w:r w:rsidRPr="0003218B">
        <w:rPr>
          <w:sz w:val="20"/>
          <w:szCs w:val="20"/>
        </w:rPr>
        <w:t xml:space="preserve">            </w:t>
      </w:r>
      <w:r w:rsidR="004E639A" w:rsidRPr="0003218B">
        <w:rPr>
          <w:sz w:val="20"/>
          <w:szCs w:val="20"/>
        </w:rPr>
        <w:t xml:space="preserve">   In the present study, IMT showed positive correlation with CS. Similar results by El-</w:t>
      </w:r>
      <w:proofErr w:type="spellStart"/>
      <w:r w:rsidR="004E639A" w:rsidRPr="0003218B">
        <w:rPr>
          <w:sz w:val="20"/>
          <w:szCs w:val="20"/>
        </w:rPr>
        <w:t>Behery</w:t>
      </w:r>
      <w:proofErr w:type="spellEnd"/>
      <w:r w:rsidR="004E639A" w:rsidRPr="0003218B">
        <w:rPr>
          <w:sz w:val="20"/>
          <w:szCs w:val="20"/>
        </w:rPr>
        <w:t xml:space="preserve"> AA (2019)</w:t>
      </w:r>
      <w:r w:rsidR="00F13977" w:rsidRPr="0003218B">
        <w:rPr>
          <w:sz w:val="20"/>
          <w:szCs w:val="20"/>
          <w:vertAlign w:val="superscript"/>
        </w:rPr>
        <w:t>1</w:t>
      </w:r>
      <w:r w:rsidR="004E639A" w:rsidRPr="0003218B">
        <w:rPr>
          <w:sz w:val="20"/>
          <w:szCs w:val="20"/>
          <w:vertAlign w:val="superscript"/>
        </w:rPr>
        <w:t>4</w:t>
      </w:r>
      <w:r w:rsidR="004E639A" w:rsidRPr="0003218B">
        <w:rPr>
          <w:sz w:val="20"/>
          <w:szCs w:val="20"/>
        </w:rPr>
        <w:t xml:space="preserve"> et al. </w:t>
      </w:r>
      <w:proofErr w:type="spellStart"/>
      <w:r w:rsidR="004E639A" w:rsidRPr="0003218B">
        <w:rPr>
          <w:sz w:val="20"/>
          <w:szCs w:val="20"/>
        </w:rPr>
        <w:t>Jeevarethi-nam</w:t>
      </w:r>
      <w:proofErr w:type="spellEnd"/>
      <w:r w:rsidR="004E639A" w:rsidRPr="0003218B">
        <w:rPr>
          <w:sz w:val="20"/>
          <w:szCs w:val="20"/>
        </w:rPr>
        <w:t xml:space="preserve"> et al, 2017 and </w:t>
      </w:r>
      <w:proofErr w:type="spellStart"/>
      <w:r w:rsidR="004E639A" w:rsidRPr="0003218B">
        <w:rPr>
          <w:sz w:val="20"/>
          <w:szCs w:val="20"/>
        </w:rPr>
        <w:t>Guaricci</w:t>
      </w:r>
      <w:proofErr w:type="spellEnd"/>
      <w:r w:rsidR="004E639A" w:rsidRPr="0003218B">
        <w:rPr>
          <w:sz w:val="20"/>
          <w:szCs w:val="20"/>
        </w:rPr>
        <w:t xml:space="preserve"> et al., 2014 also reported a significant correlation was found between IMT and pre</w:t>
      </w:r>
      <w:r w:rsidR="00F13977" w:rsidRPr="0003218B">
        <w:rPr>
          <w:sz w:val="20"/>
          <w:szCs w:val="20"/>
        </w:rPr>
        <w:t>sence of coronary calcification</w:t>
      </w:r>
      <w:r w:rsidR="004E639A" w:rsidRPr="0003218B">
        <w:rPr>
          <w:sz w:val="20"/>
          <w:szCs w:val="20"/>
        </w:rPr>
        <w:t xml:space="preserve"> Chu Z (2019)</w:t>
      </w:r>
      <w:r w:rsidR="00F13977" w:rsidRPr="0003218B">
        <w:rPr>
          <w:sz w:val="20"/>
          <w:szCs w:val="20"/>
          <w:vertAlign w:val="superscript"/>
        </w:rPr>
        <w:t>15</w:t>
      </w:r>
      <w:r w:rsidR="004E639A" w:rsidRPr="0003218B">
        <w:rPr>
          <w:sz w:val="20"/>
          <w:szCs w:val="20"/>
        </w:rPr>
        <w:t xml:space="preserve"> et al showed that CS values were significantly positively correlated with the morphological indicators of carotid plaque burden (wall area, total </w:t>
      </w:r>
      <w:r w:rsidR="004E639A" w:rsidRPr="0003218B">
        <w:rPr>
          <w:sz w:val="20"/>
          <w:szCs w:val="20"/>
        </w:rPr>
        <w:lastRenderedPageBreak/>
        <w:t>area of blood vessels and plaque burden), and that CS values were highly predictive of lipid-rich necrotic nucleus, a histological indicator of plaque stability. This suggests that CS value may be associated with total plaque burden and stability. Studies have shown that the degree of carotid calcification is related to the downstream</w:t>
      </w:r>
      <w:r>
        <w:rPr>
          <w:sz w:val="20"/>
          <w:szCs w:val="20"/>
        </w:rPr>
        <w:t xml:space="preserve"> </w:t>
      </w:r>
      <w:proofErr w:type="spellStart"/>
      <w:r>
        <w:rPr>
          <w:sz w:val="20"/>
          <w:szCs w:val="20"/>
        </w:rPr>
        <w:t>microemboli</w:t>
      </w:r>
      <w:proofErr w:type="spellEnd"/>
      <w:r>
        <w:rPr>
          <w:sz w:val="20"/>
          <w:szCs w:val="20"/>
        </w:rPr>
        <w:t xml:space="preserve"> in stroke patients.</w:t>
      </w:r>
    </w:p>
    <w:p w:rsidR="004E639A" w:rsidRPr="0003218B" w:rsidRDefault="0003218B" w:rsidP="0003218B">
      <w:pPr>
        <w:pStyle w:val="BodyText"/>
        <w:spacing w:line="360" w:lineRule="auto"/>
        <w:jc w:val="both"/>
        <w:rPr>
          <w:sz w:val="20"/>
          <w:szCs w:val="20"/>
          <w:vertAlign w:val="superscript"/>
        </w:rPr>
      </w:pPr>
      <w:r>
        <w:rPr>
          <w:sz w:val="20"/>
          <w:szCs w:val="20"/>
        </w:rPr>
        <w:t xml:space="preserve">          </w:t>
      </w:r>
      <w:r w:rsidR="004E639A" w:rsidRPr="0003218B">
        <w:rPr>
          <w:sz w:val="20"/>
          <w:szCs w:val="20"/>
        </w:rPr>
        <w:t xml:space="preserve">  The relationship that we found between carotid IMT and Calcium score on CT supports the concept that atherosclerosis is a systemic process. However, modest correlations indicate that atherosclerosis may have a heterogeneous distribution. This relationship may be affected by risk factor profile. </w:t>
      </w:r>
    </w:p>
    <w:p w:rsidR="004E639A" w:rsidRPr="0003218B" w:rsidRDefault="004E639A" w:rsidP="0003218B">
      <w:pPr>
        <w:pStyle w:val="BodyText"/>
        <w:spacing w:line="360" w:lineRule="auto"/>
        <w:ind w:right="-113"/>
        <w:jc w:val="both"/>
        <w:rPr>
          <w:b/>
          <w:sz w:val="20"/>
          <w:szCs w:val="20"/>
        </w:rPr>
      </w:pPr>
      <w:r w:rsidRPr="0003218B">
        <w:rPr>
          <w:b/>
          <w:sz w:val="20"/>
          <w:szCs w:val="20"/>
        </w:rPr>
        <w:t xml:space="preserve">Conclusion: </w:t>
      </w:r>
    </w:p>
    <w:p w:rsidR="004E639A" w:rsidRPr="0003218B" w:rsidRDefault="004E639A" w:rsidP="0003218B">
      <w:pPr>
        <w:pStyle w:val="BodyText"/>
        <w:spacing w:line="360" w:lineRule="auto"/>
        <w:ind w:right="-113"/>
        <w:jc w:val="both"/>
        <w:rPr>
          <w:sz w:val="20"/>
          <w:szCs w:val="20"/>
        </w:rPr>
      </w:pPr>
      <w:r w:rsidRPr="0003218B">
        <w:rPr>
          <w:sz w:val="20"/>
          <w:szCs w:val="20"/>
        </w:rPr>
        <w:t>Our study assessed subclinical atherosclerosis as defined by CIMT and CACs to develop simple, non-invasive yet sensitive risk-prediction tools to promptly identify those individuals at risk of CVD as valuable clinical strategy that can be more widely implemented in everyday primary care practice.</w:t>
      </w:r>
    </w:p>
    <w:p w:rsidR="00F13977" w:rsidRPr="0003218B" w:rsidRDefault="00F13977" w:rsidP="0003218B">
      <w:pPr>
        <w:pStyle w:val="BodyText"/>
        <w:spacing w:line="360" w:lineRule="auto"/>
        <w:ind w:right="633"/>
        <w:jc w:val="both"/>
        <w:rPr>
          <w:sz w:val="20"/>
          <w:szCs w:val="20"/>
        </w:rPr>
      </w:pPr>
    </w:p>
    <w:p w:rsidR="00F13977" w:rsidRPr="0003218B" w:rsidRDefault="00F13977" w:rsidP="0003218B">
      <w:pPr>
        <w:pStyle w:val="BodyText"/>
        <w:spacing w:line="360" w:lineRule="auto"/>
        <w:ind w:right="633"/>
        <w:jc w:val="both"/>
        <w:rPr>
          <w:b/>
          <w:sz w:val="20"/>
          <w:szCs w:val="20"/>
        </w:rPr>
      </w:pPr>
      <w:r w:rsidRPr="0003218B">
        <w:rPr>
          <w:b/>
          <w:sz w:val="20"/>
          <w:szCs w:val="20"/>
        </w:rPr>
        <w:t xml:space="preserve">References: </w:t>
      </w:r>
    </w:p>
    <w:p w:rsidR="00F13977" w:rsidRPr="0003218B" w:rsidRDefault="00F13977" w:rsidP="0003218B">
      <w:pPr>
        <w:pStyle w:val="ListParagraph"/>
        <w:numPr>
          <w:ilvl w:val="0"/>
          <w:numId w:val="3"/>
        </w:numPr>
        <w:tabs>
          <w:tab w:val="left" w:pos="1121"/>
        </w:tabs>
        <w:spacing w:line="360" w:lineRule="auto"/>
        <w:ind w:right="634"/>
        <w:jc w:val="both"/>
        <w:rPr>
          <w:sz w:val="18"/>
          <w:szCs w:val="18"/>
        </w:rPr>
      </w:pPr>
      <w:proofErr w:type="spellStart"/>
      <w:r w:rsidRPr="0003218B">
        <w:rPr>
          <w:sz w:val="18"/>
          <w:szCs w:val="18"/>
        </w:rPr>
        <w:t>Sitzer</w:t>
      </w:r>
      <w:proofErr w:type="spellEnd"/>
      <w:r w:rsidRPr="0003218B">
        <w:rPr>
          <w:sz w:val="18"/>
          <w:szCs w:val="18"/>
        </w:rPr>
        <w:t xml:space="preserve"> M, Müller W, </w:t>
      </w:r>
      <w:proofErr w:type="spellStart"/>
      <w:r w:rsidRPr="0003218B">
        <w:rPr>
          <w:sz w:val="18"/>
          <w:szCs w:val="18"/>
        </w:rPr>
        <w:t>Siebler</w:t>
      </w:r>
      <w:proofErr w:type="spellEnd"/>
      <w:r w:rsidRPr="0003218B">
        <w:rPr>
          <w:sz w:val="18"/>
          <w:szCs w:val="18"/>
        </w:rPr>
        <w:t xml:space="preserve"> M, </w:t>
      </w:r>
      <w:proofErr w:type="spellStart"/>
      <w:r w:rsidRPr="0003218B">
        <w:rPr>
          <w:sz w:val="18"/>
          <w:szCs w:val="18"/>
        </w:rPr>
        <w:t>Hort</w:t>
      </w:r>
      <w:proofErr w:type="spellEnd"/>
      <w:r w:rsidRPr="0003218B">
        <w:rPr>
          <w:sz w:val="18"/>
          <w:szCs w:val="18"/>
        </w:rPr>
        <w:t xml:space="preserve"> W, </w:t>
      </w:r>
      <w:proofErr w:type="spellStart"/>
      <w:r w:rsidRPr="0003218B">
        <w:rPr>
          <w:sz w:val="18"/>
          <w:szCs w:val="18"/>
        </w:rPr>
        <w:t>Kniemeyer</w:t>
      </w:r>
      <w:proofErr w:type="spellEnd"/>
      <w:r w:rsidRPr="0003218B">
        <w:rPr>
          <w:sz w:val="18"/>
          <w:szCs w:val="18"/>
        </w:rPr>
        <w:t xml:space="preserve"> HW, </w:t>
      </w:r>
      <w:proofErr w:type="spellStart"/>
      <w:r w:rsidRPr="0003218B">
        <w:rPr>
          <w:sz w:val="18"/>
          <w:szCs w:val="18"/>
        </w:rPr>
        <w:t>Jäncke</w:t>
      </w:r>
      <w:proofErr w:type="spellEnd"/>
      <w:r w:rsidRPr="0003218B">
        <w:rPr>
          <w:sz w:val="18"/>
          <w:szCs w:val="18"/>
        </w:rPr>
        <w:t xml:space="preserve"> </w:t>
      </w:r>
      <w:r w:rsidRPr="0003218B">
        <w:rPr>
          <w:spacing w:val="-3"/>
          <w:sz w:val="18"/>
          <w:szCs w:val="18"/>
        </w:rPr>
        <w:t xml:space="preserve">L, </w:t>
      </w:r>
      <w:r w:rsidRPr="0003218B">
        <w:rPr>
          <w:sz w:val="18"/>
          <w:szCs w:val="18"/>
        </w:rPr>
        <w:t>et al. Plaque ulceration and lumen thrombus are the main sources of cerebral micro-emboli in high‑grade internal carotid artery stenosis. Stroke</w:t>
      </w:r>
      <w:r w:rsidRPr="0003218B">
        <w:rPr>
          <w:spacing w:val="-7"/>
          <w:sz w:val="18"/>
          <w:szCs w:val="18"/>
        </w:rPr>
        <w:t xml:space="preserve"> </w:t>
      </w:r>
      <w:r w:rsidRPr="0003218B">
        <w:rPr>
          <w:sz w:val="18"/>
          <w:szCs w:val="18"/>
        </w:rPr>
        <w:t>1995;26:1231‑3</w:t>
      </w:r>
    </w:p>
    <w:p w:rsidR="00F13977" w:rsidRPr="0003218B" w:rsidRDefault="00F13977" w:rsidP="0003218B">
      <w:pPr>
        <w:pStyle w:val="ListParagraph"/>
        <w:numPr>
          <w:ilvl w:val="0"/>
          <w:numId w:val="3"/>
        </w:numPr>
        <w:tabs>
          <w:tab w:val="left" w:pos="1121"/>
        </w:tabs>
        <w:spacing w:line="360" w:lineRule="auto"/>
        <w:ind w:right="641"/>
        <w:jc w:val="both"/>
        <w:rPr>
          <w:sz w:val="18"/>
          <w:szCs w:val="18"/>
        </w:rPr>
      </w:pPr>
      <w:proofErr w:type="spellStart"/>
      <w:r w:rsidRPr="0003218B">
        <w:rPr>
          <w:sz w:val="18"/>
          <w:szCs w:val="18"/>
        </w:rPr>
        <w:t>Cademartiri</w:t>
      </w:r>
      <w:proofErr w:type="spellEnd"/>
      <w:r w:rsidRPr="0003218B">
        <w:rPr>
          <w:sz w:val="18"/>
          <w:szCs w:val="18"/>
        </w:rPr>
        <w:t xml:space="preserve"> F, </w:t>
      </w:r>
      <w:proofErr w:type="spellStart"/>
      <w:r w:rsidRPr="0003218B">
        <w:rPr>
          <w:sz w:val="18"/>
          <w:szCs w:val="18"/>
        </w:rPr>
        <w:t>Balestrieri</w:t>
      </w:r>
      <w:proofErr w:type="spellEnd"/>
      <w:r w:rsidRPr="0003218B">
        <w:rPr>
          <w:sz w:val="18"/>
          <w:szCs w:val="18"/>
        </w:rPr>
        <w:t xml:space="preserve"> A, </w:t>
      </w:r>
      <w:proofErr w:type="spellStart"/>
      <w:r w:rsidRPr="0003218B">
        <w:rPr>
          <w:sz w:val="18"/>
          <w:szCs w:val="18"/>
        </w:rPr>
        <w:t>Cau</w:t>
      </w:r>
      <w:proofErr w:type="spellEnd"/>
      <w:r w:rsidRPr="0003218B">
        <w:rPr>
          <w:sz w:val="18"/>
          <w:szCs w:val="18"/>
        </w:rPr>
        <w:t xml:space="preserve"> R, </w:t>
      </w:r>
      <w:proofErr w:type="spellStart"/>
      <w:r w:rsidRPr="0003218B">
        <w:rPr>
          <w:sz w:val="18"/>
          <w:szCs w:val="18"/>
        </w:rPr>
        <w:t>Punzo</w:t>
      </w:r>
      <w:proofErr w:type="spellEnd"/>
      <w:r w:rsidRPr="0003218B">
        <w:rPr>
          <w:sz w:val="18"/>
          <w:szCs w:val="18"/>
        </w:rPr>
        <w:t xml:space="preserve"> B, </w:t>
      </w:r>
      <w:proofErr w:type="spellStart"/>
      <w:r w:rsidRPr="0003218B">
        <w:rPr>
          <w:sz w:val="18"/>
          <w:szCs w:val="18"/>
        </w:rPr>
        <w:t>Cavaliere</w:t>
      </w:r>
      <w:proofErr w:type="spellEnd"/>
      <w:r w:rsidRPr="0003218B">
        <w:rPr>
          <w:sz w:val="18"/>
          <w:szCs w:val="18"/>
        </w:rPr>
        <w:t xml:space="preserve"> C, </w:t>
      </w:r>
      <w:proofErr w:type="spellStart"/>
      <w:r w:rsidRPr="0003218B">
        <w:rPr>
          <w:sz w:val="18"/>
          <w:szCs w:val="18"/>
        </w:rPr>
        <w:t>Maffei</w:t>
      </w:r>
      <w:proofErr w:type="spellEnd"/>
      <w:r w:rsidRPr="0003218B">
        <w:rPr>
          <w:sz w:val="18"/>
          <w:szCs w:val="18"/>
        </w:rPr>
        <w:t xml:space="preserve"> E, Saba </w:t>
      </w:r>
      <w:r w:rsidRPr="0003218B">
        <w:rPr>
          <w:spacing w:val="-3"/>
          <w:sz w:val="18"/>
          <w:szCs w:val="18"/>
        </w:rPr>
        <w:t xml:space="preserve">L. </w:t>
      </w:r>
      <w:r w:rsidRPr="0003218B">
        <w:rPr>
          <w:sz w:val="18"/>
          <w:szCs w:val="18"/>
        </w:rPr>
        <w:t xml:space="preserve">Insight from imaging on plaque vulnerability: similarities and differences between coronary and carotid arteries—implications for systemic therapies. </w:t>
      </w:r>
      <w:proofErr w:type="spellStart"/>
      <w:r w:rsidRPr="0003218B">
        <w:rPr>
          <w:sz w:val="18"/>
          <w:szCs w:val="18"/>
        </w:rPr>
        <w:t>Cardiovasc</w:t>
      </w:r>
      <w:proofErr w:type="spellEnd"/>
      <w:r w:rsidRPr="0003218B">
        <w:rPr>
          <w:sz w:val="18"/>
          <w:szCs w:val="18"/>
        </w:rPr>
        <w:t xml:space="preserve"> </w:t>
      </w:r>
      <w:proofErr w:type="spellStart"/>
      <w:r w:rsidRPr="0003218B">
        <w:rPr>
          <w:sz w:val="18"/>
          <w:szCs w:val="18"/>
        </w:rPr>
        <w:t>Diagn</w:t>
      </w:r>
      <w:proofErr w:type="spellEnd"/>
      <w:r w:rsidRPr="0003218B">
        <w:rPr>
          <w:sz w:val="18"/>
          <w:szCs w:val="18"/>
        </w:rPr>
        <w:t xml:space="preserve"> </w:t>
      </w:r>
      <w:proofErr w:type="spellStart"/>
      <w:r w:rsidRPr="0003218B">
        <w:rPr>
          <w:sz w:val="18"/>
          <w:szCs w:val="18"/>
        </w:rPr>
        <w:t>Ther</w:t>
      </w:r>
      <w:proofErr w:type="spellEnd"/>
      <w:r w:rsidRPr="0003218B">
        <w:rPr>
          <w:spacing w:val="-1"/>
          <w:sz w:val="18"/>
          <w:szCs w:val="18"/>
        </w:rPr>
        <w:t xml:space="preserve"> </w:t>
      </w:r>
      <w:r w:rsidRPr="0003218B">
        <w:rPr>
          <w:sz w:val="18"/>
          <w:szCs w:val="18"/>
        </w:rPr>
        <w:t>2020</w:t>
      </w:r>
      <w:proofErr w:type="gramStart"/>
      <w:r w:rsidRPr="0003218B">
        <w:rPr>
          <w:sz w:val="18"/>
          <w:szCs w:val="18"/>
        </w:rPr>
        <w:t>;10</w:t>
      </w:r>
      <w:proofErr w:type="gramEnd"/>
      <w:r w:rsidRPr="0003218B">
        <w:rPr>
          <w:sz w:val="18"/>
          <w:szCs w:val="18"/>
        </w:rPr>
        <w:t>(4):1150-1162.</w:t>
      </w:r>
    </w:p>
    <w:p w:rsidR="00F13977" w:rsidRPr="0003218B" w:rsidRDefault="00F13977" w:rsidP="0003218B">
      <w:pPr>
        <w:pStyle w:val="ListParagraph"/>
        <w:numPr>
          <w:ilvl w:val="0"/>
          <w:numId w:val="3"/>
        </w:numPr>
        <w:tabs>
          <w:tab w:val="left" w:pos="1121"/>
        </w:tabs>
        <w:spacing w:line="360" w:lineRule="auto"/>
        <w:ind w:right="639"/>
        <w:jc w:val="both"/>
        <w:rPr>
          <w:sz w:val="18"/>
          <w:szCs w:val="18"/>
        </w:rPr>
      </w:pPr>
      <w:proofErr w:type="spellStart"/>
      <w:r w:rsidRPr="0003218B">
        <w:rPr>
          <w:sz w:val="18"/>
          <w:szCs w:val="18"/>
        </w:rPr>
        <w:t>Stuijfzand</w:t>
      </w:r>
      <w:proofErr w:type="spellEnd"/>
      <w:r w:rsidRPr="0003218B">
        <w:rPr>
          <w:sz w:val="18"/>
          <w:szCs w:val="18"/>
        </w:rPr>
        <w:t xml:space="preserve"> WJ, </w:t>
      </w:r>
      <w:proofErr w:type="spellStart"/>
      <w:r w:rsidRPr="0003218B">
        <w:rPr>
          <w:sz w:val="18"/>
          <w:szCs w:val="18"/>
        </w:rPr>
        <w:t>Danad</w:t>
      </w:r>
      <w:proofErr w:type="spellEnd"/>
      <w:r w:rsidRPr="0003218B">
        <w:rPr>
          <w:sz w:val="18"/>
          <w:szCs w:val="18"/>
        </w:rPr>
        <w:t xml:space="preserve"> I, </w:t>
      </w:r>
      <w:proofErr w:type="spellStart"/>
      <w:r w:rsidRPr="0003218B">
        <w:rPr>
          <w:sz w:val="18"/>
          <w:szCs w:val="18"/>
        </w:rPr>
        <w:t>Raijmakers</w:t>
      </w:r>
      <w:proofErr w:type="spellEnd"/>
      <w:r w:rsidRPr="0003218B">
        <w:rPr>
          <w:sz w:val="18"/>
          <w:szCs w:val="18"/>
        </w:rPr>
        <w:t xml:space="preserve"> PG, </w:t>
      </w:r>
      <w:proofErr w:type="spellStart"/>
      <w:r w:rsidRPr="0003218B">
        <w:rPr>
          <w:sz w:val="18"/>
          <w:szCs w:val="18"/>
        </w:rPr>
        <w:t>Marcu</w:t>
      </w:r>
      <w:proofErr w:type="spellEnd"/>
      <w:r w:rsidRPr="0003218B">
        <w:rPr>
          <w:sz w:val="18"/>
          <w:szCs w:val="18"/>
        </w:rPr>
        <w:t xml:space="preserve"> CB et al. Additional value of </w:t>
      </w:r>
      <w:proofErr w:type="spellStart"/>
      <w:r w:rsidRPr="0003218B">
        <w:rPr>
          <w:sz w:val="18"/>
          <w:szCs w:val="18"/>
        </w:rPr>
        <w:t>transluminal</w:t>
      </w:r>
      <w:proofErr w:type="spellEnd"/>
      <w:r w:rsidRPr="0003218B">
        <w:rPr>
          <w:sz w:val="18"/>
          <w:szCs w:val="18"/>
        </w:rPr>
        <w:t xml:space="preserve"> attenuation gradient in CT angiography to predict hemodynamic significance of coronary artery stenosis. JACC Cardiovascular imaging 2014</w:t>
      </w:r>
      <w:proofErr w:type="gramStart"/>
      <w:r w:rsidRPr="0003218B">
        <w:rPr>
          <w:sz w:val="18"/>
          <w:szCs w:val="18"/>
        </w:rPr>
        <w:t>;7</w:t>
      </w:r>
      <w:proofErr w:type="gramEnd"/>
      <w:r w:rsidRPr="0003218B">
        <w:rPr>
          <w:sz w:val="18"/>
          <w:szCs w:val="18"/>
        </w:rPr>
        <w:t>(4):374-386.</w:t>
      </w:r>
    </w:p>
    <w:p w:rsidR="00F13977" w:rsidRPr="0003218B" w:rsidRDefault="00F13977" w:rsidP="0003218B">
      <w:pPr>
        <w:pStyle w:val="ListParagraph"/>
        <w:numPr>
          <w:ilvl w:val="0"/>
          <w:numId w:val="3"/>
        </w:numPr>
        <w:tabs>
          <w:tab w:val="left" w:pos="1121"/>
        </w:tabs>
        <w:spacing w:line="360" w:lineRule="auto"/>
        <w:ind w:right="638"/>
        <w:jc w:val="both"/>
        <w:rPr>
          <w:sz w:val="18"/>
          <w:szCs w:val="18"/>
        </w:rPr>
      </w:pPr>
      <w:proofErr w:type="spellStart"/>
      <w:r w:rsidRPr="0003218B">
        <w:rPr>
          <w:sz w:val="18"/>
          <w:szCs w:val="18"/>
        </w:rPr>
        <w:t>Dalager</w:t>
      </w:r>
      <w:proofErr w:type="spellEnd"/>
      <w:r w:rsidRPr="0003218B">
        <w:rPr>
          <w:sz w:val="18"/>
          <w:szCs w:val="18"/>
        </w:rPr>
        <w:t xml:space="preserve"> S, </w:t>
      </w:r>
      <w:proofErr w:type="spellStart"/>
      <w:r w:rsidRPr="0003218B">
        <w:rPr>
          <w:sz w:val="18"/>
          <w:szCs w:val="18"/>
        </w:rPr>
        <w:t>Paaske</w:t>
      </w:r>
      <w:proofErr w:type="spellEnd"/>
      <w:r w:rsidRPr="0003218B">
        <w:rPr>
          <w:sz w:val="18"/>
          <w:szCs w:val="18"/>
        </w:rPr>
        <w:t xml:space="preserve"> WP, </w:t>
      </w:r>
      <w:proofErr w:type="spellStart"/>
      <w:r w:rsidRPr="0003218B">
        <w:rPr>
          <w:sz w:val="18"/>
          <w:szCs w:val="18"/>
        </w:rPr>
        <w:t>Kristensen</w:t>
      </w:r>
      <w:proofErr w:type="spellEnd"/>
      <w:r w:rsidRPr="0003218B">
        <w:rPr>
          <w:sz w:val="18"/>
          <w:szCs w:val="18"/>
        </w:rPr>
        <w:t xml:space="preserve"> </w:t>
      </w:r>
      <w:r w:rsidRPr="0003218B">
        <w:rPr>
          <w:spacing w:val="-2"/>
          <w:sz w:val="18"/>
          <w:szCs w:val="18"/>
        </w:rPr>
        <w:t xml:space="preserve">IB, </w:t>
      </w:r>
      <w:proofErr w:type="spellStart"/>
      <w:r w:rsidRPr="0003218B">
        <w:rPr>
          <w:sz w:val="18"/>
          <w:szCs w:val="18"/>
        </w:rPr>
        <w:t>Laurberg</w:t>
      </w:r>
      <w:proofErr w:type="spellEnd"/>
      <w:r w:rsidRPr="0003218B">
        <w:rPr>
          <w:sz w:val="18"/>
          <w:szCs w:val="18"/>
        </w:rPr>
        <w:t xml:space="preserve"> JM, Falk E. Artery-related differences in atherosclerosis expression: implications for </w:t>
      </w:r>
      <w:proofErr w:type="spellStart"/>
      <w:r w:rsidRPr="0003218B">
        <w:rPr>
          <w:sz w:val="18"/>
          <w:szCs w:val="18"/>
        </w:rPr>
        <w:t>atherogenesis</w:t>
      </w:r>
      <w:proofErr w:type="spellEnd"/>
      <w:r w:rsidRPr="0003218B">
        <w:rPr>
          <w:sz w:val="18"/>
          <w:szCs w:val="18"/>
        </w:rPr>
        <w:t xml:space="preserve"> and dynamics in intima-media thickness. Stroke</w:t>
      </w:r>
      <w:r w:rsidRPr="0003218B">
        <w:rPr>
          <w:spacing w:val="-2"/>
          <w:sz w:val="18"/>
          <w:szCs w:val="18"/>
        </w:rPr>
        <w:t xml:space="preserve"> </w:t>
      </w:r>
      <w:r w:rsidRPr="0003218B">
        <w:rPr>
          <w:sz w:val="18"/>
          <w:szCs w:val="18"/>
        </w:rPr>
        <w:t>2007;38(10):2698-2705</w:t>
      </w:r>
    </w:p>
    <w:p w:rsidR="00F13977" w:rsidRPr="0003218B" w:rsidRDefault="00F13977" w:rsidP="0003218B">
      <w:pPr>
        <w:pStyle w:val="ListParagraph"/>
        <w:numPr>
          <w:ilvl w:val="0"/>
          <w:numId w:val="3"/>
        </w:numPr>
        <w:tabs>
          <w:tab w:val="left" w:pos="1121"/>
        </w:tabs>
        <w:spacing w:line="360" w:lineRule="auto"/>
        <w:ind w:right="640"/>
        <w:jc w:val="both"/>
        <w:rPr>
          <w:sz w:val="18"/>
          <w:szCs w:val="18"/>
        </w:rPr>
      </w:pPr>
      <w:proofErr w:type="spellStart"/>
      <w:r w:rsidRPr="0003218B">
        <w:rPr>
          <w:sz w:val="18"/>
          <w:szCs w:val="18"/>
        </w:rPr>
        <w:t>Rafieian-Kopaei</w:t>
      </w:r>
      <w:proofErr w:type="spellEnd"/>
      <w:r w:rsidRPr="0003218B">
        <w:rPr>
          <w:sz w:val="18"/>
          <w:szCs w:val="18"/>
        </w:rPr>
        <w:t xml:space="preserve"> M, </w:t>
      </w:r>
      <w:proofErr w:type="spellStart"/>
      <w:r w:rsidRPr="0003218B">
        <w:rPr>
          <w:sz w:val="18"/>
          <w:szCs w:val="18"/>
        </w:rPr>
        <w:t>Setorki</w:t>
      </w:r>
      <w:proofErr w:type="spellEnd"/>
      <w:r w:rsidRPr="0003218B">
        <w:rPr>
          <w:sz w:val="18"/>
          <w:szCs w:val="18"/>
        </w:rPr>
        <w:t xml:space="preserve"> M, </w:t>
      </w:r>
      <w:proofErr w:type="spellStart"/>
      <w:r w:rsidRPr="0003218B">
        <w:rPr>
          <w:sz w:val="18"/>
          <w:szCs w:val="18"/>
        </w:rPr>
        <w:t>Doudi</w:t>
      </w:r>
      <w:proofErr w:type="spellEnd"/>
      <w:r w:rsidRPr="0003218B">
        <w:rPr>
          <w:sz w:val="18"/>
          <w:szCs w:val="18"/>
        </w:rPr>
        <w:t xml:space="preserve"> M, </w:t>
      </w:r>
      <w:proofErr w:type="spellStart"/>
      <w:r w:rsidRPr="0003218B">
        <w:rPr>
          <w:sz w:val="18"/>
          <w:szCs w:val="18"/>
        </w:rPr>
        <w:t>Baradaran</w:t>
      </w:r>
      <w:proofErr w:type="spellEnd"/>
      <w:r w:rsidRPr="0003218B">
        <w:rPr>
          <w:sz w:val="18"/>
          <w:szCs w:val="18"/>
        </w:rPr>
        <w:t xml:space="preserve"> A, </w:t>
      </w:r>
      <w:proofErr w:type="spellStart"/>
      <w:r w:rsidRPr="0003218B">
        <w:rPr>
          <w:sz w:val="18"/>
          <w:szCs w:val="18"/>
        </w:rPr>
        <w:t>Nasri</w:t>
      </w:r>
      <w:proofErr w:type="spellEnd"/>
      <w:r w:rsidRPr="0003218B">
        <w:rPr>
          <w:sz w:val="18"/>
          <w:szCs w:val="18"/>
        </w:rPr>
        <w:t xml:space="preserve"> H. Atherosclerosis: process, indicators, risk factors and new hopes. </w:t>
      </w:r>
      <w:proofErr w:type="spellStart"/>
      <w:r w:rsidRPr="0003218B">
        <w:rPr>
          <w:sz w:val="18"/>
          <w:szCs w:val="18"/>
        </w:rPr>
        <w:t>Int</w:t>
      </w:r>
      <w:proofErr w:type="spellEnd"/>
      <w:r w:rsidRPr="0003218B">
        <w:rPr>
          <w:sz w:val="18"/>
          <w:szCs w:val="18"/>
        </w:rPr>
        <w:t xml:space="preserve"> J </w:t>
      </w:r>
      <w:proofErr w:type="spellStart"/>
      <w:r w:rsidRPr="0003218B">
        <w:rPr>
          <w:sz w:val="18"/>
          <w:szCs w:val="18"/>
        </w:rPr>
        <w:t>Prev</w:t>
      </w:r>
      <w:proofErr w:type="spellEnd"/>
      <w:r w:rsidRPr="0003218B">
        <w:rPr>
          <w:sz w:val="18"/>
          <w:szCs w:val="18"/>
        </w:rPr>
        <w:t xml:space="preserve"> Med 2014;</w:t>
      </w:r>
      <w:r w:rsidRPr="0003218B">
        <w:rPr>
          <w:spacing w:val="-4"/>
          <w:sz w:val="18"/>
          <w:szCs w:val="18"/>
        </w:rPr>
        <w:t xml:space="preserve"> </w:t>
      </w:r>
      <w:r w:rsidRPr="0003218B">
        <w:rPr>
          <w:sz w:val="18"/>
          <w:szCs w:val="18"/>
        </w:rPr>
        <w:t>5(8):927-946</w:t>
      </w:r>
    </w:p>
    <w:p w:rsidR="00F13977" w:rsidRPr="0003218B" w:rsidRDefault="00F13977" w:rsidP="0003218B">
      <w:pPr>
        <w:pStyle w:val="ListParagraph"/>
        <w:numPr>
          <w:ilvl w:val="0"/>
          <w:numId w:val="3"/>
        </w:numPr>
        <w:tabs>
          <w:tab w:val="left" w:pos="1121"/>
        </w:tabs>
        <w:spacing w:line="360" w:lineRule="auto"/>
        <w:ind w:right="636"/>
        <w:jc w:val="both"/>
        <w:rPr>
          <w:sz w:val="18"/>
          <w:szCs w:val="18"/>
        </w:rPr>
      </w:pPr>
      <w:proofErr w:type="spellStart"/>
      <w:r w:rsidRPr="0003218B">
        <w:rPr>
          <w:sz w:val="18"/>
          <w:szCs w:val="18"/>
        </w:rPr>
        <w:t>Lasam</w:t>
      </w:r>
      <w:proofErr w:type="spellEnd"/>
      <w:r w:rsidRPr="0003218B">
        <w:rPr>
          <w:sz w:val="18"/>
          <w:szCs w:val="18"/>
        </w:rPr>
        <w:t xml:space="preserve"> G, </w:t>
      </w:r>
      <w:proofErr w:type="spellStart"/>
      <w:r w:rsidRPr="0003218B">
        <w:rPr>
          <w:sz w:val="18"/>
          <w:szCs w:val="18"/>
        </w:rPr>
        <w:t>Dudhia</w:t>
      </w:r>
      <w:proofErr w:type="spellEnd"/>
      <w:r w:rsidRPr="0003218B">
        <w:rPr>
          <w:sz w:val="18"/>
          <w:szCs w:val="18"/>
        </w:rPr>
        <w:t xml:space="preserve"> J, </w:t>
      </w:r>
      <w:proofErr w:type="spellStart"/>
      <w:r w:rsidRPr="0003218B">
        <w:rPr>
          <w:sz w:val="18"/>
          <w:szCs w:val="18"/>
        </w:rPr>
        <w:t>Anghel</w:t>
      </w:r>
      <w:proofErr w:type="spellEnd"/>
      <w:r w:rsidRPr="0003218B">
        <w:rPr>
          <w:sz w:val="18"/>
          <w:szCs w:val="18"/>
        </w:rPr>
        <w:t xml:space="preserve"> S, </w:t>
      </w:r>
      <w:proofErr w:type="spellStart"/>
      <w:r w:rsidRPr="0003218B">
        <w:rPr>
          <w:sz w:val="18"/>
          <w:szCs w:val="18"/>
        </w:rPr>
        <w:t>Brensilver</w:t>
      </w:r>
      <w:proofErr w:type="spellEnd"/>
      <w:r w:rsidRPr="0003218B">
        <w:rPr>
          <w:sz w:val="18"/>
          <w:szCs w:val="18"/>
        </w:rPr>
        <w:t xml:space="preserve"> J. Utilization of Echocardiogram, Carotid Ultrasound, and Cranial Imaging in the Inpatient Investigation of Syncope: </w:t>
      </w:r>
      <w:proofErr w:type="gramStart"/>
      <w:r w:rsidRPr="0003218B">
        <w:rPr>
          <w:sz w:val="18"/>
          <w:szCs w:val="18"/>
        </w:rPr>
        <w:t>Its</w:t>
      </w:r>
      <w:proofErr w:type="gramEnd"/>
      <w:r w:rsidRPr="0003218B">
        <w:rPr>
          <w:sz w:val="18"/>
          <w:szCs w:val="18"/>
        </w:rPr>
        <w:t xml:space="preserve"> Impact on the Diagnosis and the Patient's Length of Hospitalization. </w:t>
      </w:r>
      <w:proofErr w:type="spellStart"/>
      <w:r w:rsidRPr="0003218B">
        <w:rPr>
          <w:sz w:val="18"/>
          <w:szCs w:val="18"/>
        </w:rPr>
        <w:t>Cardiol</w:t>
      </w:r>
      <w:proofErr w:type="spellEnd"/>
      <w:r w:rsidRPr="0003218B">
        <w:rPr>
          <w:sz w:val="18"/>
          <w:szCs w:val="18"/>
        </w:rPr>
        <w:t xml:space="preserve"> Res 2018; 9(4):197-203.</w:t>
      </w:r>
    </w:p>
    <w:p w:rsidR="00F13977" w:rsidRPr="0003218B" w:rsidRDefault="00F13977" w:rsidP="0003218B">
      <w:pPr>
        <w:pStyle w:val="ListParagraph"/>
        <w:numPr>
          <w:ilvl w:val="0"/>
          <w:numId w:val="3"/>
        </w:numPr>
        <w:tabs>
          <w:tab w:val="left" w:pos="1121"/>
        </w:tabs>
        <w:spacing w:line="360" w:lineRule="auto"/>
        <w:ind w:right="638"/>
        <w:jc w:val="both"/>
        <w:rPr>
          <w:sz w:val="18"/>
          <w:szCs w:val="18"/>
        </w:rPr>
      </w:pPr>
      <w:proofErr w:type="spellStart"/>
      <w:r w:rsidRPr="0003218B">
        <w:rPr>
          <w:sz w:val="18"/>
          <w:szCs w:val="18"/>
        </w:rPr>
        <w:t>Birmpili</w:t>
      </w:r>
      <w:proofErr w:type="spellEnd"/>
      <w:r w:rsidRPr="0003218B">
        <w:rPr>
          <w:sz w:val="18"/>
          <w:szCs w:val="18"/>
        </w:rPr>
        <w:t xml:space="preserve"> P, Porter L, </w:t>
      </w:r>
      <w:proofErr w:type="spellStart"/>
      <w:r w:rsidRPr="0003218B">
        <w:rPr>
          <w:sz w:val="18"/>
          <w:szCs w:val="18"/>
        </w:rPr>
        <w:t>Shaikh</w:t>
      </w:r>
      <w:proofErr w:type="spellEnd"/>
      <w:r w:rsidRPr="0003218B">
        <w:rPr>
          <w:sz w:val="18"/>
          <w:szCs w:val="18"/>
        </w:rPr>
        <w:t xml:space="preserve"> U, </w:t>
      </w:r>
      <w:proofErr w:type="spellStart"/>
      <w:r w:rsidRPr="0003218B">
        <w:rPr>
          <w:sz w:val="18"/>
          <w:szCs w:val="18"/>
        </w:rPr>
        <w:t>Torella</w:t>
      </w:r>
      <w:proofErr w:type="spellEnd"/>
      <w:r w:rsidRPr="0003218B">
        <w:rPr>
          <w:sz w:val="18"/>
          <w:szCs w:val="18"/>
        </w:rPr>
        <w:t xml:space="preserve"> F. Comparison of Measurement and Grading of Carotid Stenosis with Computed Tomography Angiography and Doppler Ultrasound. Ann </w:t>
      </w:r>
      <w:proofErr w:type="spellStart"/>
      <w:r w:rsidRPr="0003218B">
        <w:rPr>
          <w:sz w:val="18"/>
          <w:szCs w:val="18"/>
        </w:rPr>
        <w:t>Vasc</w:t>
      </w:r>
      <w:proofErr w:type="spellEnd"/>
      <w:r w:rsidRPr="0003218B">
        <w:rPr>
          <w:sz w:val="18"/>
          <w:szCs w:val="18"/>
        </w:rPr>
        <w:t xml:space="preserve"> </w:t>
      </w:r>
      <w:proofErr w:type="spellStart"/>
      <w:r w:rsidRPr="0003218B">
        <w:rPr>
          <w:sz w:val="18"/>
          <w:szCs w:val="18"/>
        </w:rPr>
        <w:t>Surg</w:t>
      </w:r>
      <w:proofErr w:type="spellEnd"/>
      <w:r w:rsidRPr="0003218B">
        <w:rPr>
          <w:sz w:val="18"/>
          <w:szCs w:val="18"/>
        </w:rPr>
        <w:t xml:space="preserve"> 2018;</w:t>
      </w:r>
      <w:r w:rsidRPr="0003218B">
        <w:rPr>
          <w:spacing w:val="-2"/>
          <w:sz w:val="18"/>
          <w:szCs w:val="18"/>
        </w:rPr>
        <w:t xml:space="preserve"> </w:t>
      </w:r>
      <w:r w:rsidRPr="0003218B">
        <w:rPr>
          <w:sz w:val="18"/>
          <w:szCs w:val="18"/>
        </w:rPr>
        <w:t>51:217-224</w:t>
      </w:r>
    </w:p>
    <w:p w:rsidR="00F13977" w:rsidRPr="0003218B" w:rsidRDefault="00F13977" w:rsidP="0003218B">
      <w:pPr>
        <w:pStyle w:val="ListParagraph"/>
        <w:numPr>
          <w:ilvl w:val="0"/>
          <w:numId w:val="3"/>
        </w:numPr>
        <w:tabs>
          <w:tab w:val="left" w:pos="1121"/>
        </w:tabs>
        <w:spacing w:line="360" w:lineRule="auto"/>
        <w:ind w:right="635"/>
        <w:jc w:val="both"/>
        <w:rPr>
          <w:sz w:val="18"/>
          <w:szCs w:val="18"/>
        </w:rPr>
      </w:pPr>
      <w:proofErr w:type="spellStart"/>
      <w:r w:rsidRPr="0003218B">
        <w:rPr>
          <w:sz w:val="18"/>
          <w:szCs w:val="18"/>
        </w:rPr>
        <w:t>Rafailidis</w:t>
      </w:r>
      <w:proofErr w:type="spellEnd"/>
      <w:r w:rsidRPr="0003218B">
        <w:rPr>
          <w:sz w:val="18"/>
          <w:szCs w:val="18"/>
        </w:rPr>
        <w:t xml:space="preserve"> V, </w:t>
      </w:r>
      <w:proofErr w:type="spellStart"/>
      <w:r w:rsidRPr="0003218B">
        <w:rPr>
          <w:sz w:val="18"/>
          <w:szCs w:val="18"/>
        </w:rPr>
        <w:t>Chryssogonidis</w:t>
      </w:r>
      <w:proofErr w:type="spellEnd"/>
      <w:r w:rsidRPr="0003218B">
        <w:rPr>
          <w:sz w:val="18"/>
          <w:szCs w:val="18"/>
        </w:rPr>
        <w:t xml:space="preserve"> </w:t>
      </w:r>
      <w:r w:rsidRPr="0003218B">
        <w:rPr>
          <w:spacing w:val="-3"/>
          <w:sz w:val="18"/>
          <w:szCs w:val="18"/>
        </w:rPr>
        <w:t xml:space="preserve">I, </w:t>
      </w:r>
      <w:proofErr w:type="spellStart"/>
      <w:r w:rsidRPr="0003218B">
        <w:rPr>
          <w:sz w:val="18"/>
          <w:szCs w:val="18"/>
        </w:rPr>
        <w:t>Tegos</w:t>
      </w:r>
      <w:proofErr w:type="spellEnd"/>
      <w:r w:rsidRPr="0003218B">
        <w:rPr>
          <w:sz w:val="18"/>
          <w:szCs w:val="18"/>
        </w:rPr>
        <w:t xml:space="preserve"> T, </w:t>
      </w:r>
      <w:proofErr w:type="spellStart"/>
      <w:r w:rsidRPr="0003218B">
        <w:rPr>
          <w:sz w:val="18"/>
          <w:szCs w:val="18"/>
        </w:rPr>
        <w:t>Kouskouras</w:t>
      </w:r>
      <w:proofErr w:type="spellEnd"/>
      <w:r w:rsidRPr="0003218B">
        <w:rPr>
          <w:sz w:val="18"/>
          <w:szCs w:val="18"/>
        </w:rPr>
        <w:t xml:space="preserve"> K, </w:t>
      </w:r>
      <w:proofErr w:type="spellStart"/>
      <w:r w:rsidRPr="0003218B">
        <w:rPr>
          <w:sz w:val="18"/>
          <w:szCs w:val="18"/>
        </w:rPr>
        <w:t>Charitanti</w:t>
      </w:r>
      <w:proofErr w:type="spellEnd"/>
      <w:r w:rsidRPr="0003218B">
        <w:rPr>
          <w:sz w:val="18"/>
          <w:szCs w:val="18"/>
        </w:rPr>
        <w:t xml:space="preserve">- </w:t>
      </w:r>
      <w:proofErr w:type="spellStart"/>
      <w:r w:rsidRPr="0003218B">
        <w:rPr>
          <w:sz w:val="18"/>
          <w:szCs w:val="18"/>
        </w:rPr>
        <w:t>Kouridou</w:t>
      </w:r>
      <w:proofErr w:type="spellEnd"/>
      <w:r w:rsidRPr="0003218B">
        <w:rPr>
          <w:sz w:val="18"/>
          <w:szCs w:val="18"/>
        </w:rPr>
        <w:t xml:space="preserve"> A. Imaging of the ulcerated carotid atherosclerotic plaque: a review of the literature. Insights Imaging</w:t>
      </w:r>
      <w:r w:rsidRPr="0003218B">
        <w:rPr>
          <w:spacing w:val="-2"/>
          <w:sz w:val="18"/>
          <w:szCs w:val="18"/>
        </w:rPr>
        <w:t xml:space="preserve"> </w:t>
      </w:r>
      <w:r w:rsidRPr="0003218B">
        <w:rPr>
          <w:sz w:val="18"/>
          <w:szCs w:val="18"/>
        </w:rPr>
        <w:t>2017;8:213–225</w:t>
      </w:r>
    </w:p>
    <w:p w:rsidR="00F13977" w:rsidRPr="0003218B" w:rsidRDefault="00F13977" w:rsidP="0003218B">
      <w:pPr>
        <w:pStyle w:val="ListParagraph"/>
        <w:numPr>
          <w:ilvl w:val="0"/>
          <w:numId w:val="3"/>
        </w:numPr>
        <w:tabs>
          <w:tab w:val="left" w:pos="1121"/>
        </w:tabs>
        <w:spacing w:line="360" w:lineRule="auto"/>
        <w:ind w:right="644"/>
        <w:jc w:val="both"/>
        <w:rPr>
          <w:sz w:val="18"/>
          <w:szCs w:val="18"/>
        </w:rPr>
      </w:pPr>
      <w:proofErr w:type="gramStart"/>
      <w:r w:rsidRPr="0003218B">
        <w:rPr>
          <w:sz w:val="18"/>
          <w:szCs w:val="18"/>
        </w:rPr>
        <w:t>van</w:t>
      </w:r>
      <w:proofErr w:type="gramEnd"/>
      <w:r w:rsidRPr="0003218B">
        <w:rPr>
          <w:sz w:val="18"/>
          <w:szCs w:val="18"/>
        </w:rPr>
        <w:t xml:space="preserve"> den </w:t>
      </w:r>
      <w:proofErr w:type="spellStart"/>
      <w:r w:rsidRPr="0003218B">
        <w:rPr>
          <w:sz w:val="18"/>
          <w:szCs w:val="18"/>
        </w:rPr>
        <w:t>Bouwhuijsen</w:t>
      </w:r>
      <w:proofErr w:type="spellEnd"/>
      <w:r w:rsidRPr="0003218B">
        <w:rPr>
          <w:sz w:val="18"/>
          <w:szCs w:val="18"/>
        </w:rPr>
        <w:t xml:space="preserve"> QJ, </w:t>
      </w:r>
      <w:proofErr w:type="spellStart"/>
      <w:r w:rsidRPr="0003218B">
        <w:rPr>
          <w:sz w:val="18"/>
          <w:szCs w:val="18"/>
        </w:rPr>
        <w:t>Bos</w:t>
      </w:r>
      <w:proofErr w:type="spellEnd"/>
      <w:r w:rsidRPr="0003218B">
        <w:rPr>
          <w:sz w:val="18"/>
          <w:szCs w:val="18"/>
        </w:rPr>
        <w:t xml:space="preserve"> D, </w:t>
      </w:r>
      <w:proofErr w:type="spellStart"/>
      <w:r w:rsidRPr="0003218B">
        <w:rPr>
          <w:sz w:val="18"/>
          <w:szCs w:val="18"/>
        </w:rPr>
        <w:t>Ikram</w:t>
      </w:r>
      <w:proofErr w:type="spellEnd"/>
      <w:r w:rsidRPr="0003218B">
        <w:rPr>
          <w:sz w:val="18"/>
          <w:szCs w:val="18"/>
        </w:rPr>
        <w:t xml:space="preserve"> MA et al. Coexistence of calcification, </w:t>
      </w:r>
      <w:proofErr w:type="spellStart"/>
      <w:r w:rsidRPr="0003218B">
        <w:rPr>
          <w:sz w:val="18"/>
          <w:szCs w:val="18"/>
        </w:rPr>
        <w:t>intraplaque</w:t>
      </w:r>
      <w:proofErr w:type="spellEnd"/>
      <w:r w:rsidRPr="0003218B">
        <w:rPr>
          <w:sz w:val="18"/>
          <w:szCs w:val="18"/>
        </w:rPr>
        <w:t xml:space="preserve"> hemorrhage and lipid core within the asymptomatic atherosclerotic carotid plaque: the Rotterdam study. </w:t>
      </w:r>
      <w:proofErr w:type="spellStart"/>
      <w:r w:rsidRPr="0003218B">
        <w:rPr>
          <w:sz w:val="18"/>
          <w:szCs w:val="18"/>
        </w:rPr>
        <w:t>Cerebrovasc</w:t>
      </w:r>
      <w:proofErr w:type="spellEnd"/>
      <w:r w:rsidRPr="0003218B">
        <w:rPr>
          <w:sz w:val="18"/>
          <w:szCs w:val="18"/>
        </w:rPr>
        <w:t xml:space="preserve"> Dis</w:t>
      </w:r>
      <w:r w:rsidRPr="0003218B">
        <w:rPr>
          <w:spacing w:val="-1"/>
          <w:sz w:val="18"/>
          <w:szCs w:val="18"/>
        </w:rPr>
        <w:t xml:space="preserve"> </w:t>
      </w:r>
      <w:r w:rsidRPr="0003218B">
        <w:rPr>
          <w:sz w:val="18"/>
          <w:szCs w:val="18"/>
        </w:rPr>
        <w:t>2015;39:319–324</w:t>
      </w:r>
    </w:p>
    <w:p w:rsidR="00F13977" w:rsidRPr="0003218B" w:rsidRDefault="00F13977" w:rsidP="0003218B">
      <w:pPr>
        <w:pStyle w:val="ListParagraph"/>
        <w:numPr>
          <w:ilvl w:val="0"/>
          <w:numId w:val="3"/>
        </w:numPr>
        <w:tabs>
          <w:tab w:val="left" w:pos="1121"/>
        </w:tabs>
        <w:spacing w:line="360" w:lineRule="auto"/>
        <w:ind w:right="644"/>
        <w:jc w:val="both"/>
        <w:rPr>
          <w:sz w:val="18"/>
          <w:szCs w:val="18"/>
        </w:rPr>
      </w:pPr>
      <w:proofErr w:type="spellStart"/>
      <w:r w:rsidRPr="0003218B">
        <w:rPr>
          <w:sz w:val="18"/>
          <w:szCs w:val="18"/>
        </w:rPr>
        <w:t>Hatsukami</w:t>
      </w:r>
      <w:proofErr w:type="spellEnd"/>
      <w:r w:rsidRPr="0003218B">
        <w:rPr>
          <w:sz w:val="18"/>
          <w:szCs w:val="18"/>
        </w:rPr>
        <w:t xml:space="preserve"> TS, Ferguson MS, Beach KW et al. Carotid plaque morphology and clinical events. Stroke</w:t>
      </w:r>
      <w:r w:rsidRPr="0003218B">
        <w:rPr>
          <w:spacing w:val="-2"/>
          <w:sz w:val="18"/>
          <w:szCs w:val="18"/>
        </w:rPr>
        <w:t xml:space="preserve"> </w:t>
      </w:r>
      <w:r w:rsidRPr="0003218B">
        <w:rPr>
          <w:sz w:val="18"/>
          <w:szCs w:val="18"/>
        </w:rPr>
        <w:t>1997;28:95–100</w:t>
      </w:r>
    </w:p>
    <w:p w:rsidR="00F13977" w:rsidRPr="0003218B" w:rsidRDefault="00F13977" w:rsidP="0003218B">
      <w:pPr>
        <w:pStyle w:val="ListParagraph"/>
        <w:numPr>
          <w:ilvl w:val="0"/>
          <w:numId w:val="3"/>
        </w:numPr>
        <w:tabs>
          <w:tab w:val="left" w:pos="1121"/>
        </w:tabs>
        <w:spacing w:line="360" w:lineRule="auto"/>
        <w:ind w:right="632"/>
        <w:jc w:val="both"/>
        <w:rPr>
          <w:sz w:val="18"/>
          <w:szCs w:val="18"/>
        </w:rPr>
      </w:pPr>
      <w:proofErr w:type="spellStart"/>
      <w:r w:rsidRPr="0003218B">
        <w:rPr>
          <w:sz w:val="18"/>
          <w:szCs w:val="18"/>
        </w:rPr>
        <w:t>Nambi</w:t>
      </w:r>
      <w:proofErr w:type="spellEnd"/>
      <w:r w:rsidRPr="0003218B">
        <w:rPr>
          <w:sz w:val="18"/>
          <w:szCs w:val="18"/>
        </w:rPr>
        <w:t xml:space="preserve"> V, </w:t>
      </w:r>
      <w:proofErr w:type="spellStart"/>
      <w:r w:rsidRPr="0003218B">
        <w:rPr>
          <w:sz w:val="18"/>
          <w:szCs w:val="18"/>
        </w:rPr>
        <w:t>Chambless</w:t>
      </w:r>
      <w:proofErr w:type="spellEnd"/>
      <w:r w:rsidRPr="0003218B">
        <w:rPr>
          <w:sz w:val="18"/>
          <w:szCs w:val="18"/>
        </w:rPr>
        <w:t xml:space="preserve"> </w:t>
      </w:r>
      <w:r w:rsidRPr="0003218B">
        <w:rPr>
          <w:spacing w:val="-3"/>
          <w:sz w:val="18"/>
          <w:szCs w:val="18"/>
        </w:rPr>
        <w:t xml:space="preserve">L, </w:t>
      </w:r>
      <w:r w:rsidRPr="0003218B">
        <w:rPr>
          <w:sz w:val="18"/>
          <w:szCs w:val="18"/>
        </w:rPr>
        <w:t xml:space="preserve">He M, Folsom AR, Mosley T, </w:t>
      </w:r>
      <w:proofErr w:type="spellStart"/>
      <w:r w:rsidRPr="0003218B">
        <w:rPr>
          <w:sz w:val="18"/>
          <w:szCs w:val="18"/>
        </w:rPr>
        <w:t>Boerwinkle</w:t>
      </w:r>
      <w:proofErr w:type="spellEnd"/>
      <w:r w:rsidRPr="0003218B">
        <w:rPr>
          <w:sz w:val="18"/>
          <w:szCs w:val="18"/>
        </w:rPr>
        <w:t xml:space="preserve"> E, </w:t>
      </w:r>
      <w:proofErr w:type="spellStart"/>
      <w:r w:rsidRPr="0003218B">
        <w:rPr>
          <w:sz w:val="18"/>
          <w:szCs w:val="18"/>
        </w:rPr>
        <w:t>Ballantyne</w:t>
      </w:r>
      <w:proofErr w:type="spellEnd"/>
      <w:r w:rsidRPr="0003218B">
        <w:rPr>
          <w:sz w:val="18"/>
          <w:szCs w:val="18"/>
        </w:rPr>
        <w:t xml:space="preserve"> CM. Common carotid artery intima-media thickness is as good as carotid intima- media thickness of all carotid artery segments in improving prediction of coronary heart disease risk in the Atherosclerosis Risk in </w:t>
      </w:r>
      <w:r w:rsidRPr="0003218B">
        <w:rPr>
          <w:sz w:val="18"/>
          <w:szCs w:val="18"/>
        </w:rPr>
        <w:lastRenderedPageBreak/>
        <w:t xml:space="preserve">Communities (ARIC) study. </w:t>
      </w:r>
      <w:proofErr w:type="spellStart"/>
      <w:r w:rsidRPr="0003218B">
        <w:rPr>
          <w:sz w:val="18"/>
          <w:szCs w:val="18"/>
        </w:rPr>
        <w:t>Eur</w:t>
      </w:r>
      <w:proofErr w:type="spellEnd"/>
      <w:r w:rsidRPr="0003218B">
        <w:rPr>
          <w:sz w:val="18"/>
          <w:szCs w:val="18"/>
        </w:rPr>
        <w:t xml:space="preserve"> Heart J 2012;33(2):183-190</w:t>
      </w:r>
    </w:p>
    <w:p w:rsidR="00F13977" w:rsidRPr="0003218B" w:rsidRDefault="00F13977" w:rsidP="0003218B">
      <w:pPr>
        <w:pStyle w:val="ListParagraph"/>
        <w:numPr>
          <w:ilvl w:val="0"/>
          <w:numId w:val="3"/>
        </w:numPr>
        <w:tabs>
          <w:tab w:val="left" w:pos="1121"/>
        </w:tabs>
        <w:spacing w:line="360" w:lineRule="auto"/>
        <w:ind w:right="640"/>
        <w:jc w:val="both"/>
        <w:rPr>
          <w:sz w:val="18"/>
          <w:szCs w:val="18"/>
        </w:rPr>
      </w:pPr>
      <w:r w:rsidRPr="0003218B">
        <w:rPr>
          <w:sz w:val="18"/>
          <w:szCs w:val="18"/>
        </w:rPr>
        <w:t>El-</w:t>
      </w:r>
      <w:proofErr w:type="spellStart"/>
      <w:r w:rsidRPr="0003218B">
        <w:rPr>
          <w:sz w:val="18"/>
          <w:szCs w:val="18"/>
        </w:rPr>
        <w:t>Behery</w:t>
      </w:r>
      <w:proofErr w:type="spellEnd"/>
      <w:r w:rsidRPr="0003218B">
        <w:rPr>
          <w:sz w:val="18"/>
          <w:szCs w:val="18"/>
        </w:rPr>
        <w:t xml:space="preserve"> AA, </w:t>
      </w:r>
      <w:proofErr w:type="spellStart"/>
      <w:r w:rsidRPr="0003218B">
        <w:rPr>
          <w:sz w:val="18"/>
          <w:szCs w:val="18"/>
        </w:rPr>
        <w:t>Badawy</w:t>
      </w:r>
      <w:proofErr w:type="spellEnd"/>
      <w:r w:rsidRPr="0003218B">
        <w:rPr>
          <w:sz w:val="18"/>
          <w:szCs w:val="18"/>
        </w:rPr>
        <w:t xml:space="preserve"> ME, El </w:t>
      </w:r>
      <w:proofErr w:type="spellStart"/>
      <w:r w:rsidRPr="0003218B">
        <w:rPr>
          <w:sz w:val="18"/>
          <w:szCs w:val="18"/>
        </w:rPr>
        <w:t>Maebod</w:t>
      </w:r>
      <w:proofErr w:type="spellEnd"/>
      <w:r w:rsidRPr="0003218B">
        <w:rPr>
          <w:sz w:val="18"/>
          <w:szCs w:val="18"/>
        </w:rPr>
        <w:t xml:space="preserve"> N, </w:t>
      </w:r>
      <w:proofErr w:type="spellStart"/>
      <w:r w:rsidRPr="0003218B">
        <w:rPr>
          <w:sz w:val="18"/>
          <w:szCs w:val="18"/>
        </w:rPr>
        <w:t>Nassar</w:t>
      </w:r>
      <w:proofErr w:type="spellEnd"/>
      <w:r w:rsidRPr="0003218B">
        <w:rPr>
          <w:sz w:val="18"/>
          <w:szCs w:val="18"/>
        </w:rPr>
        <w:t xml:space="preserve"> IA. Carotid artery </w:t>
      </w:r>
      <w:proofErr w:type="spellStart"/>
      <w:proofErr w:type="gramStart"/>
      <w:r w:rsidRPr="0003218B">
        <w:rPr>
          <w:sz w:val="18"/>
          <w:szCs w:val="18"/>
        </w:rPr>
        <w:t>doppler</w:t>
      </w:r>
      <w:proofErr w:type="spellEnd"/>
      <w:proofErr w:type="gramEnd"/>
      <w:r w:rsidRPr="0003218B">
        <w:rPr>
          <w:sz w:val="18"/>
          <w:szCs w:val="18"/>
        </w:rPr>
        <w:t xml:space="preserve"> ultrasound and coronary calcium score in assessment of atherosclerosis in patients with suspected coronary artery disease. Med J Cairo </w:t>
      </w:r>
      <w:proofErr w:type="spellStart"/>
      <w:r w:rsidRPr="0003218B">
        <w:rPr>
          <w:sz w:val="18"/>
          <w:szCs w:val="18"/>
        </w:rPr>
        <w:t>Univ</w:t>
      </w:r>
      <w:proofErr w:type="spellEnd"/>
      <w:r w:rsidRPr="0003218B">
        <w:rPr>
          <w:spacing w:val="-8"/>
          <w:sz w:val="18"/>
          <w:szCs w:val="18"/>
        </w:rPr>
        <w:t xml:space="preserve"> </w:t>
      </w:r>
      <w:r w:rsidRPr="0003218B">
        <w:rPr>
          <w:sz w:val="18"/>
          <w:szCs w:val="18"/>
        </w:rPr>
        <w:t>2019</w:t>
      </w:r>
      <w:proofErr w:type="gramStart"/>
      <w:r w:rsidRPr="0003218B">
        <w:rPr>
          <w:sz w:val="18"/>
          <w:szCs w:val="18"/>
        </w:rPr>
        <w:t>;87</w:t>
      </w:r>
      <w:proofErr w:type="gramEnd"/>
      <w:r w:rsidRPr="0003218B">
        <w:rPr>
          <w:sz w:val="18"/>
          <w:szCs w:val="18"/>
        </w:rPr>
        <w:t>(5):3401-3416.</w:t>
      </w:r>
    </w:p>
    <w:p w:rsidR="00F13977" w:rsidRPr="0003218B" w:rsidRDefault="00F13977" w:rsidP="0003218B">
      <w:pPr>
        <w:pStyle w:val="ListParagraph"/>
        <w:numPr>
          <w:ilvl w:val="0"/>
          <w:numId w:val="3"/>
        </w:numPr>
        <w:tabs>
          <w:tab w:val="left" w:pos="1121"/>
        </w:tabs>
        <w:spacing w:line="360" w:lineRule="auto"/>
        <w:ind w:right="634"/>
        <w:jc w:val="both"/>
        <w:rPr>
          <w:sz w:val="18"/>
          <w:szCs w:val="18"/>
        </w:rPr>
      </w:pPr>
      <w:proofErr w:type="spellStart"/>
      <w:r w:rsidRPr="0003218B">
        <w:rPr>
          <w:sz w:val="18"/>
          <w:szCs w:val="18"/>
        </w:rPr>
        <w:t>Guaricci</w:t>
      </w:r>
      <w:proofErr w:type="spellEnd"/>
      <w:r w:rsidRPr="0003218B">
        <w:rPr>
          <w:sz w:val="18"/>
          <w:szCs w:val="18"/>
        </w:rPr>
        <w:t xml:space="preserve"> AI, </w:t>
      </w:r>
      <w:proofErr w:type="spellStart"/>
      <w:r w:rsidRPr="0003218B">
        <w:rPr>
          <w:sz w:val="18"/>
          <w:szCs w:val="18"/>
        </w:rPr>
        <w:t>Arcadi</w:t>
      </w:r>
      <w:proofErr w:type="spellEnd"/>
      <w:r w:rsidRPr="0003218B">
        <w:rPr>
          <w:sz w:val="18"/>
          <w:szCs w:val="18"/>
        </w:rPr>
        <w:t xml:space="preserve"> T, </w:t>
      </w:r>
      <w:proofErr w:type="spellStart"/>
      <w:r w:rsidRPr="0003218B">
        <w:rPr>
          <w:sz w:val="18"/>
          <w:szCs w:val="18"/>
        </w:rPr>
        <w:t>Brunetti</w:t>
      </w:r>
      <w:proofErr w:type="spellEnd"/>
      <w:r w:rsidRPr="0003218B">
        <w:rPr>
          <w:sz w:val="18"/>
          <w:szCs w:val="18"/>
        </w:rPr>
        <w:t xml:space="preserve"> ND et al. Carotid intima media thickness and coronary atherosclerosis linkage in symptomatic intermediate risk patients evaluated by coronary computed tomography angiography. </w:t>
      </w:r>
      <w:proofErr w:type="spellStart"/>
      <w:r w:rsidRPr="0003218B">
        <w:rPr>
          <w:sz w:val="18"/>
          <w:szCs w:val="18"/>
        </w:rPr>
        <w:t>Int</w:t>
      </w:r>
      <w:proofErr w:type="spellEnd"/>
      <w:r w:rsidRPr="0003218B">
        <w:rPr>
          <w:sz w:val="18"/>
          <w:szCs w:val="18"/>
        </w:rPr>
        <w:t xml:space="preserve"> J </w:t>
      </w:r>
      <w:proofErr w:type="spellStart"/>
      <w:r w:rsidRPr="0003218B">
        <w:rPr>
          <w:sz w:val="18"/>
          <w:szCs w:val="18"/>
        </w:rPr>
        <w:t>Cardiol</w:t>
      </w:r>
      <w:proofErr w:type="spellEnd"/>
      <w:r w:rsidRPr="0003218B">
        <w:rPr>
          <w:sz w:val="18"/>
          <w:szCs w:val="18"/>
        </w:rPr>
        <w:t xml:space="preserve"> 2014</w:t>
      </w:r>
      <w:proofErr w:type="gramStart"/>
      <w:r w:rsidRPr="0003218B">
        <w:rPr>
          <w:sz w:val="18"/>
          <w:szCs w:val="18"/>
        </w:rPr>
        <w:t>;176</w:t>
      </w:r>
      <w:proofErr w:type="gramEnd"/>
      <w:r w:rsidRPr="0003218B">
        <w:rPr>
          <w:sz w:val="18"/>
          <w:szCs w:val="18"/>
        </w:rPr>
        <w:t xml:space="preserve"> (3):</w:t>
      </w:r>
      <w:r w:rsidRPr="0003218B">
        <w:rPr>
          <w:spacing w:val="-1"/>
          <w:sz w:val="18"/>
          <w:szCs w:val="18"/>
        </w:rPr>
        <w:t xml:space="preserve"> </w:t>
      </w:r>
      <w:r w:rsidRPr="0003218B">
        <w:rPr>
          <w:sz w:val="18"/>
          <w:szCs w:val="18"/>
        </w:rPr>
        <w:t>988-93.</w:t>
      </w:r>
    </w:p>
    <w:p w:rsidR="00F13977" w:rsidRPr="0003218B" w:rsidRDefault="00F13977" w:rsidP="0003218B">
      <w:pPr>
        <w:pStyle w:val="ListParagraph"/>
        <w:numPr>
          <w:ilvl w:val="0"/>
          <w:numId w:val="3"/>
        </w:numPr>
        <w:tabs>
          <w:tab w:val="left" w:pos="1121"/>
        </w:tabs>
        <w:spacing w:line="360" w:lineRule="auto"/>
        <w:ind w:right="642"/>
        <w:jc w:val="both"/>
        <w:rPr>
          <w:sz w:val="18"/>
          <w:szCs w:val="18"/>
        </w:rPr>
      </w:pPr>
      <w:proofErr w:type="spellStart"/>
      <w:r w:rsidRPr="0003218B">
        <w:rPr>
          <w:sz w:val="18"/>
          <w:szCs w:val="18"/>
        </w:rPr>
        <w:t>Jeevarethinam</w:t>
      </w:r>
      <w:proofErr w:type="spellEnd"/>
      <w:r w:rsidRPr="0003218B">
        <w:rPr>
          <w:sz w:val="18"/>
          <w:szCs w:val="18"/>
        </w:rPr>
        <w:t xml:space="preserve"> A, </w:t>
      </w:r>
      <w:proofErr w:type="spellStart"/>
      <w:r w:rsidRPr="0003218B">
        <w:rPr>
          <w:sz w:val="18"/>
          <w:szCs w:val="18"/>
        </w:rPr>
        <w:t>Venuraju</w:t>
      </w:r>
      <w:proofErr w:type="spellEnd"/>
      <w:r w:rsidRPr="0003218B">
        <w:rPr>
          <w:sz w:val="18"/>
          <w:szCs w:val="18"/>
        </w:rPr>
        <w:t xml:space="preserve"> S, </w:t>
      </w:r>
      <w:proofErr w:type="spellStart"/>
      <w:r w:rsidRPr="0003218B">
        <w:rPr>
          <w:sz w:val="18"/>
          <w:szCs w:val="18"/>
        </w:rPr>
        <w:t>Dumo</w:t>
      </w:r>
      <w:proofErr w:type="spellEnd"/>
      <w:r w:rsidRPr="0003218B">
        <w:rPr>
          <w:sz w:val="18"/>
          <w:szCs w:val="18"/>
        </w:rPr>
        <w:t xml:space="preserve"> </w:t>
      </w:r>
      <w:proofErr w:type="gramStart"/>
      <w:r w:rsidRPr="0003218B">
        <w:rPr>
          <w:sz w:val="18"/>
          <w:szCs w:val="18"/>
        </w:rPr>
        <w:t>A</w:t>
      </w:r>
      <w:proofErr w:type="gramEnd"/>
      <w:r w:rsidRPr="0003218B">
        <w:rPr>
          <w:sz w:val="18"/>
          <w:szCs w:val="18"/>
        </w:rPr>
        <w:t xml:space="preserve"> et al. Relationship between carotid atherosclerosis and coronary artery calcification in asymptomatic diabetic patients: A prospective multicenter study. </w:t>
      </w:r>
      <w:proofErr w:type="spellStart"/>
      <w:r w:rsidRPr="0003218B">
        <w:rPr>
          <w:sz w:val="18"/>
          <w:szCs w:val="18"/>
        </w:rPr>
        <w:t>Clin</w:t>
      </w:r>
      <w:proofErr w:type="spellEnd"/>
      <w:r w:rsidRPr="0003218B">
        <w:rPr>
          <w:sz w:val="18"/>
          <w:szCs w:val="18"/>
        </w:rPr>
        <w:t xml:space="preserve"> </w:t>
      </w:r>
      <w:proofErr w:type="spellStart"/>
      <w:r w:rsidRPr="0003218B">
        <w:rPr>
          <w:sz w:val="18"/>
          <w:szCs w:val="18"/>
        </w:rPr>
        <w:t>Cardiol</w:t>
      </w:r>
      <w:proofErr w:type="spellEnd"/>
      <w:r w:rsidRPr="0003218B">
        <w:rPr>
          <w:spacing w:val="-3"/>
          <w:sz w:val="18"/>
          <w:szCs w:val="18"/>
        </w:rPr>
        <w:t xml:space="preserve"> </w:t>
      </w:r>
      <w:r w:rsidRPr="0003218B">
        <w:rPr>
          <w:sz w:val="18"/>
          <w:szCs w:val="18"/>
        </w:rPr>
        <w:t>2017</w:t>
      </w:r>
      <w:proofErr w:type="gramStart"/>
      <w:r w:rsidRPr="0003218B">
        <w:rPr>
          <w:sz w:val="18"/>
          <w:szCs w:val="18"/>
        </w:rPr>
        <w:t>;40</w:t>
      </w:r>
      <w:proofErr w:type="gramEnd"/>
      <w:r w:rsidRPr="0003218B">
        <w:rPr>
          <w:sz w:val="18"/>
          <w:szCs w:val="18"/>
        </w:rPr>
        <w:t>(9):752-8.</w:t>
      </w:r>
    </w:p>
    <w:p w:rsidR="00F13977" w:rsidRPr="0003218B" w:rsidRDefault="00F13977" w:rsidP="0003218B">
      <w:pPr>
        <w:pStyle w:val="ListParagraph"/>
        <w:numPr>
          <w:ilvl w:val="0"/>
          <w:numId w:val="3"/>
        </w:numPr>
        <w:tabs>
          <w:tab w:val="left" w:pos="1121"/>
        </w:tabs>
        <w:spacing w:line="360" w:lineRule="auto"/>
        <w:ind w:right="646"/>
        <w:jc w:val="both"/>
        <w:rPr>
          <w:sz w:val="18"/>
          <w:szCs w:val="18"/>
        </w:rPr>
      </w:pPr>
      <w:r w:rsidRPr="0003218B">
        <w:rPr>
          <w:sz w:val="18"/>
          <w:szCs w:val="18"/>
        </w:rPr>
        <w:t xml:space="preserve">Chu Z, Cheng L, Tong Q. Carotid artery calcification score and its association with cognitive impairment. </w:t>
      </w:r>
      <w:proofErr w:type="spellStart"/>
      <w:r w:rsidRPr="0003218B">
        <w:rPr>
          <w:sz w:val="18"/>
          <w:szCs w:val="18"/>
        </w:rPr>
        <w:t>Clin</w:t>
      </w:r>
      <w:proofErr w:type="spellEnd"/>
      <w:r w:rsidRPr="0003218B">
        <w:rPr>
          <w:sz w:val="18"/>
          <w:szCs w:val="18"/>
        </w:rPr>
        <w:t xml:space="preserve"> </w:t>
      </w:r>
      <w:proofErr w:type="spellStart"/>
      <w:r w:rsidRPr="0003218B">
        <w:rPr>
          <w:sz w:val="18"/>
          <w:szCs w:val="18"/>
        </w:rPr>
        <w:t>Interv</w:t>
      </w:r>
      <w:proofErr w:type="spellEnd"/>
      <w:r w:rsidRPr="0003218B">
        <w:rPr>
          <w:sz w:val="18"/>
          <w:szCs w:val="18"/>
        </w:rPr>
        <w:t xml:space="preserve"> Aging</w:t>
      </w:r>
      <w:r w:rsidRPr="0003218B">
        <w:rPr>
          <w:spacing w:val="-1"/>
          <w:sz w:val="18"/>
          <w:szCs w:val="18"/>
        </w:rPr>
        <w:t xml:space="preserve"> </w:t>
      </w:r>
      <w:r w:rsidRPr="0003218B">
        <w:rPr>
          <w:sz w:val="18"/>
          <w:szCs w:val="18"/>
        </w:rPr>
        <w:t>2019;14:167–177</w:t>
      </w:r>
    </w:p>
    <w:p w:rsidR="0003218B" w:rsidRDefault="0003218B" w:rsidP="0003218B">
      <w:pPr>
        <w:spacing w:after="0"/>
        <w:ind w:left="454"/>
        <w:rPr>
          <w:rFonts w:ascii="Cambria" w:hAnsi="Cambria"/>
          <w:sz w:val="18"/>
          <w:szCs w:val="18"/>
        </w:rPr>
      </w:pPr>
    </w:p>
    <w:p w:rsidR="0003218B" w:rsidRDefault="0003218B" w:rsidP="0003218B">
      <w:pPr>
        <w:spacing w:after="0"/>
        <w:ind w:left="454"/>
        <w:rPr>
          <w:rFonts w:ascii="Cambria" w:hAnsi="Cambria"/>
          <w:sz w:val="18"/>
          <w:szCs w:val="18"/>
        </w:rPr>
      </w:pPr>
    </w:p>
    <w:p w:rsidR="0003218B" w:rsidRPr="00E07B65" w:rsidRDefault="0003218B" w:rsidP="00B65106">
      <w:pPr>
        <w:spacing w:after="0"/>
        <w:ind w:left="1134" w:right="170"/>
        <w:rPr>
          <w:rFonts w:ascii="Cambria" w:hAnsi="Cambria"/>
          <w:sz w:val="18"/>
          <w:szCs w:val="18"/>
        </w:rPr>
      </w:pPr>
      <w:r>
        <w:rPr>
          <w:rFonts w:ascii="Cambria" w:hAnsi="Cambria"/>
          <w:sz w:val="18"/>
          <w:szCs w:val="18"/>
        </w:rPr>
        <w:t>Date of Publishing: 30</w:t>
      </w:r>
      <w:r w:rsidRPr="00E07B65">
        <w:rPr>
          <w:rFonts w:ascii="Cambria" w:hAnsi="Cambria"/>
          <w:sz w:val="18"/>
          <w:szCs w:val="18"/>
        </w:rPr>
        <w:t xml:space="preserve"> March 2021 </w:t>
      </w:r>
    </w:p>
    <w:p w:rsidR="0003218B" w:rsidRPr="00E07B65" w:rsidRDefault="0003218B" w:rsidP="00B65106">
      <w:pPr>
        <w:spacing w:after="0"/>
        <w:ind w:left="1134" w:right="170"/>
        <w:rPr>
          <w:rFonts w:ascii="Cambria" w:hAnsi="Cambria"/>
          <w:sz w:val="18"/>
          <w:szCs w:val="18"/>
        </w:rPr>
      </w:pPr>
      <w:r w:rsidRPr="00E07B65">
        <w:rPr>
          <w:rFonts w:ascii="Cambria" w:hAnsi="Cambria"/>
          <w:sz w:val="18"/>
          <w:szCs w:val="18"/>
        </w:rPr>
        <w:t xml:space="preserve">Author Declaration:  Source of support: Nil, Conflict of interest: Nil </w:t>
      </w:r>
    </w:p>
    <w:p w:rsidR="0003218B" w:rsidRPr="00E07B65" w:rsidRDefault="0003218B" w:rsidP="00B65106">
      <w:pPr>
        <w:spacing w:after="0"/>
        <w:ind w:left="1134" w:right="170"/>
        <w:rPr>
          <w:rFonts w:ascii="Cambria" w:hAnsi="Cambria"/>
          <w:sz w:val="18"/>
          <w:szCs w:val="18"/>
        </w:rPr>
      </w:pPr>
      <w:r w:rsidRPr="00E07B65">
        <w:rPr>
          <w:rFonts w:ascii="Cambria" w:hAnsi="Cambria"/>
          <w:sz w:val="18"/>
          <w:szCs w:val="18"/>
        </w:rPr>
        <w:t>Ethics Committee Approval obtained for this study?  YES</w:t>
      </w:r>
    </w:p>
    <w:p w:rsidR="0003218B" w:rsidRPr="00E07B65" w:rsidRDefault="0003218B" w:rsidP="00B65106">
      <w:pPr>
        <w:spacing w:after="0"/>
        <w:ind w:left="1134" w:right="170"/>
        <w:rPr>
          <w:rFonts w:ascii="Cambria" w:hAnsi="Cambria"/>
          <w:sz w:val="18"/>
          <w:szCs w:val="18"/>
        </w:rPr>
      </w:pPr>
      <w:r w:rsidRPr="00E07B65">
        <w:rPr>
          <w:rFonts w:ascii="Cambria" w:hAnsi="Cambria"/>
          <w:sz w:val="18"/>
          <w:szCs w:val="18"/>
        </w:rPr>
        <w:t>Was informed consent obtained from the subjects involved in the study?  YES</w:t>
      </w:r>
    </w:p>
    <w:p w:rsidR="0003218B" w:rsidRPr="00E07B65" w:rsidRDefault="0003218B" w:rsidP="00B65106">
      <w:pPr>
        <w:spacing w:after="0"/>
        <w:ind w:left="1134" w:right="170"/>
        <w:rPr>
          <w:rFonts w:ascii="Cambria" w:hAnsi="Cambria"/>
          <w:sz w:val="18"/>
          <w:szCs w:val="18"/>
        </w:rPr>
      </w:pPr>
      <w:r w:rsidRPr="00E07B65">
        <w:rPr>
          <w:rFonts w:ascii="Cambria" w:hAnsi="Cambria"/>
          <w:sz w:val="18"/>
          <w:szCs w:val="18"/>
        </w:rPr>
        <w:t>For any images presented appropriate consent has been obtained from the subjects: NA</w:t>
      </w:r>
    </w:p>
    <w:p w:rsidR="0003218B" w:rsidRPr="00E07B65" w:rsidRDefault="0003218B" w:rsidP="00B65106">
      <w:pPr>
        <w:spacing w:after="0"/>
        <w:ind w:left="1134" w:right="170"/>
        <w:rPr>
          <w:rFonts w:ascii="Cambria" w:hAnsi="Cambria"/>
          <w:sz w:val="18"/>
          <w:szCs w:val="18"/>
        </w:rPr>
      </w:pPr>
      <w:r>
        <w:rPr>
          <w:rFonts w:ascii="Cambria" w:hAnsi="Cambria"/>
          <w:sz w:val="18"/>
          <w:szCs w:val="18"/>
        </w:rPr>
        <w:t xml:space="preserve">Plagiarism Checked:  </w:t>
      </w:r>
      <w:proofErr w:type="spellStart"/>
      <w:r>
        <w:rPr>
          <w:rFonts w:ascii="Cambria" w:hAnsi="Cambria"/>
          <w:sz w:val="18"/>
          <w:szCs w:val="18"/>
        </w:rPr>
        <w:t>Plagramme</w:t>
      </w:r>
      <w:proofErr w:type="spellEnd"/>
      <w:r w:rsidRPr="00E07B65">
        <w:rPr>
          <w:rFonts w:ascii="Cambria" w:hAnsi="Cambria"/>
          <w:sz w:val="18"/>
          <w:szCs w:val="18"/>
        </w:rPr>
        <w:t xml:space="preserve"> Software </w:t>
      </w:r>
    </w:p>
    <w:p w:rsidR="0003218B" w:rsidRPr="00E07B65" w:rsidRDefault="0003218B" w:rsidP="00B65106">
      <w:pPr>
        <w:spacing w:after="0"/>
        <w:ind w:left="1134" w:right="170"/>
        <w:rPr>
          <w:rFonts w:ascii="Cambria" w:hAnsi="Cambria"/>
          <w:sz w:val="18"/>
          <w:szCs w:val="18"/>
        </w:rPr>
      </w:pPr>
    </w:p>
    <w:p w:rsidR="0003218B" w:rsidRPr="00E07B65" w:rsidRDefault="0003218B" w:rsidP="00B65106">
      <w:pPr>
        <w:spacing w:after="0"/>
        <w:ind w:left="1134" w:right="170"/>
        <w:rPr>
          <w:rFonts w:ascii="Cambria" w:hAnsi="Cambria"/>
          <w:spacing w:val="2"/>
          <w:sz w:val="18"/>
          <w:szCs w:val="18"/>
          <w:shd w:val="clear" w:color="auto" w:fill="FFFFFF"/>
        </w:rPr>
      </w:pPr>
      <w:r w:rsidRPr="00E07B65">
        <w:rPr>
          <w:rFonts w:ascii="Cambria" w:hAnsi="Cambria"/>
          <w:sz w:val="18"/>
          <w:szCs w:val="18"/>
        </w:rPr>
        <w:t xml:space="preserve">Author work published under </w:t>
      </w:r>
      <w:r w:rsidRPr="00E07B65">
        <w:rPr>
          <w:rFonts w:ascii="Cambria" w:hAnsi="Cambria"/>
          <w:spacing w:val="2"/>
          <w:sz w:val="18"/>
          <w:szCs w:val="18"/>
          <w:shd w:val="clear" w:color="auto" w:fill="FFFFFF"/>
        </w:rPr>
        <w:t>a Creative Commons Attribution 4.0 International License</w:t>
      </w:r>
    </w:p>
    <w:p w:rsidR="0003218B" w:rsidRPr="00E07B65" w:rsidRDefault="0003218B" w:rsidP="00B65106">
      <w:pPr>
        <w:spacing w:after="0"/>
        <w:ind w:left="1134" w:right="170"/>
        <w:rPr>
          <w:rFonts w:ascii="Cambria" w:hAnsi="Cambria" w:cs="Calibri Light"/>
          <w:bCs/>
          <w:sz w:val="18"/>
          <w:szCs w:val="18"/>
          <w:shd w:val="clear" w:color="auto" w:fill="FFFFFF"/>
        </w:rPr>
      </w:pPr>
      <w:r>
        <w:rPr>
          <w:noProof/>
          <w:lang w:eastAsia="en-IN"/>
        </w:rPr>
        <w:drawing>
          <wp:anchor distT="0" distB="0" distL="114300" distR="114300" simplePos="0" relativeHeight="251665408" behindDoc="0" locked="0" layoutInCell="1" allowOverlap="1" wp14:anchorId="7BE37624" wp14:editId="60382D2D">
            <wp:simplePos x="0" y="0"/>
            <wp:positionH relativeFrom="column">
              <wp:posOffset>762635</wp:posOffset>
            </wp:positionH>
            <wp:positionV relativeFrom="paragraph">
              <wp:posOffset>75565</wp:posOffset>
            </wp:positionV>
            <wp:extent cx="456565" cy="341630"/>
            <wp:effectExtent l="0" t="0" r="635" b="1270"/>
            <wp:wrapSquare wrapText="bothSides"/>
            <wp:docPr id="3" name="Picture 3"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18B" w:rsidRPr="00E07B65" w:rsidRDefault="0003218B" w:rsidP="00B65106">
      <w:pPr>
        <w:spacing w:after="0"/>
        <w:ind w:left="1134" w:right="170"/>
        <w:rPr>
          <w:rFonts w:ascii="Cambria" w:hAnsi="Cambria" w:cs="Calibri Light"/>
          <w:bCs/>
          <w:sz w:val="18"/>
          <w:szCs w:val="18"/>
          <w:shd w:val="clear" w:color="auto" w:fill="FFFFFF"/>
        </w:rPr>
      </w:pPr>
    </w:p>
    <w:p w:rsidR="0003218B" w:rsidRPr="00E07B65" w:rsidRDefault="0003218B" w:rsidP="00B65106">
      <w:pPr>
        <w:spacing w:after="0"/>
        <w:ind w:left="1134" w:right="170"/>
        <w:rPr>
          <w:rFonts w:ascii="Cambria" w:hAnsi="Cambria" w:cs="Calibri Light"/>
          <w:bCs/>
          <w:sz w:val="18"/>
          <w:szCs w:val="18"/>
          <w:shd w:val="clear" w:color="auto" w:fill="FFFFFF"/>
        </w:rPr>
      </w:pPr>
    </w:p>
    <w:p w:rsidR="0003218B" w:rsidRPr="00E07B65" w:rsidRDefault="0003218B" w:rsidP="00B65106">
      <w:pPr>
        <w:spacing w:after="0"/>
        <w:ind w:left="1134" w:right="170"/>
        <w:rPr>
          <w:rFonts w:ascii="Cambria" w:hAnsi="Cambria" w:cs="Calibri Light"/>
          <w:bCs/>
          <w:sz w:val="18"/>
          <w:szCs w:val="18"/>
          <w:shd w:val="clear" w:color="auto" w:fill="FFFFFF"/>
        </w:rPr>
      </w:pPr>
    </w:p>
    <w:p w:rsidR="0003218B" w:rsidRPr="00E07B65" w:rsidRDefault="00B65106" w:rsidP="00B65106">
      <w:pPr>
        <w:pStyle w:val="Header"/>
        <w:tabs>
          <w:tab w:val="left" w:pos="496"/>
        </w:tabs>
        <w:ind w:right="170"/>
        <w:rPr>
          <w:rFonts w:ascii="Times New Roman" w:hAnsi="Times New Roman"/>
          <w:sz w:val="20"/>
          <w:szCs w:val="20"/>
        </w:rPr>
      </w:pPr>
      <w:r>
        <w:rPr>
          <w:rFonts w:ascii="Cambria" w:hAnsi="Cambria" w:cs="Calibri Light"/>
          <w:bCs/>
          <w:sz w:val="18"/>
          <w:szCs w:val="18"/>
          <w:shd w:val="clear" w:color="auto" w:fill="FFFFFF"/>
        </w:rPr>
        <w:t xml:space="preserve">                           </w:t>
      </w:r>
      <w:r w:rsidR="0003218B" w:rsidRPr="00E07B65">
        <w:rPr>
          <w:rFonts w:ascii="Cambria" w:hAnsi="Cambria" w:cs="Calibri Light"/>
          <w:bCs/>
          <w:sz w:val="18"/>
          <w:szCs w:val="18"/>
          <w:shd w:val="clear" w:color="auto" w:fill="FFFFFF"/>
        </w:rPr>
        <w:t xml:space="preserve"> DOI: </w:t>
      </w:r>
      <w:r>
        <w:rPr>
          <w:rFonts w:ascii="Cambria" w:hAnsi="Cambria" w:cs="Calibri Light"/>
          <w:bCs/>
          <w:sz w:val="18"/>
          <w:szCs w:val="18"/>
          <w:shd w:val="clear" w:color="auto" w:fill="FFFFFF"/>
        </w:rPr>
        <w:t>10.36848/IJBAMR/2020/26215.55565</w:t>
      </w:r>
    </w:p>
    <w:p w:rsidR="004E639A" w:rsidRPr="0003218B" w:rsidRDefault="004E639A" w:rsidP="00B65106">
      <w:pPr>
        <w:pStyle w:val="BodyText"/>
        <w:spacing w:line="360" w:lineRule="auto"/>
        <w:ind w:left="1134" w:right="170"/>
        <w:jc w:val="both"/>
        <w:rPr>
          <w:sz w:val="20"/>
          <w:szCs w:val="20"/>
        </w:rPr>
      </w:pPr>
    </w:p>
    <w:sectPr w:rsidR="004E639A" w:rsidRPr="0003218B" w:rsidSect="0003218B">
      <w:headerReference w:type="default" r:id="rId9"/>
      <w:footerReference w:type="default" r:id="rId10"/>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7C" w:rsidRDefault="001F697C">
      <w:pPr>
        <w:spacing w:after="0" w:line="240" w:lineRule="auto"/>
      </w:pPr>
      <w:r>
        <w:separator/>
      </w:r>
    </w:p>
  </w:endnote>
  <w:endnote w:type="continuationSeparator" w:id="0">
    <w:p w:rsidR="001F697C" w:rsidRDefault="001F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03218B">
      <w:trPr>
        <w:trHeight w:val="360"/>
      </w:trPr>
      <w:tc>
        <w:tcPr>
          <w:tcW w:w="3500" w:type="pct"/>
        </w:tcPr>
        <w:p w:rsidR="0003218B" w:rsidRDefault="0003218B">
          <w:pPr>
            <w:pStyle w:val="Footer"/>
            <w:jc w:val="right"/>
          </w:pPr>
          <w:r w:rsidRPr="00E07B65">
            <w:t>www.ijbamr.com   P ISSN: 2250-284X, E ISSN: 2250-2858</w:t>
          </w:r>
        </w:p>
      </w:tc>
      <w:tc>
        <w:tcPr>
          <w:tcW w:w="1500" w:type="pct"/>
          <w:shd w:val="clear" w:color="auto" w:fill="8064A2" w:themeFill="accent4"/>
        </w:tcPr>
        <w:p w:rsidR="0003218B" w:rsidRDefault="0003218B">
          <w:pPr>
            <w:pStyle w:val="Footer"/>
            <w:jc w:val="right"/>
            <w:rPr>
              <w:color w:val="FFFFFF" w:themeColor="background1"/>
            </w:rPr>
          </w:pPr>
          <w:r>
            <w:fldChar w:fldCharType="begin"/>
          </w:r>
          <w:r>
            <w:instrText xml:space="preserve"> PAGE    \* MERGEFORMAT </w:instrText>
          </w:r>
          <w:r>
            <w:fldChar w:fldCharType="separate"/>
          </w:r>
          <w:r w:rsidR="00B65106" w:rsidRPr="00B65106">
            <w:rPr>
              <w:noProof/>
              <w:color w:val="FFFFFF" w:themeColor="background1"/>
            </w:rPr>
            <w:t>13</w:t>
          </w:r>
          <w:r>
            <w:rPr>
              <w:noProof/>
              <w:color w:val="FFFFFF" w:themeColor="background1"/>
            </w:rPr>
            <w:fldChar w:fldCharType="end"/>
          </w:r>
        </w:p>
      </w:tc>
    </w:tr>
  </w:tbl>
  <w:p w:rsidR="0003218B" w:rsidRDefault="0003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7C" w:rsidRDefault="001F697C">
      <w:pPr>
        <w:spacing w:after="0" w:line="240" w:lineRule="auto"/>
      </w:pPr>
      <w:r>
        <w:separator/>
      </w:r>
    </w:p>
  </w:footnote>
  <w:footnote w:type="continuationSeparator" w:id="0">
    <w:p w:rsidR="001F697C" w:rsidRDefault="001F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B" w:rsidRPr="0003218B" w:rsidRDefault="0003218B" w:rsidP="0003218B">
    <w:pPr>
      <w:tabs>
        <w:tab w:val="left" w:pos="496"/>
        <w:tab w:val="center" w:pos="4680"/>
        <w:tab w:val="right" w:pos="9360"/>
      </w:tabs>
      <w:spacing w:after="0" w:line="240" w:lineRule="auto"/>
      <w:ind w:right="-567"/>
      <w:jc w:val="both"/>
      <w:rPr>
        <w:rFonts w:ascii="Cambria" w:eastAsia="Cambria" w:hAnsi="Cambria" w:cs="Times New Roman"/>
        <w:sz w:val="18"/>
        <w:szCs w:val="18"/>
        <w:lang w:val="en-US"/>
      </w:rPr>
    </w:pPr>
    <w:r w:rsidRPr="0003218B">
      <w:rPr>
        <w:rFonts w:ascii="Cambria" w:eastAsia="Cambria" w:hAnsi="Cambria" w:cs="Times New Roman"/>
        <w:sz w:val="18"/>
        <w:szCs w:val="18"/>
        <w:lang w:val="en-US"/>
      </w:rPr>
      <w:t>Indian Journal of Basic and Applied Medical Research; Diagnostic Specialty Issue March 2021: Vol.-10, Issue- 2</w:t>
    </w:r>
    <w:proofErr w:type="gramStart"/>
    <w:r w:rsidRPr="0003218B">
      <w:rPr>
        <w:rFonts w:ascii="Cambria" w:eastAsia="Cambria" w:hAnsi="Cambria" w:cs="Times New Roman"/>
        <w:sz w:val="18"/>
        <w:szCs w:val="18"/>
        <w:lang w:val="en-US"/>
      </w:rPr>
      <w:t>,  P</w:t>
    </w:r>
    <w:proofErr w:type="gramEnd"/>
    <w:r w:rsidRPr="0003218B">
      <w:rPr>
        <w:rFonts w:ascii="Cambria" w:eastAsia="Cambria" w:hAnsi="Cambria" w:cs="Times New Roman"/>
        <w:sz w:val="18"/>
        <w:szCs w:val="18"/>
        <w:lang w:val="en-US"/>
      </w:rPr>
      <w:t xml:space="preserve">. </w:t>
    </w:r>
    <w:r w:rsidR="00B65106">
      <w:rPr>
        <w:rFonts w:ascii="Cambria" w:eastAsia="Cambria" w:hAnsi="Cambria" w:cs="Times New Roman"/>
        <w:sz w:val="18"/>
        <w:szCs w:val="18"/>
        <w:lang w:val="en-US"/>
      </w:rPr>
      <w:t xml:space="preserve">9 – 13 </w:t>
    </w:r>
  </w:p>
  <w:p w:rsidR="0003218B" w:rsidRPr="0003218B" w:rsidRDefault="0003218B" w:rsidP="0003218B">
    <w:pPr>
      <w:tabs>
        <w:tab w:val="left" w:pos="496"/>
        <w:tab w:val="center" w:pos="4680"/>
        <w:tab w:val="right" w:pos="9360"/>
      </w:tabs>
      <w:spacing w:after="0" w:line="240" w:lineRule="auto"/>
      <w:ind w:right="-567"/>
      <w:jc w:val="both"/>
      <w:rPr>
        <w:rFonts w:ascii="Cambria" w:eastAsia="Calibri" w:hAnsi="Cambria" w:cs="Times New Roman"/>
        <w:sz w:val="18"/>
        <w:szCs w:val="18"/>
        <w:lang w:val="en-US"/>
      </w:rPr>
    </w:pPr>
    <w:r w:rsidRPr="0003218B">
      <w:rPr>
        <w:rFonts w:ascii="Cambria" w:eastAsia="Calibri" w:hAnsi="Cambria" w:cs="Calibri Light"/>
        <w:bCs/>
        <w:sz w:val="18"/>
        <w:szCs w:val="18"/>
        <w:shd w:val="clear" w:color="auto" w:fill="FFFFFF"/>
        <w:lang w:val="en-US"/>
      </w:rPr>
      <w:t xml:space="preserve">DOI: </w:t>
    </w:r>
    <w:r>
      <w:rPr>
        <w:rFonts w:ascii="Cambria" w:eastAsia="Calibri" w:hAnsi="Cambria" w:cs="Calibri Light"/>
        <w:bCs/>
        <w:sz w:val="18"/>
        <w:szCs w:val="18"/>
        <w:shd w:val="clear" w:color="auto" w:fill="FFFFFF"/>
        <w:lang w:val="en-US"/>
      </w:rPr>
      <w:t>10.36848/IJBAMR/2020/26215.55565</w:t>
    </w:r>
  </w:p>
  <w:p w:rsidR="0003218B" w:rsidRDefault="0003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862"/>
    <w:multiLevelType w:val="hybridMultilevel"/>
    <w:tmpl w:val="2FC4CA5C"/>
    <w:lvl w:ilvl="0" w:tplc="A182A5FC">
      <w:start w:val="1"/>
      <w:numFmt w:val="decimal"/>
      <w:lvlText w:val="%1."/>
      <w:lvlJc w:val="left"/>
      <w:pPr>
        <w:ind w:left="820" w:hanging="240"/>
        <w:jc w:val="left"/>
      </w:pPr>
      <w:rPr>
        <w:rFonts w:hint="default"/>
        <w:spacing w:val="-5"/>
        <w:w w:val="99"/>
        <w:lang w:val="en-US" w:eastAsia="en-US" w:bidi="ar-SA"/>
      </w:rPr>
    </w:lvl>
    <w:lvl w:ilvl="1" w:tplc="68CCEACA">
      <w:start w:val="1"/>
      <w:numFmt w:val="decimal"/>
      <w:lvlText w:val="%2."/>
      <w:lvlJc w:val="left"/>
      <w:pPr>
        <w:ind w:left="4330" w:hanging="360"/>
        <w:jc w:val="left"/>
      </w:pPr>
      <w:rPr>
        <w:rFonts w:hint="default"/>
        <w:b/>
        <w:bCs/>
        <w:spacing w:val="-3"/>
        <w:w w:val="99"/>
        <w:lang w:val="en-US" w:eastAsia="en-US" w:bidi="ar-SA"/>
      </w:rPr>
    </w:lvl>
    <w:lvl w:ilvl="2" w:tplc="E180A1F6">
      <w:numFmt w:val="bullet"/>
      <w:lvlText w:val="•"/>
      <w:lvlJc w:val="left"/>
      <w:pPr>
        <w:ind w:left="1220" w:hanging="360"/>
      </w:pPr>
      <w:rPr>
        <w:rFonts w:hint="default"/>
        <w:lang w:val="en-US" w:eastAsia="en-US" w:bidi="ar-SA"/>
      </w:rPr>
    </w:lvl>
    <w:lvl w:ilvl="3" w:tplc="C302C32A">
      <w:numFmt w:val="bullet"/>
      <w:lvlText w:val="•"/>
      <w:lvlJc w:val="left"/>
      <w:pPr>
        <w:ind w:left="1300" w:hanging="360"/>
      </w:pPr>
      <w:rPr>
        <w:rFonts w:hint="default"/>
        <w:lang w:val="en-US" w:eastAsia="en-US" w:bidi="ar-SA"/>
      </w:rPr>
    </w:lvl>
    <w:lvl w:ilvl="4" w:tplc="BA84D7C6">
      <w:numFmt w:val="bullet"/>
      <w:lvlText w:val="•"/>
      <w:lvlJc w:val="left"/>
      <w:pPr>
        <w:ind w:left="2522" w:hanging="360"/>
      </w:pPr>
      <w:rPr>
        <w:rFonts w:hint="default"/>
        <w:lang w:val="en-US" w:eastAsia="en-US" w:bidi="ar-SA"/>
      </w:rPr>
    </w:lvl>
    <w:lvl w:ilvl="5" w:tplc="3DCE5C24">
      <w:numFmt w:val="bullet"/>
      <w:lvlText w:val="•"/>
      <w:lvlJc w:val="left"/>
      <w:pPr>
        <w:ind w:left="3745" w:hanging="360"/>
      </w:pPr>
      <w:rPr>
        <w:rFonts w:hint="default"/>
        <w:lang w:val="en-US" w:eastAsia="en-US" w:bidi="ar-SA"/>
      </w:rPr>
    </w:lvl>
    <w:lvl w:ilvl="6" w:tplc="3D601DB6">
      <w:numFmt w:val="bullet"/>
      <w:lvlText w:val="•"/>
      <w:lvlJc w:val="left"/>
      <w:pPr>
        <w:ind w:left="4968" w:hanging="360"/>
      </w:pPr>
      <w:rPr>
        <w:rFonts w:hint="default"/>
        <w:lang w:val="en-US" w:eastAsia="en-US" w:bidi="ar-SA"/>
      </w:rPr>
    </w:lvl>
    <w:lvl w:ilvl="7" w:tplc="27566780">
      <w:numFmt w:val="bullet"/>
      <w:lvlText w:val="•"/>
      <w:lvlJc w:val="left"/>
      <w:pPr>
        <w:ind w:left="6191" w:hanging="360"/>
      </w:pPr>
      <w:rPr>
        <w:rFonts w:hint="default"/>
        <w:lang w:val="en-US" w:eastAsia="en-US" w:bidi="ar-SA"/>
      </w:rPr>
    </w:lvl>
    <w:lvl w:ilvl="8" w:tplc="317239B8">
      <w:numFmt w:val="bullet"/>
      <w:lvlText w:val="•"/>
      <w:lvlJc w:val="left"/>
      <w:pPr>
        <w:ind w:left="7414" w:hanging="360"/>
      </w:pPr>
      <w:rPr>
        <w:rFonts w:hint="default"/>
        <w:lang w:val="en-US" w:eastAsia="en-US" w:bidi="ar-SA"/>
      </w:rPr>
    </w:lvl>
  </w:abstractNum>
  <w:abstractNum w:abstractNumId="1">
    <w:nsid w:val="3BED3CE6"/>
    <w:multiLevelType w:val="hybridMultilevel"/>
    <w:tmpl w:val="E96A0CBE"/>
    <w:lvl w:ilvl="0" w:tplc="29E8EDDC">
      <w:start w:val="1"/>
      <w:numFmt w:val="decimal"/>
      <w:lvlText w:val="%1]"/>
      <w:lvlJc w:val="left"/>
      <w:pPr>
        <w:ind w:left="1120" w:hanging="540"/>
        <w:jc w:val="left"/>
      </w:pPr>
      <w:rPr>
        <w:rFonts w:hint="default"/>
        <w:spacing w:val="-20"/>
        <w:w w:val="99"/>
        <w:lang w:val="en-US" w:eastAsia="en-US" w:bidi="ar-SA"/>
      </w:rPr>
    </w:lvl>
    <w:lvl w:ilvl="1" w:tplc="D62292A2">
      <w:start w:val="1"/>
      <w:numFmt w:val="decimal"/>
      <w:lvlText w:val="%2."/>
      <w:lvlJc w:val="left"/>
      <w:pPr>
        <w:ind w:left="1300" w:hanging="360"/>
        <w:jc w:val="left"/>
      </w:pPr>
      <w:rPr>
        <w:rFonts w:ascii="Times New Roman" w:eastAsia="Times New Roman" w:hAnsi="Times New Roman" w:cs="Times New Roman" w:hint="default"/>
        <w:spacing w:val="-3"/>
        <w:w w:val="99"/>
        <w:sz w:val="24"/>
        <w:szCs w:val="24"/>
        <w:lang w:val="en-US" w:eastAsia="en-US" w:bidi="ar-SA"/>
      </w:rPr>
    </w:lvl>
    <w:lvl w:ilvl="2" w:tplc="FED00384">
      <w:numFmt w:val="bullet"/>
      <w:lvlText w:val="•"/>
      <w:lvlJc w:val="left"/>
      <w:pPr>
        <w:ind w:left="2251" w:hanging="360"/>
      </w:pPr>
      <w:rPr>
        <w:rFonts w:hint="default"/>
        <w:lang w:val="en-US" w:eastAsia="en-US" w:bidi="ar-SA"/>
      </w:rPr>
    </w:lvl>
    <w:lvl w:ilvl="3" w:tplc="1AEC1F12">
      <w:numFmt w:val="bullet"/>
      <w:lvlText w:val="•"/>
      <w:lvlJc w:val="left"/>
      <w:pPr>
        <w:ind w:left="3202" w:hanging="360"/>
      </w:pPr>
      <w:rPr>
        <w:rFonts w:hint="default"/>
        <w:lang w:val="en-US" w:eastAsia="en-US" w:bidi="ar-SA"/>
      </w:rPr>
    </w:lvl>
    <w:lvl w:ilvl="4" w:tplc="44664A9E">
      <w:numFmt w:val="bullet"/>
      <w:lvlText w:val="•"/>
      <w:lvlJc w:val="left"/>
      <w:pPr>
        <w:ind w:left="4153" w:hanging="360"/>
      </w:pPr>
      <w:rPr>
        <w:rFonts w:hint="default"/>
        <w:lang w:val="en-US" w:eastAsia="en-US" w:bidi="ar-SA"/>
      </w:rPr>
    </w:lvl>
    <w:lvl w:ilvl="5" w:tplc="27C4D296">
      <w:numFmt w:val="bullet"/>
      <w:lvlText w:val="•"/>
      <w:lvlJc w:val="left"/>
      <w:pPr>
        <w:ind w:left="5104" w:hanging="360"/>
      </w:pPr>
      <w:rPr>
        <w:rFonts w:hint="default"/>
        <w:lang w:val="en-US" w:eastAsia="en-US" w:bidi="ar-SA"/>
      </w:rPr>
    </w:lvl>
    <w:lvl w:ilvl="6" w:tplc="5B10C6CE">
      <w:numFmt w:val="bullet"/>
      <w:lvlText w:val="•"/>
      <w:lvlJc w:val="left"/>
      <w:pPr>
        <w:ind w:left="6055" w:hanging="360"/>
      </w:pPr>
      <w:rPr>
        <w:rFonts w:hint="default"/>
        <w:lang w:val="en-US" w:eastAsia="en-US" w:bidi="ar-SA"/>
      </w:rPr>
    </w:lvl>
    <w:lvl w:ilvl="7" w:tplc="8ABCE4A6">
      <w:numFmt w:val="bullet"/>
      <w:lvlText w:val="•"/>
      <w:lvlJc w:val="left"/>
      <w:pPr>
        <w:ind w:left="7006" w:hanging="360"/>
      </w:pPr>
      <w:rPr>
        <w:rFonts w:hint="default"/>
        <w:lang w:val="en-US" w:eastAsia="en-US" w:bidi="ar-SA"/>
      </w:rPr>
    </w:lvl>
    <w:lvl w:ilvl="8" w:tplc="4FD4C696">
      <w:numFmt w:val="bullet"/>
      <w:lvlText w:val="•"/>
      <w:lvlJc w:val="left"/>
      <w:pPr>
        <w:ind w:left="7957" w:hanging="360"/>
      </w:pPr>
      <w:rPr>
        <w:rFonts w:hint="default"/>
        <w:lang w:val="en-US" w:eastAsia="en-US" w:bidi="ar-SA"/>
      </w:rPr>
    </w:lvl>
  </w:abstractNum>
  <w:abstractNum w:abstractNumId="2">
    <w:nsid w:val="46706F43"/>
    <w:multiLevelType w:val="hybridMultilevel"/>
    <w:tmpl w:val="6A06EFCE"/>
    <w:lvl w:ilvl="0" w:tplc="4009000F">
      <w:start w:val="1"/>
      <w:numFmt w:val="decimal"/>
      <w:lvlText w:val="%1."/>
      <w:lvlJc w:val="left"/>
      <w:pPr>
        <w:ind w:left="2020" w:hanging="360"/>
      </w:pPr>
    </w:lvl>
    <w:lvl w:ilvl="1" w:tplc="40090019" w:tentative="1">
      <w:start w:val="1"/>
      <w:numFmt w:val="lowerLetter"/>
      <w:lvlText w:val="%2."/>
      <w:lvlJc w:val="left"/>
      <w:pPr>
        <w:ind w:left="2740" w:hanging="360"/>
      </w:pPr>
    </w:lvl>
    <w:lvl w:ilvl="2" w:tplc="4009001B" w:tentative="1">
      <w:start w:val="1"/>
      <w:numFmt w:val="lowerRoman"/>
      <w:lvlText w:val="%3."/>
      <w:lvlJc w:val="right"/>
      <w:pPr>
        <w:ind w:left="3460" w:hanging="180"/>
      </w:pPr>
    </w:lvl>
    <w:lvl w:ilvl="3" w:tplc="4009000F" w:tentative="1">
      <w:start w:val="1"/>
      <w:numFmt w:val="decimal"/>
      <w:lvlText w:val="%4."/>
      <w:lvlJc w:val="left"/>
      <w:pPr>
        <w:ind w:left="4180" w:hanging="360"/>
      </w:pPr>
    </w:lvl>
    <w:lvl w:ilvl="4" w:tplc="40090019" w:tentative="1">
      <w:start w:val="1"/>
      <w:numFmt w:val="lowerLetter"/>
      <w:lvlText w:val="%5."/>
      <w:lvlJc w:val="left"/>
      <w:pPr>
        <w:ind w:left="4900" w:hanging="360"/>
      </w:pPr>
    </w:lvl>
    <w:lvl w:ilvl="5" w:tplc="4009001B" w:tentative="1">
      <w:start w:val="1"/>
      <w:numFmt w:val="lowerRoman"/>
      <w:lvlText w:val="%6."/>
      <w:lvlJc w:val="right"/>
      <w:pPr>
        <w:ind w:left="5620" w:hanging="180"/>
      </w:pPr>
    </w:lvl>
    <w:lvl w:ilvl="6" w:tplc="4009000F" w:tentative="1">
      <w:start w:val="1"/>
      <w:numFmt w:val="decimal"/>
      <w:lvlText w:val="%7."/>
      <w:lvlJc w:val="left"/>
      <w:pPr>
        <w:ind w:left="6340" w:hanging="360"/>
      </w:pPr>
    </w:lvl>
    <w:lvl w:ilvl="7" w:tplc="40090019" w:tentative="1">
      <w:start w:val="1"/>
      <w:numFmt w:val="lowerLetter"/>
      <w:lvlText w:val="%8."/>
      <w:lvlJc w:val="left"/>
      <w:pPr>
        <w:ind w:left="7060" w:hanging="360"/>
      </w:pPr>
    </w:lvl>
    <w:lvl w:ilvl="8" w:tplc="4009001B" w:tentative="1">
      <w:start w:val="1"/>
      <w:numFmt w:val="lowerRoman"/>
      <w:lvlText w:val="%9."/>
      <w:lvlJc w:val="right"/>
      <w:pPr>
        <w:ind w:left="77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78"/>
    <w:rsid w:val="0003218B"/>
    <w:rsid w:val="001F697C"/>
    <w:rsid w:val="002651B2"/>
    <w:rsid w:val="004E639A"/>
    <w:rsid w:val="00581FD7"/>
    <w:rsid w:val="00A23478"/>
    <w:rsid w:val="00B65106"/>
    <w:rsid w:val="00E31456"/>
    <w:rsid w:val="00F139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78"/>
  </w:style>
  <w:style w:type="paragraph" w:styleId="Heading2">
    <w:name w:val="heading 2"/>
    <w:basedOn w:val="Normal"/>
    <w:link w:val="Heading2Char"/>
    <w:uiPriority w:val="1"/>
    <w:qFormat/>
    <w:rsid w:val="004E639A"/>
    <w:pPr>
      <w:widowControl w:val="0"/>
      <w:autoSpaceDE w:val="0"/>
      <w:autoSpaceDN w:val="0"/>
      <w:spacing w:after="0" w:line="240" w:lineRule="auto"/>
      <w:ind w:left="5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39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E639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E639A"/>
    <w:pPr>
      <w:widowControl w:val="0"/>
      <w:autoSpaceDE w:val="0"/>
      <w:autoSpaceDN w:val="0"/>
      <w:spacing w:after="0" w:line="240" w:lineRule="auto"/>
      <w:ind w:left="1300" w:hanging="361"/>
      <w:jc w:val="both"/>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4E639A"/>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E639A"/>
    <w:pPr>
      <w:widowControl w:val="0"/>
      <w:autoSpaceDE w:val="0"/>
      <w:autoSpaceDN w:val="0"/>
      <w:spacing w:after="0" w:line="164" w:lineRule="exact"/>
      <w:jc w:val="center"/>
    </w:pPr>
    <w:rPr>
      <w:rFonts w:ascii="Times New Roman" w:eastAsia="Times New Roman" w:hAnsi="Times New Roman" w:cs="Times New Roman"/>
      <w:lang w:val="en-US"/>
    </w:rPr>
  </w:style>
  <w:style w:type="paragraph" w:styleId="Header">
    <w:name w:val="header"/>
    <w:aliases w:val="Char"/>
    <w:basedOn w:val="Normal"/>
    <w:link w:val="HeaderChar"/>
    <w:uiPriority w:val="99"/>
    <w:unhideWhenUsed/>
    <w:qFormat/>
    <w:rsid w:val="0003218B"/>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03218B"/>
  </w:style>
  <w:style w:type="paragraph" w:styleId="Footer">
    <w:name w:val="footer"/>
    <w:basedOn w:val="Normal"/>
    <w:link w:val="FooterChar"/>
    <w:uiPriority w:val="99"/>
    <w:unhideWhenUsed/>
    <w:rsid w:val="0003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8B"/>
  </w:style>
  <w:style w:type="paragraph" w:styleId="BalloonText">
    <w:name w:val="Balloon Text"/>
    <w:basedOn w:val="Normal"/>
    <w:link w:val="BalloonTextChar"/>
    <w:uiPriority w:val="99"/>
    <w:semiHidden/>
    <w:unhideWhenUsed/>
    <w:rsid w:val="00B6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78"/>
  </w:style>
  <w:style w:type="paragraph" w:styleId="Heading2">
    <w:name w:val="heading 2"/>
    <w:basedOn w:val="Normal"/>
    <w:link w:val="Heading2Char"/>
    <w:uiPriority w:val="1"/>
    <w:qFormat/>
    <w:rsid w:val="004E639A"/>
    <w:pPr>
      <w:widowControl w:val="0"/>
      <w:autoSpaceDE w:val="0"/>
      <w:autoSpaceDN w:val="0"/>
      <w:spacing w:after="0" w:line="240" w:lineRule="auto"/>
      <w:ind w:left="5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39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E639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E639A"/>
    <w:pPr>
      <w:widowControl w:val="0"/>
      <w:autoSpaceDE w:val="0"/>
      <w:autoSpaceDN w:val="0"/>
      <w:spacing w:after="0" w:line="240" w:lineRule="auto"/>
      <w:ind w:left="1300" w:hanging="361"/>
      <w:jc w:val="both"/>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4E639A"/>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E639A"/>
    <w:pPr>
      <w:widowControl w:val="0"/>
      <w:autoSpaceDE w:val="0"/>
      <w:autoSpaceDN w:val="0"/>
      <w:spacing w:after="0" w:line="164" w:lineRule="exact"/>
      <w:jc w:val="center"/>
    </w:pPr>
    <w:rPr>
      <w:rFonts w:ascii="Times New Roman" w:eastAsia="Times New Roman" w:hAnsi="Times New Roman" w:cs="Times New Roman"/>
      <w:lang w:val="en-US"/>
    </w:rPr>
  </w:style>
  <w:style w:type="paragraph" w:styleId="Header">
    <w:name w:val="header"/>
    <w:aliases w:val="Char"/>
    <w:basedOn w:val="Normal"/>
    <w:link w:val="HeaderChar"/>
    <w:uiPriority w:val="99"/>
    <w:unhideWhenUsed/>
    <w:qFormat/>
    <w:rsid w:val="0003218B"/>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03218B"/>
  </w:style>
  <w:style w:type="paragraph" w:styleId="Footer">
    <w:name w:val="footer"/>
    <w:basedOn w:val="Normal"/>
    <w:link w:val="FooterChar"/>
    <w:uiPriority w:val="99"/>
    <w:unhideWhenUsed/>
    <w:rsid w:val="0003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8B"/>
  </w:style>
  <w:style w:type="paragraph" w:styleId="BalloonText">
    <w:name w:val="Balloon Text"/>
    <w:basedOn w:val="Normal"/>
    <w:link w:val="BalloonTextChar"/>
    <w:uiPriority w:val="99"/>
    <w:semiHidden/>
    <w:unhideWhenUsed/>
    <w:rsid w:val="00B6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194">
      <w:bodyDiv w:val="1"/>
      <w:marLeft w:val="0"/>
      <w:marRight w:val="0"/>
      <w:marTop w:val="0"/>
      <w:marBottom w:val="0"/>
      <w:divBdr>
        <w:top w:val="none" w:sz="0" w:space="0" w:color="auto"/>
        <w:left w:val="none" w:sz="0" w:space="0" w:color="auto"/>
        <w:bottom w:val="none" w:sz="0" w:space="0" w:color="auto"/>
        <w:right w:val="none" w:sz="0" w:space="0" w:color="auto"/>
      </w:divBdr>
      <w:divsChild>
        <w:div w:id="1614903341">
          <w:marLeft w:val="0"/>
          <w:marRight w:val="0"/>
          <w:marTop w:val="0"/>
          <w:marBottom w:val="0"/>
          <w:divBdr>
            <w:top w:val="none" w:sz="0" w:space="0" w:color="auto"/>
            <w:left w:val="none" w:sz="0" w:space="0" w:color="auto"/>
            <w:bottom w:val="none" w:sz="0" w:space="0" w:color="auto"/>
            <w:right w:val="none" w:sz="0" w:space="0" w:color="auto"/>
          </w:divBdr>
        </w:div>
      </w:divsChild>
    </w:div>
    <w:div w:id="1468938945">
      <w:bodyDiv w:val="1"/>
      <w:marLeft w:val="0"/>
      <w:marRight w:val="0"/>
      <w:marTop w:val="0"/>
      <w:marBottom w:val="0"/>
      <w:divBdr>
        <w:top w:val="none" w:sz="0" w:space="0" w:color="auto"/>
        <w:left w:val="none" w:sz="0" w:space="0" w:color="auto"/>
        <w:bottom w:val="none" w:sz="0" w:space="0" w:color="auto"/>
        <w:right w:val="none" w:sz="0" w:space="0" w:color="auto"/>
      </w:divBdr>
      <w:divsChild>
        <w:div w:id="68047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2021-06-01T11:02:00Z</cp:lastPrinted>
  <dcterms:created xsi:type="dcterms:W3CDTF">2021-06-01T10:50:00Z</dcterms:created>
  <dcterms:modified xsi:type="dcterms:W3CDTF">2021-06-01T11:03:00Z</dcterms:modified>
</cp:coreProperties>
</file>