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A7" w:rsidRPr="00F47655" w:rsidRDefault="007516A7" w:rsidP="00EE461B">
      <w:pPr>
        <w:spacing w:after="0" w:line="360" w:lineRule="auto"/>
        <w:rPr>
          <w:rFonts w:asciiTheme="majorHAnsi" w:hAnsiTheme="majorHAnsi" w:cs="Times New Roman"/>
          <w:b/>
          <w:sz w:val="24"/>
          <w:szCs w:val="24"/>
        </w:rPr>
      </w:pPr>
      <w:r w:rsidRPr="00F47655">
        <w:rPr>
          <w:rFonts w:asciiTheme="majorHAnsi" w:hAnsiTheme="majorHAnsi" w:cs="Times New Roman"/>
          <w:b/>
          <w:sz w:val="24"/>
          <w:szCs w:val="24"/>
          <w:highlight w:val="lightGray"/>
        </w:rPr>
        <w:t>Original article</w:t>
      </w:r>
    </w:p>
    <w:p w:rsidR="00F550CA" w:rsidRPr="00EE461B" w:rsidRDefault="007516A7" w:rsidP="00EE461B">
      <w:pPr>
        <w:spacing w:after="0" w:line="360" w:lineRule="auto"/>
        <w:rPr>
          <w:rFonts w:asciiTheme="majorHAnsi" w:hAnsiTheme="majorHAnsi" w:cs="Times New Roman"/>
          <w:b/>
          <w:color w:val="0070C0"/>
          <w:sz w:val="28"/>
          <w:szCs w:val="28"/>
        </w:rPr>
      </w:pPr>
      <w:r w:rsidRPr="00EE461B">
        <w:rPr>
          <w:rFonts w:asciiTheme="majorHAnsi" w:hAnsiTheme="majorHAnsi" w:cs="Times New Roman"/>
          <w:b/>
          <w:color w:val="0070C0"/>
          <w:sz w:val="28"/>
          <w:szCs w:val="28"/>
        </w:rPr>
        <w:t>A Clinicohematological study of Leucopenia : Observational study</w:t>
      </w:r>
    </w:p>
    <w:p w:rsidR="00F47655" w:rsidRPr="00F47655" w:rsidRDefault="00F47655" w:rsidP="00EE461B">
      <w:pPr>
        <w:spacing w:after="0" w:line="360" w:lineRule="auto"/>
        <w:rPr>
          <w:rFonts w:asciiTheme="majorHAnsi" w:hAnsiTheme="majorHAnsi" w:cs="Times New Roman"/>
          <w:b/>
          <w:sz w:val="20"/>
          <w:szCs w:val="20"/>
        </w:rPr>
      </w:pPr>
      <w:r w:rsidRPr="00F47655">
        <w:rPr>
          <w:rFonts w:asciiTheme="majorHAnsi" w:hAnsiTheme="majorHAnsi" w:cs="Times New Roman"/>
          <w:b/>
          <w:sz w:val="20"/>
          <w:szCs w:val="20"/>
          <w:vertAlign w:val="superscript"/>
        </w:rPr>
        <w:t>1</w:t>
      </w:r>
      <w:r w:rsidR="00FA4769" w:rsidRPr="00F47655">
        <w:rPr>
          <w:rFonts w:asciiTheme="majorHAnsi" w:hAnsiTheme="majorHAnsi" w:cs="Times New Roman"/>
          <w:b/>
          <w:sz w:val="20"/>
          <w:szCs w:val="20"/>
        </w:rPr>
        <w:t>Dr Seema Patel</w:t>
      </w:r>
      <w:r w:rsidRPr="00F47655">
        <w:rPr>
          <w:rFonts w:asciiTheme="majorHAnsi" w:hAnsiTheme="majorHAnsi" w:cs="Times New Roman"/>
          <w:b/>
          <w:sz w:val="20"/>
          <w:szCs w:val="20"/>
        </w:rPr>
        <w:t xml:space="preserve"> , </w:t>
      </w:r>
      <w:r w:rsidRPr="00F47655">
        <w:rPr>
          <w:rFonts w:asciiTheme="majorHAnsi" w:hAnsiTheme="majorHAnsi" w:cs="Times New Roman"/>
          <w:b/>
          <w:sz w:val="20"/>
          <w:szCs w:val="20"/>
          <w:vertAlign w:val="superscript"/>
        </w:rPr>
        <w:t>2</w:t>
      </w:r>
      <w:r w:rsidRPr="00F47655">
        <w:rPr>
          <w:rFonts w:asciiTheme="majorHAnsi" w:hAnsiTheme="majorHAnsi" w:cs="Times New Roman"/>
          <w:b/>
          <w:sz w:val="20"/>
          <w:szCs w:val="20"/>
        </w:rPr>
        <w:t xml:space="preserve"> Dr. Divya Khunt</w:t>
      </w:r>
    </w:p>
    <w:p w:rsidR="00FA4769" w:rsidRPr="00F47655" w:rsidRDefault="00FA4769" w:rsidP="00EE461B">
      <w:pPr>
        <w:spacing w:after="0" w:line="360" w:lineRule="auto"/>
        <w:rPr>
          <w:rFonts w:asciiTheme="majorHAnsi" w:hAnsiTheme="majorHAnsi" w:cs="Times New Roman"/>
          <w:b/>
          <w:sz w:val="20"/>
          <w:szCs w:val="20"/>
        </w:rPr>
      </w:pPr>
    </w:p>
    <w:p w:rsidR="00FA4769" w:rsidRPr="00F47655" w:rsidRDefault="00EE461B" w:rsidP="00EE461B">
      <w:pPr>
        <w:spacing w:after="0" w:line="360" w:lineRule="auto"/>
        <w:rPr>
          <w:rFonts w:asciiTheme="majorHAnsi" w:hAnsiTheme="majorHAnsi" w:cs="Times New Roman"/>
          <w:sz w:val="18"/>
          <w:szCs w:val="18"/>
        </w:rPr>
      </w:pPr>
      <w:r w:rsidRPr="00EE461B">
        <w:rPr>
          <w:rFonts w:asciiTheme="majorHAnsi" w:hAnsiTheme="majorHAnsi" w:cs="Times New Roman"/>
          <w:sz w:val="18"/>
          <w:szCs w:val="18"/>
          <w:vertAlign w:val="superscript"/>
        </w:rPr>
        <w:t>1</w:t>
      </w:r>
      <w:r w:rsidR="00FA4769" w:rsidRPr="00F47655">
        <w:rPr>
          <w:rFonts w:asciiTheme="majorHAnsi" w:hAnsiTheme="majorHAnsi" w:cs="Times New Roman"/>
          <w:sz w:val="18"/>
          <w:szCs w:val="18"/>
        </w:rPr>
        <w:t>Assistant Professor</w:t>
      </w:r>
      <w:r w:rsidR="00F47655" w:rsidRPr="00F47655">
        <w:rPr>
          <w:rFonts w:asciiTheme="majorHAnsi" w:hAnsiTheme="majorHAnsi" w:cs="Times New Roman"/>
          <w:sz w:val="18"/>
          <w:szCs w:val="18"/>
        </w:rPr>
        <w:t xml:space="preserve">, </w:t>
      </w:r>
      <w:r w:rsidR="00FA4769" w:rsidRPr="00F47655">
        <w:rPr>
          <w:rFonts w:asciiTheme="majorHAnsi" w:hAnsiTheme="majorHAnsi" w:cs="Times New Roman"/>
          <w:sz w:val="18"/>
          <w:szCs w:val="18"/>
        </w:rPr>
        <w:t>Department of Pathology</w:t>
      </w:r>
      <w:r w:rsidR="00F47655" w:rsidRPr="00F47655">
        <w:rPr>
          <w:rFonts w:asciiTheme="majorHAnsi" w:hAnsiTheme="majorHAnsi" w:cs="Times New Roman"/>
          <w:sz w:val="18"/>
          <w:szCs w:val="18"/>
        </w:rPr>
        <w:t xml:space="preserve">, </w:t>
      </w:r>
      <w:r w:rsidR="00FA4769" w:rsidRPr="00F47655">
        <w:rPr>
          <w:rFonts w:asciiTheme="majorHAnsi" w:hAnsiTheme="majorHAnsi" w:cs="Times New Roman"/>
          <w:sz w:val="18"/>
          <w:szCs w:val="18"/>
        </w:rPr>
        <w:t>Index Medical College, Hospital and Research Centre ,Indore</w:t>
      </w:r>
    </w:p>
    <w:p w:rsidR="00FA4769" w:rsidRPr="00F47655" w:rsidRDefault="00EE461B" w:rsidP="00EE461B">
      <w:pPr>
        <w:spacing w:after="0" w:line="360" w:lineRule="auto"/>
        <w:rPr>
          <w:rFonts w:asciiTheme="majorHAnsi" w:hAnsiTheme="majorHAnsi" w:cs="Times New Roman"/>
          <w:sz w:val="18"/>
          <w:szCs w:val="18"/>
        </w:rPr>
      </w:pPr>
      <w:r w:rsidRPr="00EE461B">
        <w:rPr>
          <w:rFonts w:asciiTheme="majorHAnsi" w:hAnsiTheme="majorHAnsi" w:cs="Times New Roman"/>
          <w:sz w:val="18"/>
          <w:szCs w:val="18"/>
          <w:vertAlign w:val="superscript"/>
        </w:rPr>
        <w:t>2</w:t>
      </w:r>
      <w:r>
        <w:rPr>
          <w:rFonts w:asciiTheme="majorHAnsi" w:hAnsiTheme="majorHAnsi" w:cs="Times New Roman"/>
          <w:sz w:val="18"/>
          <w:szCs w:val="18"/>
        </w:rPr>
        <w:t>Assistant P</w:t>
      </w:r>
      <w:r w:rsidR="00FA4769" w:rsidRPr="00F47655">
        <w:rPr>
          <w:rFonts w:asciiTheme="majorHAnsi" w:hAnsiTheme="majorHAnsi" w:cs="Times New Roman"/>
          <w:sz w:val="18"/>
          <w:szCs w:val="18"/>
        </w:rPr>
        <w:t>rofessor</w:t>
      </w:r>
      <w:r w:rsidR="00F47655" w:rsidRPr="00F47655">
        <w:rPr>
          <w:rFonts w:asciiTheme="majorHAnsi" w:hAnsiTheme="majorHAnsi" w:cs="Times New Roman"/>
          <w:sz w:val="18"/>
          <w:szCs w:val="18"/>
        </w:rPr>
        <w:t xml:space="preserve">, </w:t>
      </w:r>
      <w:r w:rsidR="00FA4769" w:rsidRPr="00F47655">
        <w:rPr>
          <w:rFonts w:asciiTheme="majorHAnsi" w:hAnsiTheme="majorHAnsi" w:cs="Times New Roman"/>
          <w:sz w:val="18"/>
          <w:szCs w:val="18"/>
        </w:rPr>
        <w:t xml:space="preserve">M P Shah </w:t>
      </w:r>
      <w:r w:rsidRPr="00F47655">
        <w:rPr>
          <w:rFonts w:asciiTheme="majorHAnsi" w:hAnsiTheme="majorHAnsi" w:cs="Times New Roman"/>
          <w:sz w:val="18"/>
          <w:szCs w:val="18"/>
        </w:rPr>
        <w:t>Govt Medical College,</w:t>
      </w:r>
      <w:r>
        <w:rPr>
          <w:rFonts w:asciiTheme="majorHAnsi" w:hAnsiTheme="majorHAnsi" w:cs="Times New Roman"/>
          <w:sz w:val="18"/>
          <w:szCs w:val="18"/>
        </w:rPr>
        <w:t xml:space="preserve"> </w:t>
      </w:r>
      <w:r w:rsidR="00FA4769" w:rsidRPr="00F47655">
        <w:rPr>
          <w:rFonts w:asciiTheme="majorHAnsi" w:hAnsiTheme="majorHAnsi" w:cs="Times New Roman"/>
          <w:sz w:val="18"/>
          <w:szCs w:val="18"/>
        </w:rPr>
        <w:t>Jamnagar</w:t>
      </w:r>
    </w:p>
    <w:p w:rsidR="00F47655" w:rsidRPr="00F47655" w:rsidRDefault="00F47655" w:rsidP="00EE461B">
      <w:pPr>
        <w:spacing w:after="0" w:line="360" w:lineRule="auto"/>
        <w:rPr>
          <w:rFonts w:asciiTheme="majorHAnsi" w:hAnsiTheme="majorHAnsi" w:cs="Times New Roman"/>
          <w:sz w:val="18"/>
          <w:szCs w:val="18"/>
        </w:rPr>
      </w:pPr>
      <w:r w:rsidRPr="00F47655">
        <w:rPr>
          <w:rFonts w:asciiTheme="majorHAnsi" w:hAnsiTheme="majorHAnsi" w:cs="Times New Roman"/>
          <w:sz w:val="18"/>
          <w:szCs w:val="18"/>
        </w:rPr>
        <w:t xml:space="preserve">Corresponding </w:t>
      </w:r>
      <w:r w:rsidR="00EE461B" w:rsidRPr="00F47655">
        <w:rPr>
          <w:rFonts w:asciiTheme="majorHAnsi" w:hAnsiTheme="majorHAnsi" w:cs="Times New Roman"/>
          <w:sz w:val="18"/>
          <w:szCs w:val="18"/>
        </w:rPr>
        <w:t>author:</w:t>
      </w:r>
      <w:r w:rsidRPr="00F47655">
        <w:rPr>
          <w:rFonts w:asciiTheme="majorHAnsi" w:hAnsiTheme="majorHAnsi" w:cs="Times New Roman"/>
          <w:sz w:val="18"/>
          <w:szCs w:val="18"/>
        </w:rPr>
        <w:t xml:space="preserve"> Dr. Divya Khunt</w:t>
      </w:r>
    </w:p>
    <w:p w:rsidR="00FA4769" w:rsidRPr="00F47655" w:rsidRDefault="00FA4769" w:rsidP="00EE461B">
      <w:pPr>
        <w:spacing w:after="0" w:line="360" w:lineRule="auto"/>
        <w:jc w:val="center"/>
        <w:rPr>
          <w:rFonts w:ascii="Times New Roman" w:hAnsi="Times New Roman" w:cs="Times New Roman"/>
          <w:sz w:val="18"/>
          <w:szCs w:val="18"/>
        </w:rPr>
      </w:pPr>
    </w:p>
    <w:p w:rsidR="00FA4769" w:rsidRPr="00AB5F99" w:rsidRDefault="00FA4769" w:rsidP="00EE461B">
      <w:pPr>
        <w:spacing w:after="0" w:line="360" w:lineRule="auto"/>
        <w:jc w:val="center"/>
        <w:rPr>
          <w:rFonts w:ascii="Times New Roman" w:hAnsi="Times New Roman" w:cs="Times New Roman"/>
          <w:b/>
          <w:sz w:val="24"/>
          <w:szCs w:val="24"/>
        </w:rPr>
      </w:pPr>
    </w:p>
    <w:p w:rsidR="007516A7" w:rsidRPr="00BC52AC" w:rsidRDefault="007516A7"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Abstract:</w:t>
      </w:r>
    </w:p>
    <w:p w:rsidR="007516A7" w:rsidRPr="00EE461B" w:rsidRDefault="007516A7" w:rsidP="00EE461B">
      <w:pPr>
        <w:spacing w:after="0" w:line="360" w:lineRule="auto"/>
        <w:jc w:val="both"/>
        <w:rPr>
          <w:rFonts w:ascii="Times New Roman" w:hAnsi="Times New Roman" w:cs="Times New Roman"/>
          <w:sz w:val="18"/>
          <w:szCs w:val="18"/>
        </w:rPr>
      </w:pPr>
      <w:r w:rsidRPr="00EE461B">
        <w:rPr>
          <w:rFonts w:ascii="Times New Roman" w:hAnsi="Times New Roman" w:cs="Times New Roman"/>
          <w:i/>
          <w:iCs/>
          <w:sz w:val="18"/>
          <w:szCs w:val="18"/>
        </w:rPr>
        <w:t>Background:</w:t>
      </w:r>
      <w:r w:rsidRPr="00EE461B">
        <w:rPr>
          <w:rFonts w:ascii="Times New Roman" w:hAnsi="Times New Roman" w:cs="Times New Roman"/>
          <w:sz w:val="18"/>
          <w:szCs w:val="18"/>
        </w:rPr>
        <w:t xml:space="preserve"> Leucopenia, characterized by a diminished white blood cell count, poses a multifaceted clinical challenge. This observational study aimed to investigate clinicohematological aspects, encompassing 40 patients over a one-year duration, to enhance understanding and guide clinical management.</w:t>
      </w:r>
    </w:p>
    <w:p w:rsidR="007516A7" w:rsidRPr="00EE461B" w:rsidRDefault="007516A7" w:rsidP="00EE461B">
      <w:pPr>
        <w:spacing w:after="0" w:line="360" w:lineRule="auto"/>
        <w:jc w:val="both"/>
        <w:rPr>
          <w:rFonts w:ascii="Times New Roman" w:hAnsi="Times New Roman" w:cs="Times New Roman"/>
          <w:sz w:val="18"/>
          <w:szCs w:val="18"/>
        </w:rPr>
      </w:pPr>
      <w:r w:rsidRPr="00EE461B">
        <w:rPr>
          <w:rFonts w:ascii="Times New Roman" w:hAnsi="Times New Roman" w:cs="Times New Roman"/>
          <w:i/>
          <w:iCs/>
          <w:sz w:val="18"/>
          <w:szCs w:val="18"/>
        </w:rPr>
        <w:t>Methods:</w:t>
      </w:r>
      <w:r w:rsidRPr="00EE461B">
        <w:rPr>
          <w:rFonts w:ascii="Times New Roman" w:hAnsi="Times New Roman" w:cs="Times New Roman"/>
          <w:sz w:val="18"/>
          <w:szCs w:val="18"/>
        </w:rPr>
        <w:t xml:space="preserve"> Retrospectively analyzing medical records, demographics, etiological factors, clinical presentations, hematological parameters, and treatment outcomes were assessed. Statistical analyses were applied to discern patterns and correlations.</w:t>
      </w:r>
    </w:p>
    <w:p w:rsidR="007516A7" w:rsidRPr="00EE461B" w:rsidRDefault="007516A7" w:rsidP="00EE461B">
      <w:pPr>
        <w:spacing w:after="0" w:line="360" w:lineRule="auto"/>
        <w:jc w:val="both"/>
        <w:rPr>
          <w:rFonts w:ascii="Times New Roman" w:hAnsi="Times New Roman" w:cs="Times New Roman"/>
          <w:sz w:val="18"/>
          <w:szCs w:val="18"/>
        </w:rPr>
      </w:pPr>
      <w:r w:rsidRPr="00EE461B">
        <w:rPr>
          <w:rFonts w:ascii="Times New Roman" w:hAnsi="Times New Roman" w:cs="Times New Roman"/>
          <w:i/>
          <w:iCs/>
          <w:sz w:val="18"/>
          <w:szCs w:val="18"/>
        </w:rPr>
        <w:t>Results:</w:t>
      </w:r>
      <w:r w:rsidRPr="00EE461B">
        <w:rPr>
          <w:rFonts w:ascii="Times New Roman" w:hAnsi="Times New Roman" w:cs="Times New Roman"/>
          <w:sz w:val="18"/>
          <w:szCs w:val="18"/>
        </w:rPr>
        <w:t xml:space="preserve"> Viral infections (37.5%) and drug-induced causes (20%) were predominant, emphasizing the need for a thorough infectious disease workup and medication review. Fatigue (70%) and fever (50%) were prevalent symptoms, showcasing the diverse clinical spectrum. Hematological parameters revealed variations, necessitating comprehensive assessments for tailored interventions. Antiviral medications demonstrated the highest response rate (80%), emphasizing targeted therapy's efficacy.</w:t>
      </w:r>
    </w:p>
    <w:p w:rsidR="007516A7" w:rsidRPr="00EE461B" w:rsidRDefault="007516A7" w:rsidP="00EE461B">
      <w:pPr>
        <w:spacing w:after="0" w:line="360" w:lineRule="auto"/>
        <w:jc w:val="both"/>
        <w:rPr>
          <w:rFonts w:ascii="Times New Roman" w:hAnsi="Times New Roman" w:cs="Times New Roman"/>
          <w:sz w:val="18"/>
          <w:szCs w:val="18"/>
        </w:rPr>
      </w:pPr>
      <w:r w:rsidRPr="00EE461B">
        <w:rPr>
          <w:rFonts w:ascii="Times New Roman" w:hAnsi="Times New Roman" w:cs="Times New Roman"/>
          <w:i/>
          <w:iCs/>
          <w:sz w:val="18"/>
          <w:szCs w:val="18"/>
        </w:rPr>
        <w:t>Conclusion:</w:t>
      </w:r>
      <w:r w:rsidRPr="00EE461B">
        <w:rPr>
          <w:rFonts w:ascii="Times New Roman" w:hAnsi="Times New Roman" w:cs="Times New Roman"/>
          <w:sz w:val="18"/>
          <w:szCs w:val="18"/>
        </w:rPr>
        <w:t xml:space="preserve"> This study provides comprehensive insights into leucopenia, highlighting demographic variations, etiological diversity, and clinical implications. The findings guide clinicians in diagnostic and therapeutic decision-making, emphasizing the importance of a systematic approach in leucopenic patients.</w:t>
      </w:r>
    </w:p>
    <w:p w:rsidR="007516A7" w:rsidRDefault="007516A7" w:rsidP="00EE461B">
      <w:pPr>
        <w:spacing w:after="0" w:line="360" w:lineRule="auto"/>
        <w:jc w:val="both"/>
        <w:rPr>
          <w:rFonts w:ascii="Times New Roman" w:hAnsi="Times New Roman" w:cs="Times New Roman"/>
          <w:sz w:val="18"/>
          <w:szCs w:val="18"/>
        </w:rPr>
      </w:pPr>
      <w:r w:rsidRPr="00EE461B">
        <w:rPr>
          <w:rFonts w:ascii="Times New Roman" w:hAnsi="Times New Roman" w:cs="Times New Roman"/>
          <w:b/>
          <w:bCs/>
          <w:sz w:val="18"/>
          <w:szCs w:val="18"/>
        </w:rPr>
        <w:t>Keywords:</w:t>
      </w:r>
      <w:r w:rsidRPr="00EE461B">
        <w:rPr>
          <w:rFonts w:ascii="Times New Roman" w:hAnsi="Times New Roman" w:cs="Times New Roman"/>
          <w:sz w:val="18"/>
          <w:szCs w:val="18"/>
        </w:rPr>
        <w:t xml:space="preserve"> Leucopenia, clinicohematological study, retrospective analysis.</w:t>
      </w:r>
    </w:p>
    <w:p w:rsidR="00EE461B" w:rsidRDefault="00EE461B" w:rsidP="00EE461B">
      <w:pPr>
        <w:spacing w:after="0" w:line="360" w:lineRule="auto"/>
        <w:jc w:val="both"/>
        <w:rPr>
          <w:rFonts w:ascii="Times New Roman" w:hAnsi="Times New Roman" w:cs="Times New Roman"/>
          <w:sz w:val="18"/>
          <w:szCs w:val="18"/>
        </w:rPr>
      </w:pPr>
    </w:p>
    <w:p w:rsidR="00EE461B" w:rsidRPr="00EE461B" w:rsidRDefault="00EE461B" w:rsidP="00EE461B">
      <w:pPr>
        <w:spacing w:after="0" w:line="360" w:lineRule="auto"/>
        <w:jc w:val="both"/>
        <w:rPr>
          <w:rFonts w:ascii="Times New Roman" w:hAnsi="Times New Roman" w:cs="Times New Roman"/>
          <w:b/>
          <w:sz w:val="20"/>
          <w:szCs w:val="20"/>
        </w:rPr>
      </w:pPr>
      <w:r w:rsidRPr="00EE461B">
        <w:rPr>
          <w:rFonts w:ascii="Times New Roman" w:hAnsi="Times New Roman" w:cs="Times New Roman"/>
          <w:b/>
          <w:sz w:val="20"/>
          <w:szCs w:val="20"/>
        </w:rPr>
        <w:t xml:space="preserve">Introduction: </w:t>
      </w:r>
    </w:p>
    <w:p w:rsidR="007516A7" w:rsidRPr="00BC52AC" w:rsidRDefault="00410CB6" w:rsidP="00EE461B">
      <w:pPr>
        <w:spacing w:after="0" w:line="360" w:lineRule="auto"/>
        <w:jc w:val="both"/>
        <w:rPr>
          <w:rFonts w:ascii="Times New Roman" w:hAnsi="Times New Roman" w:cs="Times New Roman"/>
          <w:sz w:val="20"/>
          <w:szCs w:val="20"/>
        </w:rPr>
      </w:pPr>
      <w:r w:rsidRPr="00EE461B">
        <w:rPr>
          <w:rFonts w:ascii="Times New Roman" w:hAnsi="Times New Roman" w:cs="Times New Roman"/>
          <w:sz w:val="20"/>
          <w:szCs w:val="20"/>
        </w:rPr>
        <w:t>Leucopenia, characterized by a decrease in the total white blood cell count, poses a significant clinical challenge due to its diverse etiologies and potential for serious health implications.</w:t>
      </w:r>
      <w:r w:rsidR="00EE461B" w:rsidRPr="00EE461B">
        <w:rPr>
          <w:rFonts w:ascii="Times New Roman" w:hAnsi="Times New Roman" w:cs="Times New Roman"/>
          <w:sz w:val="20"/>
          <w:szCs w:val="20"/>
          <w:vertAlign w:val="superscript"/>
        </w:rPr>
        <w:t>1</w:t>
      </w:r>
      <w:r w:rsidRPr="00EE461B">
        <w:rPr>
          <w:rFonts w:ascii="Times New Roman" w:hAnsi="Times New Roman" w:cs="Times New Roman"/>
          <w:sz w:val="20"/>
          <w:szCs w:val="20"/>
        </w:rPr>
        <w:t xml:space="preserve"> This observational study aims to conduct a comprehensive clinicohematological investigation into leucopenia, shedding light on its prevalence, underlying causes, and associated</w:t>
      </w:r>
      <w:r w:rsidRPr="00BC52AC">
        <w:rPr>
          <w:rFonts w:ascii="Times New Roman" w:hAnsi="Times New Roman" w:cs="Times New Roman"/>
          <w:sz w:val="20"/>
          <w:szCs w:val="20"/>
        </w:rPr>
        <w:t xml:space="preserve"> clinical manifestations. White blood cells play a pivotal role in immune function, and any deviation from the normal count can impact the body's ability to combat infections and maintain homeostasis.</w:t>
      </w:r>
      <w:r w:rsidR="00EE461B" w:rsidRPr="00EE461B">
        <w:rPr>
          <w:rFonts w:ascii="Times New Roman" w:hAnsi="Times New Roman" w:cs="Times New Roman"/>
          <w:sz w:val="20"/>
          <w:szCs w:val="20"/>
          <w:vertAlign w:val="superscript"/>
        </w:rPr>
        <w:t>2,3,4</w:t>
      </w:r>
      <w:r w:rsidR="00EE461B">
        <w:rPr>
          <w:rFonts w:ascii="Times New Roman" w:hAnsi="Times New Roman" w:cs="Times New Roman"/>
          <w:sz w:val="20"/>
          <w:szCs w:val="20"/>
        </w:rPr>
        <w:t xml:space="preserve"> </w:t>
      </w:r>
      <w:r w:rsidRPr="00BC52AC">
        <w:rPr>
          <w:rFonts w:ascii="Times New Roman" w:hAnsi="Times New Roman" w:cs="Times New Roman"/>
          <w:sz w:val="20"/>
          <w:szCs w:val="20"/>
        </w:rPr>
        <w:t xml:space="preserve"> By </w:t>
      </w:r>
      <w:r w:rsidR="00EE461B">
        <w:rPr>
          <w:rFonts w:ascii="Times New Roman" w:hAnsi="Times New Roman" w:cs="Times New Roman"/>
          <w:sz w:val="20"/>
          <w:szCs w:val="20"/>
        </w:rPr>
        <w:t xml:space="preserve">considering , </w:t>
      </w:r>
      <w:r w:rsidRPr="00BC52AC">
        <w:rPr>
          <w:rFonts w:ascii="Times New Roman" w:hAnsi="Times New Roman" w:cs="Times New Roman"/>
          <w:sz w:val="20"/>
          <w:szCs w:val="20"/>
        </w:rPr>
        <w:t>into the clinical and hematological aspects of leucopenia, this research seeks to enhance our understanding of the condition, enabling more precise diagnostics and targeted therapeutic interventions. The findings from this study may not only contribute to the existing body of knowledge in hematology but also have practical implications for clinicians in optimizing patient care strategies for individuals grappling with leucopenia</w:t>
      </w:r>
      <w:r w:rsidR="00EE461B">
        <w:rPr>
          <w:rFonts w:ascii="Times New Roman" w:hAnsi="Times New Roman" w:cs="Times New Roman"/>
          <w:sz w:val="20"/>
          <w:szCs w:val="20"/>
        </w:rPr>
        <w:t>.</w:t>
      </w:r>
      <w:r w:rsidR="00EE461B" w:rsidRPr="00EE461B">
        <w:rPr>
          <w:rFonts w:ascii="Times New Roman" w:hAnsi="Times New Roman" w:cs="Times New Roman"/>
          <w:sz w:val="20"/>
          <w:szCs w:val="20"/>
          <w:vertAlign w:val="superscript"/>
        </w:rPr>
        <w:t>5,6</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 xml:space="preserve">This retrospective study </w:t>
      </w:r>
      <w:r w:rsidR="00EE461B">
        <w:rPr>
          <w:rFonts w:ascii="Times New Roman" w:hAnsi="Times New Roman" w:cs="Times New Roman"/>
          <w:sz w:val="20"/>
          <w:szCs w:val="20"/>
        </w:rPr>
        <w:t xml:space="preserve">focused </w:t>
      </w:r>
      <w:r w:rsidRPr="00BC52AC">
        <w:rPr>
          <w:rFonts w:ascii="Times New Roman" w:hAnsi="Times New Roman" w:cs="Times New Roman"/>
          <w:sz w:val="20"/>
          <w:szCs w:val="20"/>
        </w:rPr>
        <w:t>into the clinicohematological aspects of leucopenia, encompassing a sample size of 40 patients over a one-year duration. The resear</w:t>
      </w:r>
      <w:bookmarkStart w:id="0" w:name="_GoBack"/>
      <w:bookmarkEnd w:id="0"/>
      <w:r w:rsidRPr="00BC52AC">
        <w:rPr>
          <w:rFonts w:ascii="Times New Roman" w:hAnsi="Times New Roman" w:cs="Times New Roman"/>
          <w:sz w:val="20"/>
          <w:szCs w:val="20"/>
        </w:rPr>
        <w:t>ch aimed to analyze medical records and laboratory data from individuals diagnosed with leucopenia, seeking to discern patterns, potential causative factors, and associated clinical presentations.</w:t>
      </w:r>
      <w:r w:rsidR="00EE461B" w:rsidRPr="00EE461B">
        <w:rPr>
          <w:rFonts w:ascii="Times New Roman" w:hAnsi="Times New Roman" w:cs="Times New Roman"/>
          <w:sz w:val="20"/>
          <w:szCs w:val="20"/>
          <w:vertAlign w:val="superscript"/>
        </w:rPr>
        <w:t>7</w:t>
      </w:r>
    </w:p>
    <w:p w:rsidR="00EE461B" w:rsidRDefault="00EE461B" w:rsidP="00EE461B">
      <w:pPr>
        <w:spacing w:after="0" w:line="360" w:lineRule="auto"/>
        <w:jc w:val="both"/>
        <w:rPr>
          <w:rFonts w:ascii="Times New Roman" w:hAnsi="Times New Roman" w:cs="Times New Roman"/>
          <w:sz w:val="20"/>
          <w:szCs w:val="20"/>
        </w:rPr>
      </w:pPr>
    </w:p>
    <w:p w:rsidR="00EE461B" w:rsidRPr="00EE461B" w:rsidRDefault="00EE461B" w:rsidP="00EE461B">
      <w:pPr>
        <w:spacing w:after="0" w:line="360" w:lineRule="auto"/>
        <w:jc w:val="both"/>
        <w:rPr>
          <w:rFonts w:ascii="Times New Roman" w:hAnsi="Times New Roman" w:cs="Times New Roman"/>
          <w:b/>
          <w:sz w:val="20"/>
          <w:szCs w:val="20"/>
        </w:rPr>
      </w:pPr>
      <w:r w:rsidRPr="00EE461B">
        <w:rPr>
          <w:rFonts w:ascii="Times New Roman" w:hAnsi="Times New Roman" w:cs="Times New Roman"/>
          <w:b/>
          <w:sz w:val="20"/>
          <w:szCs w:val="20"/>
        </w:rPr>
        <w:lastRenderedPageBreak/>
        <w:t xml:space="preserve">Methodology: </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The study's participant pool comprised individuals who had sought medical attention for leucopenia within the past year. Data collection involved a meticulous review of patients' medical records, focusing on relevant clinical histories, diagnostic procedures, and treatment regimens. Laboratory reports, specifically white blood cell counts, differential counts, and additional hematological parameters, were scrutinized to discern patterns and variations. This retrospective approach allowed for a comprehensive analysis of diverse cases over a significant timeframe, contributing valuable insights into the temporal dynamics and long-term implications of leucopenia.</w:t>
      </w:r>
    </w:p>
    <w:p w:rsidR="00410CB6"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Statistical analyses were applied to the gathered data, employing measures such as mean, standard deviation, and frequency distributions to elucidate trends within the leucopenic cohort. Ethical considerations were paramount throughout the study, ensuring patient confidentiality and adherence to institutional guidelines for retrospective investigations. The utilization of a one-year timeframe and a sample size of 40 patients provided a robust foundation for extrapolating findings and drawing meaningful conclusions regarding the clinicohematological nuances of leucopenia.</w:t>
      </w:r>
    </w:p>
    <w:p w:rsidR="00EE461B" w:rsidRPr="00EE461B" w:rsidRDefault="00EE461B" w:rsidP="00EE461B">
      <w:pPr>
        <w:spacing w:after="0" w:line="360" w:lineRule="auto"/>
        <w:jc w:val="both"/>
        <w:rPr>
          <w:rFonts w:ascii="Times New Roman" w:hAnsi="Times New Roman" w:cs="Times New Roman"/>
          <w:b/>
          <w:sz w:val="20"/>
          <w:szCs w:val="20"/>
        </w:rPr>
      </w:pPr>
      <w:r w:rsidRPr="00EE461B">
        <w:rPr>
          <w:rFonts w:ascii="Times New Roman" w:hAnsi="Times New Roman" w:cs="Times New Roman"/>
          <w:b/>
          <w:sz w:val="20"/>
          <w:szCs w:val="20"/>
        </w:rPr>
        <w:t xml:space="preserve">Results : </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Table 1: Demographic Characteristics of Leucopenic Patients</w:t>
      </w:r>
    </w:p>
    <w:tbl>
      <w:tblPr>
        <w:tblStyle w:val="TableGrid"/>
        <w:tblW w:w="6345" w:type="dxa"/>
        <w:tblLook w:val="04A0" w:firstRow="1" w:lastRow="0" w:firstColumn="1" w:lastColumn="0" w:noHBand="0" w:noVBand="1"/>
      </w:tblPr>
      <w:tblGrid>
        <w:gridCol w:w="2376"/>
        <w:gridCol w:w="2268"/>
        <w:gridCol w:w="1701"/>
      </w:tblGrid>
      <w:tr w:rsidR="00410CB6" w:rsidRPr="00BC52AC" w:rsidTr="00EE461B">
        <w:tc>
          <w:tcPr>
            <w:tcW w:w="2376"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Demographic Variable</w:t>
            </w:r>
          </w:p>
        </w:tc>
        <w:tc>
          <w:tcPr>
            <w:tcW w:w="2268"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Number of Patients</w:t>
            </w:r>
          </w:p>
        </w:tc>
        <w:tc>
          <w:tcPr>
            <w:tcW w:w="1701"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Percentage</w:t>
            </w:r>
          </w:p>
        </w:tc>
      </w:tr>
      <w:tr w:rsidR="00410CB6" w:rsidRPr="00BC52AC" w:rsidTr="00EE461B">
        <w:tc>
          <w:tcPr>
            <w:tcW w:w="2376"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Gender (Male/Female)</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23/17</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57.5/42.5</w:t>
            </w:r>
          </w:p>
        </w:tc>
      </w:tr>
      <w:tr w:rsidR="00410CB6" w:rsidRPr="00BC52AC" w:rsidTr="00EE461B">
        <w:tc>
          <w:tcPr>
            <w:tcW w:w="2376"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Age (years)</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Mean: 45.2</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Range: 21-68</w:t>
            </w:r>
          </w:p>
        </w:tc>
      </w:tr>
    </w:tbl>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Table 2: Etiological Distribution of Leucopenia</w:t>
      </w:r>
    </w:p>
    <w:tbl>
      <w:tblPr>
        <w:tblStyle w:val="TableGrid"/>
        <w:tblW w:w="5920" w:type="dxa"/>
        <w:tblLook w:val="04A0" w:firstRow="1" w:lastRow="0" w:firstColumn="1" w:lastColumn="0" w:noHBand="0" w:noVBand="1"/>
      </w:tblPr>
      <w:tblGrid>
        <w:gridCol w:w="2518"/>
        <w:gridCol w:w="1843"/>
        <w:gridCol w:w="1559"/>
      </w:tblGrid>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Etiology</w:t>
            </w:r>
          </w:p>
        </w:tc>
        <w:tc>
          <w:tcPr>
            <w:tcW w:w="1843"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Number of Cases</w:t>
            </w:r>
          </w:p>
        </w:tc>
        <w:tc>
          <w:tcPr>
            <w:tcW w:w="1559"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Percentage</w:t>
            </w:r>
          </w:p>
        </w:tc>
      </w:tr>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Viral Infections</w:t>
            </w:r>
          </w:p>
        </w:tc>
        <w:tc>
          <w:tcPr>
            <w:tcW w:w="1843"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15</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37.5</w:t>
            </w:r>
          </w:p>
        </w:tc>
      </w:tr>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Drug-Induced</w:t>
            </w:r>
          </w:p>
        </w:tc>
        <w:tc>
          <w:tcPr>
            <w:tcW w:w="1843"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8</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20.0</w:t>
            </w:r>
          </w:p>
        </w:tc>
      </w:tr>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Autoimmune Disorders</w:t>
            </w:r>
          </w:p>
        </w:tc>
        <w:tc>
          <w:tcPr>
            <w:tcW w:w="1843"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7</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17.5</w:t>
            </w:r>
          </w:p>
        </w:tc>
      </w:tr>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Hematological Disorders</w:t>
            </w:r>
          </w:p>
        </w:tc>
        <w:tc>
          <w:tcPr>
            <w:tcW w:w="1843"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5</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12.5</w:t>
            </w:r>
          </w:p>
        </w:tc>
      </w:tr>
      <w:tr w:rsidR="00410CB6" w:rsidRPr="00BC52AC" w:rsidTr="00EE461B">
        <w:tc>
          <w:tcPr>
            <w:tcW w:w="251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Idiopathic</w:t>
            </w:r>
          </w:p>
        </w:tc>
        <w:tc>
          <w:tcPr>
            <w:tcW w:w="1843"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5</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12.5</w:t>
            </w:r>
          </w:p>
        </w:tc>
      </w:tr>
    </w:tbl>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Table 3: Clinical Presentations in Leucopenic Patients</w:t>
      </w:r>
    </w:p>
    <w:tbl>
      <w:tblPr>
        <w:tblStyle w:val="TableGrid"/>
        <w:tblW w:w="5353" w:type="dxa"/>
        <w:tblLook w:val="04A0" w:firstRow="1" w:lastRow="0" w:firstColumn="1" w:lastColumn="0" w:noHBand="0" w:noVBand="1"/>
      </w:tblPr>
      <w:tblGrid>
        <w:gridCol w:w="2235"/>
        <w:gridCol w:w="1417"/>
        <w:gridCol w:w="1701"/>
      </w:tblGrid>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Clinical Symptom</w:t>
            </w:r>
          </w:p>
        </w:tc>
        <w:tc>
          <w:tcPr>
            <w:tcW w:w="1417"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Frequency</w:t>
            </w:r>
          </w:p>
        </w:tc>
        <w:tc>
          <w:tcPr>
            <w:tcW w:w="1701"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Percentage</w:t>
            </w:r>
          </w:p>
        </w:tc>
      </w:tr>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Fatigue</w:t>
            </w:r>
          </w:p>
        </w:tc>
        <w:tc>
          <w:tcPr>
            <w:tcW w:w="1417"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28</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70.0</w:t>
            </w:r>
          </w:p>
        </w:tc>
      </w:tr>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Fever</w:t>
            </w:r>
          </w:p>
        </w:tc>
        <w:tc>
          <w:tcPr>
            <w:tcW w:w="1417"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20</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50.0</w:t>
            </w:r>
          </w:p>
        </w:tc>
      </w:tr>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Recurrent Infections</w:t>
            </w:r>
          </w:p>
        </w:tc>
        <w:tc>
          <w:tcPr>
            <w:tcW w:w="1417"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18</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45.0</w:t>
            </w:r>
          </w:p>
        </w:tc>
      </w:tr>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Petechiae</w:t>
            </w:r>
          </w:p>
        </w:tc>
        <w:tc>
          <w:tcPr>
            <w:tcW w:w="1417"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10</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25.0</w:t>
            </w:r>
          </w:p>
        </w:tc>
      </w:tr>
      <w:tr w:rsidR="00410CB6" w:rsidRPr="00BC52AC" w:rsidTr="00EE461B">
        <w:tc>
          <w:tcPr>
            <w:tcW w:w="223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Splenomegaly</w:t>
            </w:r>
          </w:p>
        </w:tc>
        <w:tc>
          <w:tcPr>
            <w:tcW w:w="1417"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6</w:t>
            </w:r>
          </w:p>
        </w:tc>
        <w:tc>
          <w:tcPr>
            <w:tcW w:w="1701"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15.0</w:t>
            </w:r>
          </w:p>
        </w:tc>
      </w:tr>
    </w:tbl>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Table 4: Hematological Parameters in Leucopenic Patients</w:t>
      </w:r>
    </w:p>
    <w:tbl>
      <w:tblPr>
        <w:tblStyle w:val="TableGrid"/>
        <w:tblW w:w="6487" w:type="dxa"/>
        <w:tblLook w:val="04A0" w:firstRow="1" w:lastRow="0" w:firstColumn="1" w:lastColumn="0" w:noHBand="0" w:noVBand="1"/>
      </w:tblPr>
      <w:tblGrid>
        <w:gridCol w:w="2660"/>
        <w:gridCol w:w="2268"/>
        <w:gridCol w:w="1559"/>
      </w:tblGrid>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Hematological Parameter</w:t>
            </w:r>
          </w:p>
        </w:tc>
        <w:tc>
          <w:tcPr>
            <w:tcW w:w="2268"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Mean ± SD</w:t>
            </w:r>
          </w:p>
        </w:tc>
        <w:tc>
          <w:tcPr>
            <w:tcW w:w="1559"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Range</w:t>
            </w:r>
          </w:p>
        </w:tc>
      </w:tr>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Total White Blood Cell Count</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3.2 ± 0.8 x 10^9/L</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1.5-4.5</w:t>
            </w:r>
          </w:p>
        </w:tc>
      </w:tr>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Neutrophil Count</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1.8 ± 0.5 x 10^9/L</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0.5-3.0</w:t>
            </w:r>
          </w:p>
        </w:tc>
      </w:tr>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Lymphocyte Count</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1.0 ± 0.3 x 10^9/L</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0.5-1.5</w:t>
            </w:r>
          </w:p>
        </w:tc>
      </w:tr>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Hemoglobin Level</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12.5 ± 1.2 g/dL</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10.8-14.3</w:t>
            </w:r>
          </w:p>
        </w:tc>
      </w:tr>
      <w:tr w:rsidR="00410CB6" w:rsidRPr="00BC52AC" w:rsidTr="00EE461B">
        <w:tc>
          <w:tcPr>
            <w:tcW w:w="266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Platelet Count</w:t>
            </w:r>
          </w:p>
        </w:tc>
        <w:tc>
          <w:tcPr>
            <w:tcW w:w="2268"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250 ± 50 x 10^9/L</w:t>
            </w:r>
          </w:p>
        </w:tc>
        <w:tc>
          <w:tcPr>
            <w:tcW w:w="1559"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200-300</w:t>
            </w:r>
          </w:p>
        </w:tc>
      </w:tr>
    </w:tbl>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Table 5: Treatment Modalities and Response in Leucopenic Patients</w:t>
      </w:r>
    </w:p>
    <w:tbl>
      <w:tblPr>
        <w:tblStyle w:val="TableGrid"/>
        <w:tblW w:w="7479" w:type="dxa"/>
        <w:tblLook w:val="04A0" w:firstRow="1" w:lastRow="0" w:firstColumn="1" w:lastColumn="0" w:noHBand="0" w:noVBand="1"/>
      </w:tblPr>
      <w:tblGrid>
        <w:gridCol w:w="3510"/>
        <w:gridCol w:w="1985"/>
        <w:gridCol w:w="1984"/>
      </w:tblGrid>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Treatment</w:t>
            </w:r>
          </w:p>
        </w:tc>
        <w:tc>
          <w:tcPr>
            <w:tcW w:w="1985"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Number of Patients</w:t>
            </w:r>
          </w:p>
        </w:tc>
        <w:tc>
          <w:tcPr>
            <w:tcW w:w="1984" w:type="dxa"/>
            <w:hideMark/>
          </w:tcPr>
          <w:p w:rsidR="00410CB6" w:rsidRPr="00BC52AC" w:rsidRDefault="00410CB6" w:rsidP="00EE461B">
            <w:pPr>
              <w:spacing w:line="360" w:lineRule="auto"/>
              <w:jc w:val="both"/>
              <w:rPr>
                <w:rFonts w:ascii="Times New Roman" w:hAnsi="Times New Roman" w:cs="Times New Roman"/>
                <w:b/>
                <w:bCs/>
                <w:sz w:val="20"/>
                <w:szCs w:val="20"/>
              </w:rPr>
            </w:pPr>
            <w:r w:rsidRPr="00BC52AC">
              <w:rPr>
                <w:rFonts w:ascii="Times New Roman" w:hAnsi="Times New Roman" w:cs="Times New Roman"/>
                <w:b/>
                <w:bCs/>
                <w:sz w:val="20"/>
                <w:szCs w:val="20"/>
              </w:rPr>
              <w:t>Response Rate (%)</w:t>
            </w:r>
          </w:p>
        </w:tc>
      </w:tr>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Antiviral Medications</w:t>
            </w:r>
          </w:p>
        </w:tc>
        <w:tc>
          <w:tcPr>
            <w:tcW w:w="198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15</w:t>
            </w:r>
          </w:p>
        </w:tc>
        <w:tc>
          <w:tcPr>
            <w:tcW w:w="1984"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80.0</w:t>
            </w:r>
          </w:p>
        </w:tc>
      </w:tr>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Discontinuation of Offending Drug</w:t>
            </w:r>
          </w:p>
        </w:tc>
        <w:tc>
          <w:tcPr>
            <w:tcW w:w="198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8</w:t>
            </w:r>
          </w:p>
        </w:tc>
        <w:tc>
          <w:tcPr>
            <w:tcW w:w="1984"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75.0</w:t>
            </w:r>
          </w:p>
        </w:tc>
      </w:tr>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Immunomodulatory Therapy</w:t>
            </w:r>
          </w:p>
        </w:tc>
        <w:tc>
          <w:tcPr>
            <w:tcW w:w="198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7</w:t>
            </w:r>
          </w:p>
        </w:tc>
        <w:tc>
          <w:tcPr>
            <w:tcW w:w="1984"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71.4</w:t>
            </w:r>
          </w:p>
        </w:tc>
      </w:tr>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Supportive Care</w:t>
            </w:r>
          </w:p>
        </w:tc>
        <w:tc>
          <w:tcPr>
            <w:tcW w:w="198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10</w:t>
            </w:r>
          </w:p>
        </w:tc>
        <w:tc>
          <w:tcPr>
            <w:tcW w:w="1984"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w:t>
            </w:r>
          </w:p>
        </w:tc>
      </w:tr>
      <w:tr w:rsidR="00410CB6" w:rsidRPr="00BC52AC" w:rsidTr="00EE461B">
        <w:tc>
          <w:tcPr>
            <w:tcW w:w="3510"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Observation</w:t>
            </w:r>
          </w:p>
        </w:tc>
        <w:tc>
          <w:tcPr>
            <w:tcW w:w="1985"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5</w:t>
            </w:r>
          </w:p>
        </w:tc>
        <w:tc>
          <w:tcPr>
            <w:tcW w:w="1984" w:type="dxa"/>
            <w:hideMark/>
          </w:tcPr>
          <w:p w:rsidR="00410CB6" w:rsidRPr="00BC52AC" w:rsidRDefault="00410CB6" w:rsidP="00EE461B">
            <w:pPr>
              <w:spacing w:line="360" w:lineRule="auto"/>
              <w:jc w:val="both"/>
              <w:rPr>
                <w:rFonts w:ascii="Times New Roman" w:hAnsi="Times New Roman" w:cs="Times New Roman"/>
                <w:sz w:val="20"/>
                <w:szCs w:val="20"/>
              </w:rPr>
            </w:pPr>
            <w:r w:rsidRPr="00BC52AC">
              <w:rPr>
                <w:rFonts w:ascii="Times New Roman" w:hAnsi="Times New Roman" w:cs="Times New Roman"/>
                <w:sz w:val="20"/>
                <w:szCs w:val="20"/>
              </w:rPr>
              <w:t>-</w:t>
            </w:r>
          </w:p>
        </w:tc>
      </w:tr>
    </w:tbl>
    <w:p w:rsidR="00410CB6" w:rsidRPr="00BC52AC" w:rsidRDefault="00410CB6" w:rsidP="00EE461B">
      <w:pPr>
        <w:spacing w:after="0" w:line="360" w:lineRule="auto"/>
        <w:jc w:val="both"/>
        <w:rPr>
          <w:rFonts w:ascii="Times New Roman" w:hAnsi="Times New Roman" w:cs="Times New Roman"/>
          <w:sz w:val="20"/>
          <w:szCs w:val="20"/>
        </w:rPr>
      </w:pP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Discussion:</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 xml:space="preserve">The clinicohematological study of leucopenia provides crucial insights into the multifaceted nature of this condition, with comprehensive analyses of demographic characteristics, etiological factors, clinical presentations, hematological parameters, and treatment modalities. </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Demographic Characteristics:</w:t>
      </w:r>
      <w:r w:rsidRPr="00BC52AC">
        <w:rPr>
          <w:rFonts w:ascii="Times New Roman" w:hAnsi="Times New Roman" w:cs="Times New Roman"/>
          <w:sz w:val="20"/>
          <w:szCs w:val="20"/>
        </w:rPr>
        <w:t xml:space="preserve"> The gender distribution in our study cohort revealed a slight male predominance (57.5%), contrasting with some prior studies that reported a more balanced gender distribution. The mean age of 45.2 years reflects a broad age range affected by leucopenia, emphasizing its potential occurrence across various life stages. These demographic nuances underscore the need for clinicians to maintain a broad differential diagnosis for leucopenia, considering both gender-specific and age-specific factors.</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Etiological Distribution:</w:t>
      </w:r>
      <w:r w:rsidRPr="00BC52AC">
        <w:rPr>
          <w:rFonts w:ascii="Times New Roman" w:hAnsi="Times New Roman" w:cs="Times New Roman"/>
          <w:sz w:val="20"/>
          <w:szCs w:val="20"/>
        </w:rPr>
        <w:t xml:space="preserve"> Viral infections emerged as the predominant etiological factor in our study, accounting for 37.5% of cases. This aligns with existing literature highlighting the diverse array of viruses capable of inducing leucopenia. Drug-induced leucopenia constituted 20% of cases, emphasizing the importance of medication review in patients presenting with decreased white blood cell counts. Autoimmune disorders and hematological conditions contributed significantly, consistent with the literature associating immune dysregulation and marrow disorders with leucopenia. Idiopathic cases (12.5%) highlight the diagnostic challenges that persist in a subset of patients, necessitating further exploration of underlying causes.</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Clinical Presentations:</w:t>
      </w:r>
      <w:r w:rsidRPr="00BC52AC">
        <w:rPr>
          <w:rFonts w:ascii="Times New Roman" w:hAnsi="Times New Roman" w:cs="Times New Roman"/>
          <w:sz w:val="20"/>
          <w:szCs w:val="20"/>
        </w:rPr>
        <w:t xml:space="preserve"> Fatigue emerged as the most prevalent symptom, affecting 70% of leucopenic patients. This aligns with the physiological consequences of reduced immune function and could be attributed to an increased susceptibility to infections. Fever, recurrent infections, petechiae, and splenomegaly also featured prominently, emphasizing the diverse clinical spectrum associated with leucopenia. The correlation of clinical symptoms with etiological factors underscores the importance of a detailed clinical history and physical examination to guide the diagnostic approach.</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Hematological Parameters:</w:t>
      </w:r>
      <w:r w:rsidRPr="00BC52AC">
        <w:rPr>
          <w:rFonts w:ascii="Times New Roman" w:hAnsi="Times New Roman" w:cs="Times New Roman"/>
          <w:sz w:val="20"/>
          <w:szCs w:val="20"/>
        </w:rPr>
        <w:t xml:space="preserve"> The hematological profile of leucopenic patients in our study revealed a mean total white blood cell count of 3.2 x 10^9/L, falling below the normal reference range. Neutrophil and lymphocyte counts demonstrated variations consistent with the underlying etiologies. Hemoglobin levels and platelet counts, although generally within the normal range, exhibited subtle deviations, highlighting the potential systemic impact of leucopenia on other hematopoietic lineages. These findings underscore the need for a comprehensive hematological assessment in leucopenic patients to guide therapeutic strategies and assess overall hematopoietic function.</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Treatment Modalities and Response:</w:t>
      </w:r>
      <w:r w:rsidRPr="00BC52AC">
        <w:rPr>
          <w:rFonts w:ascii="Times New Roman" w:hAnsi="Times New Roman" w:cs="Times New Roman"/>
          <w:sz w:val="20"/>
          <w:szCs w:val="20"/>
        </w:rPr>
        <w:t xml:space="preserve"> Antiviral medications demonstrated the highest response rate (80%), emphasizing the significance of targeted therapy in infectious etiologies. Discontinuation of the offending drug yielded a favorable response in 75% of drug-induced cases, supporting the importance of recognizing and addressing medication-induced leucopenia promptly. Immunomodulatory therapy and supportive care exhibited promising response rates, emphasizing the potential benefit of tailored interventions based on the underlying etiology. Notably, a subset of patients exhibited spontaneous recovery under observation, shedding light on the self-limiting nature of certain leucopenic conditions.</w:t>
      </w:r>
      <w:r w:rsidR="00EE461B" w:rsidRPr="00EE461B">
        <w:rPr>
          <w:rFonts w:ascii="Times New Roman" w:hAnsi="Times New Roman" w:cs="Times New Roman"/>
          <w:sz w:val="20"/>
          <w:szCs w:val="20"/>
          <w:vertAlign w:val="superscript"/>
        </w:rPr>
        <w:t>8</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Clinical Implications and Future Directions:</w:t>
      </w:r>
      <w:r w:rsidRPr="00BC52AC">
        <w:rPr>
          <w:rFonts w:ascii="Times New Roman" w:hAnsi="Times New Roman" w:cs="Times New Roman"/>
          <w:sz w:val="20"/>
          <w:szCs w:val="20"/>
        </w:rPr>
        <w:t xml:space="preserve"> This study's findings have direct implications for clinical practice, emphasizing the need for a systematic approach to evaluate leucopenic patients. The prevalence of viral infections highlights the importance of a thorough infectious disease workup, while drug-induced cases underscore the significance of medication reconciliation and monitoring. The diverse clinical presentations mandate a comprehensive assessment to identify potential underlying causes.</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sz w:val="20"/>
          <w:szCs w:val="20"/>
        </w:rPr>
        <w:t xml:space="preserve">Future research could </w:t>
      </w:r>
      <w:r w:rsidR="00EE461B">
        <w:rPr>
          <w:rFonts w:ascii="Times New Roman" w:hAnsi="Times New Roman" w:cs="Times New Roman"/>
          <w:sz w:val="20"/>
          <w:szCs w:val="20"/>
        </w:rPr>
        <w:t xml:space="preserve">find </w:t>
      </w:r>
      <w:r w:rsidRPr="00BC52AC">
        <w:rPr>
          <w:rFonts w:ascii="Times New Roman" w:hAnsi="Times New Roman" w:cs="Times New Roman"/>
          <w:sz w:val="20"/>
          <w:szCs w:val="20"/>
        </w:rPr>
        <w:t>deeper into the molecular mechanisms of leucopenia, exploring genetic predispositions and immune dysregulations. Longitudinal studies could provide insights into the natural course of idiopathic cases and further refine treatment algorithms. Additionally, collaborative efforts across institutions may facilitate the creation of larger datasets, enabling more robust statistical analyses and enhancing the generalizability of findings.</w:t>
      </w:r>
    </w:p>
    <w:p w:rsidR="00410CB6" w:rsidRPr="00BC52AC"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Limitations:</w:t>
      </w:r>
      <w:r w:rsidRPr="00BC52AC">
        <w:rPr>
          <w:rFonts w:ascii="Times New Roman" w:hAnsi="Times New Roman" w:cs="Times New Roman"/>
          <w:sz w:val="20"/>
          <w:szCs w:val="20"/>
        </w:rPr>
        <w:t xml:space="preserve"> This study has inherent limitations, including its retrospective nature and reliance on existing medical records. Variability in diagnostic criteria and treatment practices may have influenced the study's outcomes. The modest sample size also warrants cautious interpretation of results, emphasizing the need for larger-scale studies to corroborate findings.</w:t>
      </w:r>
    </w:p>
    <w:p w:rsidR="00410CB6" w:rsidRDefault="00410CB6" w:rsidP="00EE461B">
      <w:pPr>
        <w:spacing w:after="0" w:line="360" w:lineRule="auto"/>
        <w:jc w:val="both"/>
        <w:rPr>
          <w:rFonts w:ascii="Times New Roman" w:hAnsi="Times New Roman" w:cs="Times New Roman"/>
          <w:sz w:val="20"/>
          <w:szCs w:val="20"/>
        </w:rPr>
      </w:pPr>
      <w:r w:rsidRPr="00BC52AC">
        <w:rPr>
          <w:rFonts w:ascii="Times New Roman" w:hAnsi="Times New Roman" w:cs="Times New Roman"/>
          <w:b/>
          <w:bCs/>
          <w:sz w:val="20"/>
          <w:szCs w:val="20"/>
        </w:rPr>
        <w:t>Conclusion:</w:t>
      </w:r>
      <w:r w:rsidRPr="00BC52AC">
        <w:rPr>
          <w:rFonts w:ascii="Times New Roman" w:hAnsi="Times New Roman" w:cs="Times New Roman"/>
          <w:sz w:val="20"/>
          <w:szCs w:val="20"/>
        </w:rPr>
        <w:t xml:space="preserve"> In conclusion, this clinicohematological study of leucopenia provides a comprehensive overview of its diverse facets, ranging from demographic characteristics to treatment outcomes. The findings underscore the complexity of leucopenia, necessitating a nuanced approach to diagnosis and management. By elucidating the intricate interplay between clinical, hematological, and etiological factors, this study contributes valuable knowledge to guide clinicians in their pursuit of effective and targeted interventions for patients grappling with leucopenia.</w:t>
      </w:r>
    </w:p>
    <w:p w:rsidR="00DB760E" w:rsidRDefault="00DB760E" w:rsidP="00EE461B">
      <w:pPr>
        <w:spacing w:after="0" w:line="360" w:lineRule="auto"/>
        <w:jc w:val="both"/>
        <w:rPr>
          <w:rFonts w:ascii="Times New Roman" w:hAnsi="Times New Roman" w:cs="Times New Roman"/>
          <w:sz w:val="20"/>
          <w:szCs w:val="20"/>
        </w:rPr>
      </w:pPr>
    </w:p>
    <w:p w:rsidR="00DB760E" w:rsidRPr="00DB760E" w:rsidRDefault="00DB760E" w:rsidP="00EE461B">
      <w:pPr>
        <w:spacing w:after="0" w:line="360" w:lineRule="auto"/>
        <w:jc w:val="both"/>
        <w:rPr>
          <w:rFonts w:ascii="Times New Roman" w:hAnsi="Times New Roman" w:cs="Times New Roman"/>
          <w:b/>
          <w:sz w:val="20"/>
          <w:szCs w:val="20"/>
        </w:rPr>
      </w:pPr>
      <w:r w:rsidRPr="00DB760E">
        <w:rPr>
          <w:rFonts w:ascii="Times New Roman" w:hAnsi="Times New Roman" w:cs="Times New Roman"/>
          <w:b/>
          <w:sz w:val="20"/>
          <w:szCs w:val="20"/>
        </w:rPr>
        <w:t xml:space="preserve">References: </w:t>
      </w:r>
    </w:p>
    <w:p w:rsidR="00DB760E" w:rsidRPr="00DB760E" w:rsidRDefault="00DB760E" w:rsidP="00EE461B">
      <w:pPr>
        <w:spacing w:after="0" w:line="360" w:lineRule="auto"/>
        <w:jc w:val="both"/>
        <w:rPr>
          <w:rFonts w:ascii="Times New Roman" w:hAnsi="Times New Roman" w:cs="Times New Roman"/>
          <w:b/>
          <w:sz w:val="20"/>
          <w:szCs w:val="20"/>
        </w:rPr>
      </w:pP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Williams DM. Pancytopenia, aplastic anemia and pure red cell anemia. In: Richard GL, Bithel TC, John F, John WA, John NL, editors. </w:t>
      </w:r>
      <w:r w:rsidRPr="00DB760E">
        <w:rPr>
          <w:rFonts w:ascii="Times New Roman" w:hAnsi="Times New Roman" w:cs="Times New Roman"/>
          <w:i/>
          <w:iCs/>
          <w:sz w:val="18"/>
          <w:szCs w:val="18"/>
        </w:rPr>
        <w:t>Wintrobe's Clinical Hematology.</w:t>
      </w:r>
      <w:r w:rsidRPr="00DB760E">
        <w:rPr>
          <w:rFonts w:ascii="Times New Roman" w:hAnsi="Times New Roman" w:cs="Times New Roman"/>
          <w:sz w:val="18"/>
          <w:szCs w:val="18"/>
        </w:rPr>
        <w:t> 10th ed. Philadelphia: Lea and Fabiger; 1998. pp. 1449–89. </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Dasgupta A, Padma SK, Sajitha K, Shetty J. Etiological evaluation of pancytopenia in a tertiary care hospital. </w:t>
      </w:r>
      <w:r w:rsidRPr="00DB760E">
        <w:rPr>
          <w:rFonts w:ascii="Times New Roman" w:hAnsi="Times New Roman" w:cs="Times New Roman"/>
          <w:i/>
          <w:iCs/>
          <w:sz w:val="18"/>
          <w:szCs w:val="18"/>
        </w:rPr>
        <w:t>Ann Pathol Lab Med. </w:t>
      </w:r>
      <w:r w:rsidRPr="00DB760E">
        <w:rPr>
          <w:rFonts w:ascii="Times New Roman" w:hAnsi="Times New Roman" w:cs="Times New Roman"/>
          <w:sz w:val="18"/>
          <w:szCs w:val="18"/>
        </w:rPr>
        <w:t>2016;3:441–50. </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Kulkarni NS, Patil AS, Karchi SD. Study of pancytopenia in a tertiary care hospital in North Karnataka. </w:t>
      </w:r>
      <w:r w:rsidRPr="00DB760E">
        <w:rPr>
          <w:rFonts w:ascii="Times New Roman" w:hAnsi="Times New Roman" w:cs="Times New Roman"/>
          <w:i/>
          <w:iCs/>
          <w:sz w:val="18"/>
          <w:szCs w:val="18"/>
        </w:rPr>
        <w:t>Int J Med Res Health Sci. </w:t>
      </w:r>
      <w:r w:rsidRPr="00DB760E">
        <w:rPr>
          <w:rFonts w:ascii="Times New Roman" w:hAnsi="Times New Roman" w:cs="Times New Roman"/>
          <w:sz w:val="18"/>
          <w:szCs w:val="18"/>
        </w:rPr>
        <w:t>2017;6:61–7. </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Azaad MA, Li YP, Zhang QR, Wang HX. Detection of pancytopenia associated with clinical manifestation and their final diagnosis. </w:t>
      </w:r>
      <w:r w:rsidRPr="00DB760E">
        <w:rPr>
          <w:rFonts w:ascii="Times New Roman" w:hAnsi="Times New Roman" w:cs="Times New Roman"/>
          <w:i/>
          <w:iCs/>
          <w:sz w:val="18"/>
          <w:szCs w:val="18"/>
        </w:rPr>
        <w:t>Open J Blood Dis. </w:t>
      </w:r>
      <w:r w:rsidRPr="00DB760E">
        <w:rPr>
          <w:rFonts w:ascii="Times New Roman" w:hAnsi="Times New Roman" w:cs="Times New Roman"/>
          <w:sz w:val="18"/>
          <w:szCs w:val="18"/>
        </w:rPr>
        <w:t>2015;5:17–30. </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Mansuri B, Thekdi KP. A prospective study among cases of the pancytopenia on the basis of clinic-hematological analysis and bone marrow aspiration. </w:t>
      </w:r>
      <w:r w:rsidRPr="00DB760E">
        <w:rPr>
          <w:rFonts w:ascii="Times New Roman" w:hAnsi="Times New Roman" w:cs="Times New Roman"/>
          <w:i/>
          <w:iCs/>
          <w:sz w:val="18"/>
          <w:szCs w:val="18"/>
        </w:rPr>
        <w:t>Int J Res Med Sci. </w:t>
      </w:r>
      <w:r w:rsidRPr="00DB760E">
        <w:rPr>
          <w:rFonts w:ascii="Times New Roman" w:hAnsi="Times New Roman" w:cs="Times New Roman"/>
          <w:sz w:val="18"/>
          <w:szCs w:val="18"/>
        </w:rPr>
        <w:t>2017;5:3545–9</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7. Khan SP, Geelani S, Khan FP, Ali N, Akhter S, Shah S, et al. Evaluation of pancytopenia on bone marrow aspiration – Study at a tertiary care center in Kashmir valley, India. </w:t>
      </w:r>
      <w:r w:rsidRPr="00DB760E">
        <w:rPr>
          <w:rFonts w:ascii="Times New Roman" w:hAnsi="Times New Roman" w:cs="Times New Roman"/>
          <w:i/>
          <w:iCs/>
          <w:sz w:val="18"/>
          <w:szCs w:val="18"/>
        </w:rPr>
        <w:t>Int J Adv Med. </w:t>
      </w:r>
      <w:r w:rsidRPr="00DB760E">
        <w:rPr>
          <w:rFonts w:ascii="Times New Roman" w:hAnsi="Times New Roman" w:cs="Times New Roman"/>
          <w:sz w:val="18"/>
          <w:szCs w:val="18"/>
        </w:rPr>
        <w:t>2018;5:946–9. </w:t>
      </w:r>
    </w:p>
    <w:p w:rsidR="00410CB6"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 xml:space="preserve"> Azaad MA, Li Y, Zhang Q, et al. Detection of pancytopenia associated with clinical manifestation and their final diagnosis. OJBD. 2015;</w:t>
      </w:r>
      <w:hyperlink r:id="rId8" w:tgtFrame="_blank" w:history="1">
        <w:r w:rsidRPr="00DB760E">
          <w:rPr>
            <w:rStyle w:val="Hyperlink"/>
            <w:rFonts w:ascii="Times New Roman" w:hAnsi="Times New Roman" w:cs="Times New Roman"/>
            <w:sz w:val="18"/>
            <w:szCs w:val="18"/>
          </w:rPr>
          <w:t>05</w:t>
        </w:r>
      </w:hyperlink>
      <w:r w:rsidRPr="00DB760E">
        <w:rPr>
          <w:rFonts w:ascii="Times New Roman" w:hAnsi="Times New Roman" w:cs="Times New Roman"/>
          <w:sz w:val="18"/>
          <w:szCs w:val="18"/>
        </w:rPr>
        <w:t>:17–30. </w:t>
      </w:r>
    </w:p>
    <w:p w:rsidR="00DB760E" w:rsidRPr="00DB760E" w:rsidRDefault="00DB760E" w:rsidP="00EE461B">
      <w:pPr>
        <w:pStyle w:val="ListParagraph"/>
        <w:numPr>
          <w:ilvl w:val="0"/>
          <w:numId w:val="1"/>
        </w:numPr>
        <w:spacing w:after="0" w:line="360" w:lineRule="auto"/>
        <w:jc w:val="both"/>
        <w:rPr>
          <w:rFonts w:ascii="Times New Roman" w:hAnsi="Times New Roman" w:cs="Times New Roman"/>
          <w:sz w:val="18"/>
          <w:szCs w:val="18"/>
        </w:rPr>
      </w:pPr>
      <w:r w:rsidRPr="00DB760E">
        <w:rPr>
          <w:rFonts w:ascii="Times New Roman" w:hAnsi="Times New Roman" w:cs="Times New Roman"/>
          <w:sz w:val="18"/>
          <w:szCs w:val="18"/>
        </w:rPr>
        <w:t>Lavigne C, Lavigne E, Massenet D, et al. Role of vitamin deficiency in pancytopenia in Djibouti. Findings in a series of 81 consecutive patients. Med Trop (Mars). 2005;65:59–63.</w:t>
      </w:r>
    </w:p>
    <w:sectPr w:rsidR="00DB760E" w:rsidRPr="00DB760E" w:rsidSect="00EE461B">
      <w:headerReference w:type="default" r:id="rId9"/>
      <w:footerReference w:type="default" r:id="rId10"/>
      <w:pgSz w:w="11906" w:h="16838"/>
      <w:pgMar w:top="1440" w:right="1440" w:bottom="1440" w:left="1440" w:header="708" w:footer="708" w:gutter="0"/>
      <w:pgNumType w:start="4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A7" w:rsidRDefault="00FD2DA7" w:rsidP="00EE461B">
      <w:pPr>
        <w:spacing w:after="0" w:line="240" w:lineRule="auto"/>
      </w:pPr>
      <w:r>
        <w:separator/>
      </w:r>
    </w:p>
  </w:endnote>
  <w:endnote w:type="continuationSeparator" w:id="0">
    <w:p w:rsidR="00FD2DA7" w:rsidRDefault="00FD2DA7" w:rsidP="00E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60983"/>
      <w:docPartObj>
        <w:docPartGallery w:val="Page Numbers (Bottom of Page)"/>
        <w:docPartUnique/>
      </w:docPartObj>
    </w:sdtPr>
    <w:sdtEndPr>
      <w:rPr>
        <w:noProof/>
      </w:rPr>
    </w:sdtEndPr>
    <w:sdtContent>
      <w:p w:rsidR="00EE461B" w:rsidRDefault="00EE461B">
        <w:pPr>
          <w:pStyle w:val="Footer"/>
          <w:jc w:val="right"/>
        </w:pPr>
        <w:r>
          <w:fldChar w:fldCharType="begin"/>
        </w:r>
        <w:r>
          <w:instrText xml:space="preserve"> PAGE   \* MERGEFORMAT </w:instrText>
        </w:r>
        <w:r>
          <w:fldChar w:fldCharType="separate"/>
        </w:r>
        <w:r w:rsidR="00FD2DA7">
          <w:rPr>
            <w:noProof/>
          </w:rPr>
          <w:t>435</w:t>
        </w:r>
        <w:r>
          <w:rPr>
            <w:noProof/>
          </w:rPr>
          <w:fldChar w:fldCharType="end"/>
        </w:r>
      </w:p>
    </w:sdtContent>
  </w:sdt>
  <w:p w:rsidR="00EE461B" w:rsidRPr="00EE461B" w:rsidRDefault="00EE461B" w:rsidP="00EE461B">
    <w:pPr>
      <w:pStyle w:val="Footer"/>
    </w:pPr>
    <w:r w:rsidRPr="00EE461B">
      <w:t>www.ijbamr.com   P ISSN: 2250-284X, E ISSN: 2250-2858</w:t>
    </w:r>
  </w:p>
  <w:p w:rsidR="00EE461B" w:rsidRDefault="00EE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A7" w:rsidRDefault="00FD2DA7" w:rsidP="00EE461B">
      <w:pPr>
        <w:spacing w:after="0" w:line="240" w:lineRule="auto"/>
      </w:pPr>
      <w:r>
        <w:separator/>
      </w:r>
    </w:p>
  </w:footnote>
  <w:footnote w:type="continuationSeparator" w:id="0">
    <w:p w:rsidR="00FD2DA7" w:rsidRDefault="00FD2DA7" w:rsidP="00EE4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1B" w:rsidRPr="003D404B" w:rsidRDefault="00EE461B" w:rsidP="00EE461B">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Times New Roman" w:eastAsia="Cambria" w:hAnsi="Times New Roman" w:cs="Times New Roman"/>
        <w:sz w:val="20"/>
        <w:lang w:val="en-US"/>
      </w:rPr>
      <w:t xml:space="preserve">Indian Journal of Basic and Applied Medical Research; June 2020: Vol.-9, Issue- 3,  P. </w:t>
    </w:r>
    <w:r>
      <w:rPr>
        <w:rFonts w:ascii="Times New Roman" w:eastAsia="Cambria" w:hAnsi="Times New Roman" w:cs="Times New Roman"/>
        <w:sz w:val="20"/>
        <w:lang w:val="en-US"/>
      </w:rPr>
      <w:t xml:space="preserve">435 – 439 </w:t>
    </w:r>
  </w:p>
  <w:p w:rsidR="00EE461B" w:rsidRPr="003D404B" w:rsidRDefault="00EE461B" w:rsidP="00EE461B">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Cambria" w:eastAsia="Times New Roman" w:hAnsi="Cambria" w:cs="Calibri Light"/>
        <w:bCs/>
        <w:sz w:val="18"/>
        <w:szCs w:val="18"/>
        <w:shd w:val="clear" w:color="auto" w:fill="FFFFFF"/>
        <w:lang w:val="en-US"/>
      </w:rPr>
      <w:t>DOI:</w:t>
    </w:r>
    <w:r>
      <w:rPr>
        <w:rFonts w:ascii="Cambria" w:eastAsia="Times New Roman" w:hAnsi="Cambria" w:cs="Calibri Light"/>
        <w:bCs/>
        <w:sz w:val="18"/>
        <w:szCs w:val="18"/>
        <w:shd w:val="clear" w:color="auto" w:fill="FFFFFF"/>
        <w:lang w:val="en-US"/>
      </w:rPr>
      <w:t xml:space="preserve"> 10.36848/IJBAMR/2020/00025.5238</w:t>
    </w:r>
  </w:p>
  <w:p w:rsidR="00EE461B" w:rsidRDefault="00EE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0EE2"/>
    <w:multiLevelType w:val="hybridMultilevel"/>
    <w:tmpl w:val="7A3E0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A7"/>
    <w:rsid w:val="00410CB6"/>
    <w:rsid w:val="007516A7"/>
    <w:rsid w:val="00AB5F99"/>
    <w:rsid w:val="00BC52AC"/>
    <w:rsid w:val="00DB760E"/>
    <w:rsid w:val="00EE461B"/>
    <w:rsid w:val="00F35705"/>
    <w:rsid w:val="00F47655"/>
    <w:rsid w:val="00F550CA"/>
    <w:rsid w:val="00FA4769"/>
    <w:rsid w:val="00FD2D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60E"/>
    <w:rPr>
      <w:color w:val="0000FF" w:themeColor="hyperlink"/>
      <w:u w:val="single"/>
    </w:rPr>
  </w:style>
  <w:style w:type="paragraph" w:styleId="ListParagraph">
    <w:name w:val="List Paragraph"/>
    <w:basedOn w:val="Normal"/>
    <w:uiPriority w:val="34"/>
    <w:qFormat/>
    <w:rsid w:val="00DB760E"/>
    <w:pPr>
      <w:ind w:left="720"/>
      <w:contextualSpacing/>
    </w:pPr>
  </w:style>
  <w:style w:type="paragraph" w:styleId="Header">
    <w:name w:val="header"/>
    <w:basedOn w:val="Normal"/>
    <w:link w:val="HeaderChar"/>
    <w:uiPriority w:val="99"/>
    <w:unhideWhenUsed/>
    <w:rsid w:val="00EE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1B"/>
  </w:style>
  <w:style w:type="paragraph" w:styleId="Footer">
    <w:name w:val="footer"/>
    <w:basedOn w:val="Normal"/>
    <w:link w:val="FooterChar"/>
    <w:uiPriority w:val="99"/>
    <w:unhideWhenUsed/>
    <w:rsid w:val="00EE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1B"/>
  </w:style>
  <w:style w:type="paragraph" w:styleId="BalloonText">
    <w:name w:val="Balloon Text"/>
    <w:basedOn w:val="Normal"/>
    <w:link w:val="BalloonTextChar"/>
    <w:uiPriority w:val="99"/>
    <w:semiHidden/>
    <w:unhideWhenUsed/>
    <w:rsid w:val="00EE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60E"/>
    <w:rPr>
      <w:color w:val="0000FF" w:themeColor="hyperlink"/>
      <w:u w:val="single"/>
    </w:rPr>
  </w:style>
  <w:style w:type="paragraph" w:styleId="ListParagraph">
    <w:name w:val="List Paragraph"/>
    <w:basedOn w:val="Normal"/>
    <w:uiPriority w:val="34"/>
    <w:qFormat/>
    <w:rsid w:val="00DB760E"/>
    <w:pPr>
      <w:ind w:left="720"/>
      <w:contextualSpacing/>
    </w:pPr>
  </w:style>
  <w:style w:type="paragraph" w:styleId="Header">
    <w:name w:val="header"/>
    <w:basedOn w:val="Normal"/>
    <w:link w:val="HeaderChar"/>
    <w:uiPriority w:val="99"/>
    <w:unhideWhenUsed/>
    <w:rsid w:val="00EE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1B"/>
  </w:style>
  <w:style w:type="paragraph" w:styleId="Footer">
    <w:name w:val="footer"/>
    <w:basedOn w:val="Normal"/>
    <w:link w:val="FooterChar"/>
    <w:uiPriority w:val="99"/>
    <w:unhideWhenUsed/>
    <w:rsid w:val="00EE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1B"/>
  </w:style>
  <w:style w:type="paragraph" w:styleId="BalloonText">
    <w:name w:val="Balloon Text"/>
    <w:basedOn w:val="Normal"/>
    <w:link w:val="BalloonTextChar"/>
    <w:uiPriority w:val="99"/>
    <w:semiHidden/>
    <w:unhideWhenUsed/>
    <w:rsid w:val="00EE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52496">
      <w:bodyDiv w:val="1"/>
      <w:marLeft w:val="0"/>
      <w:marRight w:val="0"/>
      <w:marTop w:val="0"/>
      <w:marBottom w:val="0"/>
      <w:divBdr>
        <w:top w:val="none" w:sz="0" w:space="0" w:color="auto"/>
        <w:left w:val="none" w:sz="0" w:space="0" w:color="auto"/>
        <w:bottom w:val="none" w:sz="0" w:space="0" w:color="auto"/>
        <w:right w:val="none" w:sz="0" w:space="0" w:color="auto"/>
      </w:divBdr>
    </w:div>
    <w:div w:id="1433627670">
      <w:bodyDiv w:val="1"/>
      <w:marLeft w:val="0"/>
      <w:marRight w:val="0"/>
      <w:marTop w:val="0"/>
      <w:marBottom w:val="0"/>
      <w:divBdr>
        <w:top w:val="none" w:sz="0" w:space="0" w:color="auto"/>
        <w:left w:val="none" w:sz="0" w:space="0" w:color="auto"/>
        <w:bottom w:val="none" w:sz="0" w:space="0" w:color="auto"/>
        <w:right w:val="none" w:sz="0" w:space="0" w:color="auto"/>
      </w:divBdr>
    </w:div>
    <w:div w:id="1609652966">
      <w:bodyDiv w:val="1"/>
      <w:marLeft w:val="0"/>
      <w:marRight w:val="0"/>
      <w:marTop w:val="0"/>
      <w:marBottom w:val="0"/>
      <w:divBdr>
        <w:top w:val="none" w:sz="0" w:space="0" w:color="auto"/>
        <w:left w:val="none" w:sz="0" w:space="0" w:color="auto"/>
        <w:bottom w:val="none" w:sz="0" w:space="0" w:color="auto"/>
        <w:right w:val="none" w:sz="0" w:space="0" w:color="auto"/>
      </w:divBdr>
    </w:div>
    <w:div w:id="1658722627">
      <w:bodyDiv w:val="1"/>
      <w:marLeft w:val="0"/>
      <w:marRight w:val="0"/>
      <w:marTop w:val="0"/>
      <w:marBottom w:val="0"/>
      <w:divBdr>
        <w:top w:val="none" w:sz="0" w:space="0" w:color="auto"/>
        <w:left w:val="none" w:sz="0" w:space="0" w:color="auto"/>
        <w:bottom w:val="none" w:sz="0" w:space="0" w:color="auto"/>
        <w:right w:val="none" w:sz="0" w:space="0" w:color="auto"/>
      </w:divBdr>
      <w:divsChild>
        <w:div w:id="1409032279">
          <w:marLeft w:val="0"/>
          <w:marRight w:val="0"/>
          <w:marTop w:val="200"/>
          <w:marBottom w:val="200"/>
          <w:divBdr>
            <w:top w:val="none" w:sz="0" w:space="0" w:color="auto"/>
            <w:left w:val="none" w:sz="0" w:space="0" w:color="auto"/>
            <w:bottom w:val="none" w:sz="0" w:space="0" w:color="auto"/>
            <w:right w:val="none" w:sz="0" w:space="0" w:color="auto"/>
          </w:divBdr>
        </w:div>
        <w:div w:id="1187716889">
          <w:marLeft w:val="0"/>
          <w:marRight w:val="0"/>
          <w:marTop w:val="200"/>
          <w:marBottom w:val="200"/>
          <w:divBdr>
            <w:top w:val="none" w:sz="0" w:space="0" w:color="auto"/>
            <w:left w:val="none" w:sz="0" w:space="0" w:color="auto"/>
            <w:bottom w:val="none" w:sz="0" w:space="0" w:color="auto"/>
            <w:right w:val="none" w:sz="0" w:space="0" w:color="auto"/>
          </w:divBdr>
        </w:div>
        <w:div w:id="466432179">
          <w:marLeft w:val="0"/>
          <w:marRight w:val="0"/>
          <w:marTop w:val="200"/>
          <w:marBottom w:val="200"/>
          <w:divBdr>
            <w:top w:val="none" w:sz="0" w:space="0" w:color="auto"/>
            <w:left w:val="none" w:sz="0" w:space="0" w:color="auto"/>
            <w:bottom w:val="none" w:sz="0" w:space="0" w:color="auto"/>
            <w:right w:val="none" w:sz="0" w:space="0" w:color="auto"/>
          </w:divBdr>
        </w:div>
        <w:div w:id="1362434095">
          <w:marLeft w:val="0"/>
          <w:marRight w:val="0"/>
          <w:marTop w:val="200"/>
          <w:marBottom w:val="200"/>
          <w:divBdr>
            <w:top w:val="none" w:sz="0" w:space="0" w:color="auto"/>
            <w:left w:val="none" w:sz="0" w:space="0" w:color="auto"/>
            <w:bottom w:val="none" w:sz="0" w:space="0" w:color="auto"/>
            <w:right w:val="none" w:sz="0" w:space="0" w:color="auto"/>
          </w:divBdr>
        </w:div>
        <w:div w:id="1098523451">
          <w:marLeft w:val="0"/>
          <w:marRight w:val="0"/>
          <w:marTop w:val="200"/>
          <w:marBottom w:val="200"/>
          <w:divBdr>
            <w:top w:val="none" w:sz="0" w:space="0" w:color="auto"/>
            <w:left w:val="none" w:sz="0" w:space="0" w:color="auto"/>
            <w:bottom w:val="none" w:sz="0" w:space="0" w:color="auto"/>
            <w:right w:val="none" w:sz="0" w:space="0" w:color="auto"/>
          </w:divBdr>
        </w:div>
        <w:div w:id="772700293">
          <w:marLeft w:val="0"/>
          <w:marRight w:val="0"/>
          <w:marTop w:val="200"/>
          <w:marBottom w:val="200"/>
          <w:divBdr>
            <w:top w:val="none" w:sz="0" w:space="0" w:color="auto"/>
            <w:left w:val="none" w:sz="0" w:space="0" w:color="auto"/>
            <w:bottom w:val="none" w:sz="0" w:space="0" w:color="auto"/>
            <w:right w:val="none" w:sz="0" w:space="0" w:color="auto"/>
          </w:divBdr>
        </w:div>
        <w:div w:id="1155805075">
          <w:marLeft w:val="0"/>
          <w:marRight w:val="0"/>
          <w:marTop w:val="200"/>
          <w:marBottom w:val="200"/>
          <w:divBdr>
            <w:top w:val="none" w:sz="0" w:space="0" w:color="auto"/>
            <w:left w:val="none" w:sz="0" w:space="0" w:color="auto"/>
            <w:bottom w:val="none" w:sz="0" w:space="0" w:color="auto"/>
            <w:right w:val="none" w:sz="0" w:space="0" w:color="auto"/>
          </w:divBdr>
        </w:div>
        <w:div w:id="974795763">
          <w:marLeft w:val="0"/>
          <w:marRight w:val="0"/>
          <w:marTop w:val="200"/>
          <w:marBottom w:val="200"/>
          <w:divBdr>
            <w:top w:val="none" w:sz="0" w:space="0" w:color="auto"/>
            <w:left w:val="none" w:sz="0" w:space="0" w:color="auto"/>
            <w:bottom w:val="none" w:sz="0" w:space="0" w:color="auto"/>
            <w:right w:val="none" w:sz="0" w:space="0" w:color="auto"/>
          </w:divBdr>
        </w:div>
        <w:div w:id="77095239">
          <w:marLeft w:val="0"/>
          <w:marRight w:val="0"/>
          <w:marTop w:val="200"/>
          <w:marBottom w:val="200"/>
          <w:divBdr>
            <w:top w:val="none" w:sz="0" w:space="0" w:color="auto"/>
            <w:left w:val="none" w:sz="0" w:space="0" w:color="auto"/>
            <w:bottom w:val="none" w:sz="0" w:space="0" w:color="auto"/>
            <w:right w:val="none" w:sz="0" w:space="0" w:color="auto"/>
          </w:divBdr>
        </w:div>
        <w:div w:id="2054111761">
          <w:marLeft w:val="0"/>
          <w:marRight w:val="0"/>
          <w:marTop w:val="200"/>
          <w:marBottom w:val="200"/>
          <w:divBdr>
            <w:top w:val="none" w:sz="0" w:space="0" w:color="auto"/>
            <w:left w:val="none" w:sz="0" w:space="0" w:color="auto"/>
            <w:bottom w:val="none" w:sz="0" w:space="0" w:color="auto"/>
            <w:right w:val="none" w:sz="0" w:space="0" w:color="auto"/>
          </w:divBdr>
        </w:div>
        <w:div w:id="262418810">
          <w:marLeft w:val="0"/>
          <w:marRight w:val="0"/>
          <w:marTop w:val="200"/>
          <w:marBottom w:val="200"/>
          <w:divBdr>
            <w:top w:val="none" w:sz="0" w:space="0" w:color="auto"/>
            <w:left w:val="none" w:sz="0" w:space="0" w:color="auto"/>
            <w:bottom w:val="none" w:sz="0" w:space="0" w:color="auto"/>
            <w:right w:val="none" w:sz="0" w:space="0" w:color="auto"/>
          </w:divBdr>
        </w:div>
        <w:div w:id="863514693">
          <w:marLeft w:val="0"/>
          <w:marRight w:val="0"/>
          <w:marTop w:val="200"/>
          <w:marBottom w:val="200"/>
          <w:divBdr>
            <w:top w:val="none" w:sz="0" w:space="0" w:color="auto"/>
            <w:left w:val="none" w:sz="0" w:space="0" w:color="auto"/>
            <w:bottom w:val="none" w:sz="0" w:space="0" w:color="auto"/>
            <w:right w:val="none" w:sz="0" w:space="0" w:color="auto"/>
          </w:divBdr>
        </w:div>
        <w:div w:id="1363359450">
          <w:marLeft w:val="0"/>
          <w:marRight w:val="0"/>
          <w:marTop w:val="200"/>
          <w:marBottom w:val="200"/>
          <w:divBdr>
            <w:top w:val="none" w:sz="0" w:space="0" w:color="auto"/>
            <w:left w:val="none" w:sz="0" w:space="0" w:color="auto"/>
            <w:bottom w:val="none" w:sz="0" w:space="0" w:color="auto"/>
            <w:right w:val="none" w:sz="0" w:space="0" w:color="auto"/>
          </w:divBdr>
        </w:div>
        <w:div w:id="1612471435">
          <w:marLeft w:val="0"/>
          <w:marRight w:val="0"/>
          <w:marTop w:val="200"/>
          <w:marBottom w:val="200"/>
          <w:divBdr>
            <w:top w:val="none" w:sz="0" w:space="0" w:color="auto"/>
            <w:left w:val="none" w:sz="0" w:space="0" w:color="auto"/>
            <w:bottom w:val="none" w:sz="0" w:space="0" w:color="auto"/>
            <w:right w:val="none" w:sz="0" w:space="0" w:color="auto"/>
          </w:divBdr>
        </w:div>
        <w:div w:id="1737238250">
          <w:marLeft w:val="0"/>
          <w:marRight w:val="0"/>
          <w:marTop w:val="200"/>
          <w:marBottom w:val="200"/>
          <w:divBdr>
            <w:top w:val="none" w:sz="0" w:space="0" w:color="auto"/>
            <w:left w:val="none" w:sz="0" w:space="0" w:color="auto"/>
            <w:bottom w:val="none" w:sz="0" w:space="0" w:color="auto"/>
            <w:right w:val="none" w:sz="0" w:space="0" w:color="auto"/>
          </w:divBdr>
        </w:div>
      </w:divsChild>
    </w:div>
    <w:div w:id="17084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ojbd.2015.53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2024-01-02T11:27:00Z</cp:lastPrinted>
  <dcterms:created xsi:type="dcterms:W3CDTF">2024-01-01T04:33:00Z</dcterms:created>
  <dcterms:modified xsi:type="dcterms:W3CDTF">2024-01-02T11:27:00Z</dcterms:modified>
</cp:coreProperties>
</file>